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A6" w:rsidRDefault="00CE10F3">
      <w:pPr>
        <w:rPr>
          <w:b/>
        </w:rPr>
      </w:pPr>
      <w:bookmarkStart w:id="0" w:name="_GoBack"/>
      <w:bookmarkEnd w:id="0"/>
      <w:r>
        <w:rPr>
          <w:b/>
        </w:rPr>
        <w:t>Essential Information and Training for the Chemical Hygiene Officer</w:t>
      </w:r>
    </w:p>
    <w:p w:rsidR="00CE10F3" w:rsidRDefault="00CE10F3" w:rsidP="00CE10F3">
      <w:pPr>
        <w:pStyle w:val="NoSpacing"/>
        <w:ind w:left="0" w:firstLine="0"/>
      </w:pPr>
    </w:p>
    <w:p w:rsidR="00CE10F3" w:rsidRPr="009348A6" w:rsidRDefault="00CE10F3" w:rsidP="00CE10F3">
      <w:pPr>
        <w:pStyle w:val="NoSpacing"/>
        <w:ind w:left="0" w:firstLine="0"/>
      </w:pPr>
      <w:r w:rsidRPr="009348A6">
        <w:t>Workshop Description</w:t>
      </w:r>
    </w:p>
    <w:p w:rsidR="00CE10F3" w:rsidRPr="009348A6" w:rsidRDefault="00CE10F3" w:rsidP="00CE10F3">
      <w:pPr>
        <w:pStyle w:val="NoSpacing"/>
      </w:pPr>
    </w:p>
    <w:p w:rsidR="000F41B2" w:rsidRPr="000F41B2" w:rsidRDefault="000F41B2" w:rsidP="00CE10F3">
      <w:pPr>
        <w:pStyle w:val="NoSpacing"/>
        <w:ind w:left="0" w:firstLine="0"/>
        <w:rPr>
          <w:b/>
        </w:rPr>
      </w:pPr>
      <w:r>
        <w:rPr>
          <w:b/>
        </w:rPr>
        <w:t>NEW Content for 2015!</w:t>
      </w:r>
    </w:p>
    <w:p w:rsidR="000F41B2" w:rsidRDefault="000F41B2" w:rsidP="00CE10F3">
      <w:pPr>
        <w:pStyle w:val="NoSpacing"/>
        <w:ind w:left="0" w:firstLine="0"/>
      </w:pPr>
    </w:p>
    <w:p w:rsidR="000F41B2" w:rsidRDefault="00CE10F3" w:rsidP="00CE10F3">
      <w:pPr>
        <w:pStyle w:val="NoSpacing"/>
        <w:ind w:left="0" w:firstLine="0"/>
      </w:pPr>
      <w:r w:rsidRPr="009348A6">
        <w:t xml:space="preserve">This workshop will present a detailed analysis of the Chemical Hygiene Officer position for CHOs in both large-scale and small-scale environments.  </w:t>
      </w:r>
      <w:r w:rsidR="000F41B2">
        <w:t xml:space="preserve">The course will </w:t>
      </w:r>
      <w:r w:rsidR="000F41B2">
        <w:rPr>
          <w:u w:val="single"/>
        </w:rPr>
        <w:t xml:space="preserve">briefly </w:t>
      </w:r>
      <w:r w:rsidR="000F41B2" w:rsidRPr="000F41B2">
        <w:t>cover</w:t>
      </w:r>
      <w:r w:rsidR="000F41B2">
        <w:t xml:space="preserve"> the relevant regulatory landscape (OSHA Lab Standard and RCRA) and set into best management practices for the Chemical Hygiene Officer.  We will discuss:</w:t>
      </w:r>
    </w:p>
    <w:p w:rsidR="000F41B2" w:rsidRDefault="000F41B2" w:rsidP="00CE10F3">
      <w:pPr>
        <w:pStyle w:val="NoSpacing"/>
        <w:ind w:left="0" w:firstLine="0"/>
      </w:pPr>
    </w:p>
    <w:p w:rsidR="000F41B2" w:rsidRDefault="000F41B2" w:rsidP="000F41B2">
      <w:pPr>
        <w:pStyle w:val="NoSpacing"/>
        <w:numPr>
          <w:ilvl w:val="0"/>
          <w:numId w:val="1"/>
        </w:numPr>
      </w:pPr>
      <w:r>
        <w:t>Essential reference materials</w:t>
      </w:r>
    </w:p>
    <w:p w:rsidR="000F41B2" w:rsidRDefault="000F41B2" w:rsidP="000F41B2">
      <w:pPr>
        <w:pStyle w:val="NoSpacing"/>
        <w:numPr>
          <w:ilvl w:val="0"/>
          <w:numId w:val="1"/>
        </w:numPr>
      </w:pPr>
      <w:r>
        <w:t>Fundamental exposure assessment and control (including ventilation)</w:t>
      </w:r>
    </w:p>
    <w:p w:rsidR="000F41B2" w:rsidRDefault="000F41B2" w:rsidP="000F41B2">
      <w:pPr>
        <w:pStyle w:val="NoSpacing"/>
        <w:numPr>
          <w:ilvl w:val="0"/>
          <w:numId w:val="1"/>
        </w:numPr>
      </w:pPr>
      <w:r>
        <w:t>Fundamental risk assessment</w:t>
      </w:r>
    </w:p>
    <w:p w:rsidR="000F41B2" w:rsidRDefault="000F41B2" w:rsidP="000F41B2">
      <w:pPr>
        <w:pStyle w:val="NoSpacing"/>
        <w:numPr>
          <w:ilvl w:val="0"/>
          <w:numId w:val="1"/>
        </w:numPr>
      </w:pPr>
      <w:r>
        <w:t>Change management in a research environment</w:t>
      </w:r>
    </w:p>
    <w:p w:rsidR="000F41B2" w:rsidRDefault="000F41B2" w:rsidP="000F41B2">
      <w:pPr>
        <w:pStyle w:val="NoSpacing"/>
        <w:numPr>
          <w:ilvl w:val="0"/>
          <w:numId w:val="1"/>
        </w:numPr>
      </w:pPr>
      <w:r>
        <w:t>Basic emergency response and how to say off the 6 PM News.</w:t>
      </w:r>
    </w:p>
    <w:p w:rsidR="000F41B2" w:rsidRDefault="000F41B2" w:rsidP="00CE10F3">
      <w:pPr>
        <w:pStyle w:val="NoSpacing"/>
        <w:ind w:left="0" w:firstLine="0"/>
      </w:pPr>
    </w:p>
    <w:p w:rsidR="00CE10F3" w:rsidRDefault="00CE10F3" w:rsidP="00CE10F3">
      <w:pPr>
        <w:pStyle w:val="NoSpacing"/>
        <w:ind w:left="0" w:firstLine="0"/>
      </w:pPr>
      <w:r w:rsidRPr="009348A6">
        <w:t>There will be plenty of opportunity for questions and follow up by e-mail.</w:t>
      </w:r>
    </w:p>
    <w:p w:rsidR="00CE10F3" w:rsidRDefault="00CE10F3" w:rsidP="00CE10F3">
      <w:pPr>
        <w:pStyle w:val="NoSpacing"/>
        <w:ind w:left="0" w:firstLine="0"/>
      </w:pPr>
    </w:p>
    <w:p w:rsidR="00CE10F3" w:rsidRDefault="00CE10F3" w:rsidP="00CE10F3">
      <w:pPr>
        <w:pStyle w:val="NoSpacing"/>
        <w:ind w:left="0" w:firstLine="0"/>
      </w:pPr>
      <w:r>
        <w:t>Topics covered:</w:t>
      </w:r>
    </w:p>
    <w:p w:rsidR="00CE10F3" w:rsidRPr="009348A6" w:rsidRDefault="00CE10F3" w:rsidP="00CE10F3">
      <w:pPr>
        <w:pStyle w:val="NoSpacing"/>
        <w:ind w:left="0" w:firstLine="360"/>
      </w:pPr>
      <w:r>
        <w:t xml:space="preserve">Introduction:  </w:t>
      </w:r>
      <w:r w:rsidRPr="009348A6">
        <w:t>What is a “Chemical Hygiene Officer”…really?</w:t>
      </w:r>
    </w:p>
    <w:p w:rsidR="000F41B2" w:rsidRDefault="000F41B2" w:rsidP="00CE10F3">
      <w:pPr>
        <w:pStyle w:val="NoSpacing"/>
        <w:ind w:left="720"/>
      </w:pPr>
      <w:r>
        <w:t>The regulatory landscape</w:t>
      </w:r>
    </w:p>
    <w:p w:rsidR="000F41B2" w:rsidRDefault="000F41B2" w:rsidP="000F41B2">
      <w:pPr>
        <w:pStyle w:val="NoSpacing"/>
        <w:ind w:left="1080"/>
      </w:pPr>
      <w:r>
        <w:t>OSHA Lab Standard</w:t>
      </w:r>
    </w:p>
    <w:p w:rsidR="000F41B2" w:rsidRDefault="000F41B2" w:rsidP="000F41B2">
      <w:pPr>
        <w:pStyle w:val="NoSpacing"/>
        <w:ind w:left="1080"/>
      </w:pPr>
      <w:r>
        <w:t>OSHA General Industry Standard</w:t>
      </w:r>
    </w:p>
    <w:p w:rsidR="000F41B2" w:rsidRDefault="000F41B2" w:rsidP="000F41B2">
      <w:pPr>
        <w:pStyle w:val="NoSpacing"/>
        <w:ind w:left="1080"/>
      </w:pPr>
      <w:r>
        <w:t>RCRA and Waste Management</w:t>
      </w:r>
    </w:p>
    <w:p w:rsidR="000F41B2" w:rsidRDefault="000F41B2" w:rsidP="000F41B2">
      <w:pPr>
        <w:pStyle w:val="NoSpacing"/>
        <w:ind w:left="1080"/>
      </w:pPr>
      <w:r>
        <w:t>Your responsibilities</w:t>
      </w:r>
    </w:p>
    <w:p w:rsidR="00CE10F3" w:rsidRPr="009348A6" w:rsidRDefault="000F41B2" w:rsidP="00CE10F3">
      <w:pPr>
        <w:pStyle w:val="NoSpacing"/>
        <w:ind w:left="720"/>
      </w:pPr>
      <w:r>
        <w:t xml:space="preserve">Developing </w:t>
      </w:r>
      <w:r w:rsidR="00CE10F3" w:rsidRPr="009348A6">
        <w:t>Standard Operating Procedures (SOPs)</w:t>
      </w:r>
    </w:p>
    <w:p w:rsidR="00CE10F3" w:rsidRPr="009348A6" w:rsidRDefault="00CE10F3" w:rsidP="00CE10F3">
      <w:pPr>
        <w:pStyle w:val="NoSpacing"/>
      </w:pPr>
      <w:r w:rsidRPr="009348A6">
        <w:t>Lunch – on your own</w:t>
      </w:r>
    </w:p>
    <w:p w:rsidR="00CE10F3" w:rsidRPr="009348A6" w:rsidRDefault="00CE10F3" w:rsidP="000F41B2">
      <w:pPr>
        <w:pStyle w:val="NoSpacing"/>
        <w:ind w:left="0" w:firstLine="0"/>
      </w:pPr>
      <w:r w:rsidRPr="009348A6">
        <w:t>Laboratory Hazards and Control</w:t>
      </w:r>
    </w:p>
    <w:p w:rsidR="00CE10F3" w:rsidRPr="009348A6" w:rsidRDefault="00CE10F3" w:rsidP="00CE10F3">
      <w:pPr>
        <w:pStyle w:val="NoSpacing"/>
        <w:ind w:left="720"/>
      </w:pPr>
      <w:r w:rsidRPr="009348A6">
        <w:t>Hazard identification and risk management</w:t>
      </w:r>
    </w:p>
    <w:p w:rsidR="000F41B2" w:rsidRDefault="000F41B2" w:rsidP="00CE10F3">
      <w:pPr>
        <w:pStyle w:val="NoSpacing"/>
        <w:ind w:left="720"/>
      </w:pPr>
      <w:r>
        <w:t>Risk assessment tools:</w:t>
      </w:r>
    </w:p>
    <w:p w:rsidR="000F41B2" w:rsidRDefault="000F41B2" w:rsidP="00CE10F3">
      <w:pPr>
        <w:pStyle w:val="NoSpacing"/>
        <w:ind w:left="720"/>
      </w:pPr>
      <w:r>
        <w:tab/>
        <w:t xml:space="preserve">The </w:t>
      </w:r>
      <w:proofErr w:type="spellStart"/>
      <w:r>
        <w:t>LabRAT</w:t>
      </w:r>
      <w:proofErr w:type="spellEnd"/>
    </w:p>
    <w:p w:rsidR="000F41B2" w:rsidRDefault="000F41B2" w:rsidP="000F41B2">
      <w:pPr>
        <w:pStyle w:val="NoSpacing"/>
        <w:ind w:left="720"/>
      </w:pPr>
      <w:r>
        <w:tab/>
        <w:t>Lab What-If</w:t>
      </w:r>
    </w:p>
    <w:p w:rsidR="00516E54" w:rsidRDefault="000F41B2" w:rsidP="00516E54">
      <w:pPr>
        <w:pStyle w:val="NoSpacing"/>
        <w:ind w:left="720"/>
      </w:pPr>
      <w:r>
        <w:tab/>
        <w:t>Other tools that may be used</w:t>
      </w:r>
    </w:p>
    <w:p w:rsidR="00516E54" w:rsidRDefault="00516E54" w:rsidP="00516E54">
      <w:pPr>
        <w:pStyle w:val="NoSpacing"/>
        <w:ind w:left="1080"/>
      </w:pPr>
      <w:r>
        <w:t xml:space="preserve">Application of the </w:t>
      </w:r>
      <w:proofErr w:type="spellStart"/>
      <w:r>
        <w:t>LabRAT</w:t>
      </w:r>
      <w:proofErr w:type="spellEnd"/>
      <w:r>
        <w:t xml:space="preserve"> and other tools to the research environment</w:t>
      </w:r>
    </w:p>
    <w:p w:rsidR="00CE10F3" w:rsidRPr="009348A6" w:rsidRDefault="00CE10F3" w:rsidP="00CE10F3">
      <w:pPr>
        <w:pStyle w:val="NoSpacing"/>
        <w:ind w:left="720"/>
      </w:pPr>
      <w:r w:rsidRPr="009348A6">
        <w:t>Exposure and overexposure in normal operations</w:t>
      </w:r>
    </w:p>
    <w:p w:rsidR="00CE10F3" w:rsidRPr="009348A6" w:rsidRDefault="00CE10F3" w:rsidP="00CE10F3">
      <w:pPr>
        <w:pStyle w:val="NoSpacing"/>
        <w:ind w:left="1440"/>
      </w:pPr>
      <w:r w:rsidRPr="009348A6">
        <w:t>Evaluating exposure – an overview</w:t>
      </w:r>
    </w:p>
    <w:p w:rsidR="000F41B2" w:rsidRDefault="000F41B2" w:rsidP="000F41B2">
      <w:pPr>
        <w:pStyle w:val="NoSpacing"/>
        <w:ind w:left="0" w:firstLine="0"/>
      </w:pPr>
      <w:r>
        <w:t>Controlling change in a research environment</w:t>
      </w:r>
    </w:p>
    <w:p w:rsidR="00CE10F3" w:rsidRPr="009348A6" w:rsidRDefault="00CE10F3" w:rsidP="000F41B2">
      <w:pPr>
        <w:pStyle w:val="NoSpacing"/>
        <w:ind w:left="0" w:firstLine="0"/>
      </w:pPr>
      <w:r w:rsidRPr="009348A6">
        <w:t>Laboratory Emergencies</w:t>
      </w:r>
    </w:p>
    <w:p w:rsidR="00CE10F3" w:rsidRDefault="00CE10F3" w:rsidP="000F41B2">
      <w:pPr>
        <w:pStyle w:val="NoSpacing"/>
        <w:ind w:left="0" w:firstLine="0"/>
      </w:pPr>
      <w:r w:rsidRPr="009348A6">
        <w:t>Emergency preparedness</w:t>
      </w:r>
    </w:p>
    <w:p w:rsidR="00CE10F3" w:rsidRPr="009348A6" w:rsidRDefault="00CE10F3" w:rsidP="00CE10F3">
      <w:pPr>
        <w:pStyle w:val="NoSpacing"/>
        <w:ind w:left="720" w:firstLine="720"/>
      </w:pPr>
      <w:r w:rsidRPr="009348A6">
        <w:t>The first and second rules of emergency response</w:t>
      </w:r>
    </w:p>
    <w:p w:rsidR="00CE10F3" w:rsidRDefault="00CE10F3" w:rsidP="00CE10F3">
      <w:pPr>
        <w:pStyle w:val="NoSpacing"/>
        <w:ind w:left="720" w:firstLine="720"/>
      </w:pPr>
      <w:r w:rsidRPr="009348A6">
        <w:t>Spills and spill response</w:t>
      </w:r>
    </w:p>
    <w:p w:rsidR="000F41B2" w:rsidRPr="009348A6" w:rsidRDefault="000F41B2" w:rsidP="00CE10F3">
      <w:pPr>
        <w:pStyle w:val="NoSpacing"/>
        <w:ind w:left="720" w:firstLine="720"/>
      </w:pPr>
      <w:r>
        <w:t>Fire and Fire response</w:t>
      </w:r>
    </w:p>
    <w:p w:rsidR="00CE10F3" w:rsidRDefault="00CE10F3" w:rsidP="00CE10F3">
      <w:pPr>
        <w:pStyle w:val="NoSpacing"/>
        <w:ind w:left="0" w:firstLine="0"/>
      </w:pPr>
    </w:p>
    <w:p w:rsidR="00987F6F" w:rsidRDefault="00987F6F" w:rsidP="00CE10F3">
      <w:pPr>
        <w:pStyle w:val="NoSpacing"/>
        <w:ind w:left="0" w:firstLine="0"/>
      </w:pPr>
      <w:r>
        <w:t xml:space="preserve">Date/Time: </w:t>
      </w:r>
      <w:r w:rsidR="00CC7573">
        <w:t>Wednesday</w:t>
      </w:r>
      <w:r>
        <w:t xml:space="preserve">, </w:t>
      </w:r>
      <w:r w:rsidR="00CC7573">
        <w:t>Nov 4</w:t>
      </w:r>
      <w:r w:rsidR="00CC7573" w:rsidRPr="00CC7573">
        <w:rPr>
          <w:vertAlign w:val="superscript"/>
        </w:rPr>
        <w:t>th</w:t>
      </w:r>
      <w:r>
        <w:t>, 2015: 8:30 AM – 4:30 PM</w:t>
      </w:r>
    </w:p>
    <w:p w:rsidR="00CC7573" w:rsidRDefault="00CC7573" w:rsidP="00CE10F3">
      <w:pPr>
        <w:pStyle w:val="NoSpacing"/>
        <w:ind w:left="0" w:firstLine="0"/>
      </w:pPr>
      <w:r>
        <w:t xml:space="preserve">Cost:  $375 (ACS Member), $400 (non-ACS Member), </w:t>
      </w:r>
      <w:r w:rsidRPr="00CC7573">
        <w:rPr>
          <w:u w:val="single"/>
        </w:rPr>
        <w:t>includes full meeting registration!</w:t>
      </w:r>
    </w:p>
    <w:p w:rsidR="00CE10F3" w:rsidRDefault="00A60436" w:rsidP="00CE10F3">
      <w:pPr>
        <w:pStyle w:val="NoSpacing"/>
        <w:ind w:left="0" w:firstLine="0"/>
      </w:pPr>
      <w:r>
        <w:t xml:space="preserve">Location:  </w:t>
      </w:r>
      <w:r w:rsidR="00CC7573">
        <w:t>Joint SERMACS/Southwest Regional Meeting</w:t>
      </w:r>
      <w:r w:rsidR="00CE10F3">
        <w:t xml:space="preserve"> – To be determined</w:t>
      </w:r>
    </w:p>
    <w:p w:rsidR="00CE10F3" w:rsidRDefault="00CC7573" w:rsidP="00CE10F3">
      <w:pPr>
        <w:pStyle w:val="NoSpacing"/>
        <w:ind w:left="0" w:firstLine="0"/>
      </w:pPr>
      <w:r>
        <w:t>Registration:  Through ACS Regional Meeting</w:t>
      </w:r>
      <w:r w:rsidR="00CE10F3">
        <w:t xml:space="preserve"> site.  On-site registration will be available.  There will be a few extra sets of handouts available on a first-come-first-served basis.</w:t>
      </w:r>
    </w:p>
    <w:p w:rsidR="00CE10F3" w:rsidRPr="00CE10F3" w:rsidRDefault="00CE10F3" w:rsidP="00CE10F3">
      <w:pPr>
        <w:pStyle w:val="NoSpacing"/>
        <w:ind w:left="0" w:firstLine="0"/>
      </w:pPr>
    </w:p>
    <w:sectPr w:rsidR="00CE10F3" w:rsidRPr="00CE1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2553"/>
    <w:multiLevelType w:val="hybridMultilevel"/>
    <w:tmpl w:val="15D8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F3"/>
    <w:rsid w:val="000F41B2"/>
    <w:rsid w:val="00160BA6"/>
    <w:rsid w:val="002076CF"/>
    <w:rsid w:val="002A5E60"/>
    <w:rsid w:val="00516E54"/>
    <w:rsid w:val="00684033"/>
    <w:rsid w:val="007C4315"/>
    <w:rsid w:val="00987F6F"/>
    <w:rsid w:val="00A60436"/>
    <w:rsid w:val="00A644CF"/>
    <w:rsid w:val="00CC7573"/>
    <w:rsid w:val="00CE10F3"/>
    <w:rsid w:val="00DA07B5"/>
    <w:rsid w:val="00E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80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0"/>
    <w:pPr>
      <w:ind w:left="0" w:firstLine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7B5"/>
    <w:pPr>
      <w:spacing w:after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80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0"/>
    <w:pPr>
      <w:ind w:left="0" w:firstLine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7B5"/>
    <w:pPr>
      <w:spacing w:after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Brothers University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Dennis  Merat</cp:lastModifiedBy>
  <cp:revision>2</cp:revision>
  <dcterms:created xsi:type="dcterms:W3CDTF">2015-10-25T22:17:00Z</dcterms:created>
  <dcterms:modified xsi:type="dcterms:W3CDTF">2015-10-25T22:17:00Z</dcterms:modified>
</cp:coreProperties>
</file>