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3759B" w14:textId="77777777" w:rsidR="007F360E" w:rsidRDefault="003443E5" w:rsidP="00B6083E">
      <w:pPr>
        <w:spacing w:after="0"/>
        <w:jc w:val="center"/>
        <w:rPr>
          <w:rFonts w:ascii="Georgia" w:hAnsi="Georgia" w:cs="Aharoni"/>
          <w:b/>
          <w:sz w:val="28"/>
          <w:szCs w:val="28"/>
        </w:rPr>
      </w:pPr>
      <w:bookmarkStart w:id="0" w:name="_GoBack"/>
      <w:r w:rsidRPr="00B6083E">
        <w:rPr>
          <w:rFonts w:ascii="Georgia" w:hAnsi="Georgia" w:cs="Aharoni"/>
          <w:b/>
          <w:sz w:val="28"/>
          <w:szCs w:val="28"/>
        </w:rPr>
        <w:t>Pelemahan Country Systems</w:t>
      </w:r>
      <w:r w:rsidR="004A0410">
        <w:rPr>
          <w:rFonts w:ascii="Georgia" w:hAnsi="Georgia" w:cs="Aharoni"/>
          <w:b/>
          <w:sz w:val="28"/>
          <w:szCs w:val="28"/>
        </w:rPr>
        <w:t xml:space="preserve"> Indo</w:t>
      </w:r>
      <w:r w:rsidR="00786EE3">
        <w:rPr>
          <w:rFonts w:ascii="Georgia" w:hAnsi="Georgia" w:cs="Aharoni"/>
          <w:b/>
          <w:sz w:val="28"/>
          <w:szCs w:val="28"/>
        </w:rPr>
        <w:t>n</w:t>
      </w:r>
      <w:r w:rsidR="004A0410">
        <w:rPr>
          <w:rFonts w:ascii="Georgia" w:hAnsi="Georgia" w:cs="Aharoni"/>
          <w:b/>
          <w:sz w:val="28"/>
          <w:szCs w:val="28"/>
        </w:rPr>
        <w:t>esia</w:t>
      </w:r>
    </w:p>
    <w:p w14:paraId="35A3930D" w14:textId="77777777" w:rsidR="004A0410" w:rsidRPr="00B6083E" w:rsidRDefault="004A0410" w:rsidP="00B6083E">
      <w:pPr>
        <w:spacing w:after="0"/>
        <w:jc w:val="center"/>
        <w:rPr>
          <w:rFonts w:ascii="Georgia" w:hAnsi="Georgia" w:cs="Aharoni"/>
          <w:b/>
          <w:sz w:val="28"/>
          <w:szCs w:val="28"/>
        </w:rPr>
      </w:pPr>
      <w:r>
        <w:rPr>
          <w:rFonts w:ascii="Georgia" w:hAnsi="Georgia" w:cs="Aharoni"/>
          <w:b/>
          <w:sz w:val="28"/>
          <w:szCs w:val="28"/>
        </w:rPr>
        <w:t>dalam Situasi Pelemahan ESS</w:t>
      </w:r>
    </w:p>
    <w:bookmarkEnd w:id="0"/>
    <w:p w14:paraId="5F4D2819" w14:textId="77777777" w:rsidR="006C7141" w:rsidRPr="00B6083E" w:rsidRDefault="006C7141" w:rsidP="00B6083E">
      <w:pPr>
        <w:autoSpaceDE w:val="0"/>
        <w:autoSpaceDN w:val="0"/>
        <w:adjustRightInd w:val="0"/>
        <w:spacing w:after="0"/>
        <w:rPr>
          <w:rFonts w:ascii="Georgia" w:hAnsi="Georgia"/>
          <w:sz w:val="24"/>
          <w:szCs w:val="24"/>
        </w:rPr>
      </w:pPr>
    </w:p>
    <w:p w14:paraId="2E0820C6" w14:textId="77777777" w:rsidR="00B6083E" w:rsidRDefault="00B6083E" w:rsidP="00B6083E">
      <w:pPr>
        <w:autoSpaceDE w:val="0"/>
        <w:autoSpaceDN w:val="0"/>
        <w:adjustRightInd w:val="0"/>
        <w:spacing w:after="0" w:line="240" w:lineRule="auto"/>
        <w:rPr>
          <w:rFonts w:ascii="Georgia" w:hAnsi="Georgia"/>
          <w:b/>
          <w:sz w:val="24"/>
          <w:szCs w:val="24"/>
        </w:rPr>
      </w:pPr>
    </w:p>
    <w:p w14:paraId="08DE0FAB" w14:textId="77777777" w:rsidR="00AA7D64" w:rsidRPr="00B6083E" w:rsidRDefault="00B6083E" w:rsidP="00B6083E">
      <w:pPr>
        <w:autoSpaceDE w:val="0"/>
        <w:autoSpaceDN w:val="0"/>
        <w:adjustRightInd w:val="0"/>
        <w:spacing w:after="0" w:line="240" w:lineRule="auto"/>
        <w:rPr>
          <w:rFonts w:ascii="Georgia" w:hAnsi="Georgia"/>
          <w:b/>
          <w:sz w:val="24"/>
          <w:szCs w:val="24"/>
        </w:rPr>
      </w:pPr>
      <w:r w:rsidRPr="00B6083E">
        <w:rPr>
          <w:rFonts w:ascii="Georgia" w:hAnsi="Georgia"/>
          <w:b/>
          <w:sz w:val="24"/>
          <w:szCs w:val="24"/>
        </w:rPr>
        <w:t>By Rio Ismail</w:t>
      </w:r>
    </w:p>
    <w:p w14:paraId="4A0BCE64" w14:textId="77777777" w:rsidR="00B6083E" w:rsidRPr="00B6083E" w:rsidRDefault="00B6083E" w:rsidP="00B6083E">
      <w:pPr>
        <w:autoSpaceDE w:val="0"/>
        <w:autoSpaceDN w:val="0"/>
        <w:adjustRightInd w:val="0"/>
        <w:spacing w:after="0" w:line="240" w:lineRule="auto"/>
        <w:rPr>
          <w:rFonts w:ascii="Georgia" w:hAnsi="Georgia"/>
          <w:i/>
          <w:sz w:val="24"/>
          <w:szCs w:val="24"/>
        </w:rPr>
      </w:pPr>
      <w:r w:rsidRPr="00B6083E">
        <w:rPr>
          <w:rFonts w:ascii="Georgia" w:hAnsi="Georgia"/>
          <w:i/>
          <w:sz w:val="24"/>
          <w:szCs w:val="24"/>
        </w:rPr>
        <w:t>The Ecological Justice - Indonesia</w:t>
      </w:r>
    </w:p>
    <w:p w14:paraId="41F99FCE" w14:textId="77777777" w:rsidR="00B6083E" w:rsidRDefault="00B6083E" w:rsidP="00B6083E">
      <w:pPr>
        <w:autoSpaceDE w:val="0"/>
        <w:autoSpaceDN w:val="0"/>
        <w:adjustRightInd w:val="0"/>
        <w:spacing w:after="0" w:line="240" w:lineRule="auto"/>
        <w:rPr>
          <w:rFonts w:ascii="Georgia" w:hAnsi="Georgia"/>
          <w:sz w:val="24"/>
          <w:szCs w:val="24"/>
        </w:rPr>
      </w:pPr>
    </w:p>
    <w:p w14:paraId="207474A2" w14:textId="77777777" w:rsidR="005D3970" w:rsidRPr="001A3327" w:rsidRDefault="005D3970" w:rsidP="00B6083E">
      <w:pPr>
        <w:spacing w:after="0" w:line="240" w:lineRule="auto"/>
        <w:contextualSpacing/>
        <w:rPr>
          <w:rFonts w:ascii="Georgia" w:hAnsi="Georgia"/>
          <w:sz w:val="24"/>
          <w:szCs w:val="24"/>
        </w:rPr>
      </w:pPr>
    </w:p>
    <w:p w14:paraId="2EAB39AD" w14:textId="77777777" w:rsidR="005D3970" w:rsidRPr="001A3327" w:rsidRDefault="005D3970" w:rsidP="00B6083E">
      <w:pPr>
        <w:spacing w:after="0" w:line="240" w:lineRule="auto"/>
        <w:contextualSpacing/>
        <w:rPr>
          <w:rFonts w:ascii="Georgia" w:hAnsi="Georgia"/>
          <w:sz w:val="24"/>
          <w:szCs w:val="24"/>
        </w:rPr>
      </w:pPr>
      <w:r w:rsidRPr="001A3327">
        <w:rPr>
          <w:rFonts w:ascii="Georgia" w:hAnsi="Georgia"/>
          <w:sz w:val="24"/>
          <w:szCs w:val="24"/>
        </w:rPr>
        <w:t xml:space="preserve">Penggunaan </w:t>
      </w:r>
      <w:r w:rsidR="004A0410">
        <w:rPr>
          <w:rFonts w:ascii="Georgia" w:hAnsi="Georgia"/>
          <w:sz w:val="24"/>
          <w:szCs w:val="24"/>
        </w:rPr>
        <w:t>C</w:t>
      </w:r>
      <w:r w:rsidR="003443E5" w:rsidRPr="001A3327">
        <w:rPr>
          <w:rFonts w:ascii="Georgia" w:hAnsi="Georgia"/>
          <w:sz w:val="24"/>
          <w:szCs w:val="24"/>
        </w:rPr>
        <w:t xml:space="preserve">ountry </w:t>
      </w:r>
      <w:r w:rsidR="004A0410">
        <w:rPr>
          <w:rFonts w:ascii="Georgia" w:hAnsi="Georgia"/>
          <w:sz w:val="24"/>
          <w:szCs w:val="24"/>
        </w:rPr>
        <w:t>S</w:t>
      </w:r>
      <w:r w:rsidR="003443E5" w:rsidRPr="001A3327">
        <w:rPr>
          <w:rFonts w:ascii="Georgia" w:hAnsi="Georgia"/>
          <w:sz w:val="24"/>
          <w:szCs w:val="24"/>
        </w:rPr>
        <w:t xml:space="preserve">ystems  </w:t>
      </w:r>
      <w:r w:rsidR="004A0410">
        <w:rPr>
          <w:rFonts w:ascii="Georgia" w:hAnsi="Georgia"/>
          <w:sz w:val="24"/>
          <w:szCs w:val="24"/>
        </w:rPr>
        <w:t>S</w:t>
      </w:r>
      <w:r w:rsidR="003443E5" w:rsidRPr="001A3327">
        <w:rPr>
          <w:rFonts w:ascii="Georgia" w:hAnsi="Georgia"/>
          <w:sz w:val="24"/>
          <w:szCs w:val="24"/>
        </w:rPr>
        <w:t xml:space="preserve">afeguard (CSS) </w:t>
      </w:r>
      <w:r w:rsidRPr="001A3327">
        <w:rPr>
          <w:rFonts w:ascii="Georgia" w:hAnsi="Georgia"/>
          <w:sz w:val="24"/>
          <w:szCs w:val="24"/>
        </w:rPr>
        <w:t xml:space="preserve">sesungguhnya memberikan dorongan kepada banyak negara untuk meningkatkan sistem perlindungan yang memiliki standar yang baik dan lebih tinggi. Namun upaya WB yang saat ini melakukan proses pelemahan </w:t>
      </w:r>
      <w:r w:rsidR="004A0410">
        <w:rPr>
          <w:rFonts w:ascii="Georgia" w:hAnsi="Georgia"/>
          <w:sz w:val="24"/>
          <w:szCs w:val="24"/>
        </w:rPr>
        <w:t xml:space="preserve">ESS justru makin mendorong kuatnya keingian pemerintah untuk maki memperlongar </w:t>
      </w:r>
      <w:r w:rsidRPr="001A3327">
        <w:rPr>
          <w:rFonts w:ascii="Georgia" w:hAnsi="Georgia"/>
          <w:sz w:val="24"/>
          <w:szCs w:val="24"/>
        </w:rPr>
        <w:t>s</w:t>
      </w:r>
      <w:r w:rsidR="002F16DF" w:rsidRPr="001A3327">
        <w:rPr>
          <w:rFonts w:ascii="Georgia" w:hAnsi="Georgia"/>
          <w:sz w:val="24"/>
          <w:szCs w:val="24"/>
        </w:rPr>
        <w:t>i</w:t>
      </w:r>
      <w:r w:rsidRPr="001A3327">
        <w:rPr>
          <w:rFonts w:ascii="Georgia" w:hAnsi="Georgia"/>
          <w:sz w:val="24"/>
          <w:szCs w:val="24"/>
        </w:rPr>
        <w:t xml:space="preserve">stem </w:t>
      </w:r>
      <w:r w:rsidR="004A0410">
        <w:rPr>
          <w:rFonts w:ascii="Georgia" w:hAnsi="Georgia"/>
          <w:sz w:val="24"/>
          <w:szCs w:val="24"/>
        </w:rPr>
        <w:t>perindungan nasional. Januari 2015, peme</w:t>
      </w:r>
      <w:r w:rsidR="00745FD9">
        <w:rPr>
          <w:rFonts w:ascii="Georgia" w:hAnsi="Georgia"/>
          <w:sz w:val="24"/>
          <w:szCs w:val="24"/>
        </w:rPr>
        <w:t>ri</w:t>
      </w:r>
      <w:r w:rsidR="004A0410">
        <w:rPr>
          <w:rFonts w:ascii="Georgia" w:hAnsi="Georgia"/>
          <w:sz w:val="24"/>
          <w:szCs w:val="24"/>
        </w:rPr>
        <w:t xml:space="preserve">ntah Indonesia mengelurkan </w:t>
      </w:r>
      <w:r w:rsidR="004A0410">
        <w:rPr>
          <w:rFonts w:ascii="Georgia" w:eastAsia="Times New Roman" w:hAnsi="Georgia" w:cs="Times New Roman"/>
          <w:sz w:val="24"/>
          <w:szCs w:val="24"/>
        </w:rPr>
        <w:t>kebjakan</w:t>
      </w:r>
      <w:r w:rsidR="004A0410" w:rsidRPr="00C71BA4">
        <w:rPr>
          <w:rFonts w:ascii="Georgia" w:eastAsia="Times New Roman" w:hAnsi="Georgia" w:cs="Times New Roman"/>
          <w:sz w:val="24"/>
          <w:szCs w:val="24"/>
        </w:rPr>
        <w:t xml:space="preserve"> restrukturisasi perizinan</w:t>
      </w:r>
      <w:r w:rsidR="004A0410">
        <w:rPr>
          <w:rFonts w:ascii="Georgia" w:eastAsia="Times New Roman" w:hAnsi="Georgia" w:cs="Times New Roman"/>
          <w:sz w:val="24"/>
          <w:szCs w:val="24"/>
        </w:rPr>
        <w:t xml:space="preserve"> untuk mempermudah </w:t>
      </w:r>
      <w:r w:rsidR="004A0410" w:rsidRPr="00C71BA4">
        <w:rPr>
          <w:rFonts w:ascii="Georgia" w:eastAsia="Times New Roman" w:hAnsi="Georgia" w:cs="Times New Roman"/>
          <w:sz w:val="24"/>
          <w:szCs w:val="24"/>
        </w:rPr>
        <w:t>pelayanan investasi pada 4 sektor utama yang sudah direncanakan Bappenas, yaitu infrastruktur, pertanian, maritim, dan listrik.</w:t>
      </w:r>
      <w:r w:rsidR="004A0410" w:rsidRPr="004A0410">
        <w:rPr>
          <w:rFonts w:ascii="Georgia" w:eastAsia="Times New Roman" w:hAnsi="Georgia" w:cs="Times New Roman"/>
          <w:sz w:val="24"/>
          <w:szCs w:val="24"/>
        </w:rPr>
        <w:t xml:space="preserve"> </w:t>
      </w:r>
      <w:r w:rsidR="004A0410">
        <w:rPr>
          <w:rFonts w:ascii="Georgia" w:eastAsia="Times New Roman" w:hAnsi="Georgia" w:cs="Times New Roman"/>
          <w:sz w:val="24"/>
          <w:szCs w:val="24"/>
        </w:rPr>
        <w:t>Sepember ini pemerintah kembali mengeluarkan kebiakan degulasi baru untuk mengubah 135 peraturan</w:t>
      </w:r>
      <w:r w:rsidR="00C17D83">
        <w:rPr>
          <w:rFonts w:ascii="Georgia" w:eastAsia="Times New Roman" w:hAnsi="Georgia" w:cs="Times New Roman"/>
          <w:sz w:val="24"/>
          <w:szCs w:val="24"/>
        </w:rPr>
        <w:t xml:space="preserve"> yang ter</w:t>
      </w:r>
      <w:r w:rsidR="00745FD9">
        <w:rPr>
          <w:rFonts w:ascii="Georgia" w:eastAsia="Times New Roman" w:hAnsi="Georgia" w:cs="Times New Roman"/>
          <w:sz w:val="24"/>
          <w:szCs w:val="24"/>
        </w:rPr>
        <w:t>ka</w:t>
      </w:r>
      <w:r w:rsidR="00C17D83">
        <w:rPr>
          <w:rFonts w:ascii="Georgia" w:eastAsia="Times New Roman" w:hAnsi="Georgia" w:cs="Times New Roman"/>
          <w:sz w:val="24"/>
          <w:szCs w:val="24"/>
        </w:rPr>
        <w:t>it dengan perce</w:t>
      </w:r>
      <w:r w:rsidR="00745FD9">
        <w:rPr>
          <w:rFonts w:ascii="Georgia" w:eastAsia="Times New Roman" w:hAnsi="Georgia" w:cs="Times New Roman"/>
          <w:sz w:val="24"/>
          <w:szCs w:val="24"/>
        </w:rPr>
        <w:t>pa</w:t>
      </w:r>
      <w:r w:rsidR="00C17D83">
        <w:rPr>
          <w:rFonts w:ascii="Georgia" w:eastAsia="Times New Roman" w:hAnsi="Georgia" w:cs="Times New Roman"/>
          <w:sz w:val="24"/>
          <w:szCs w:val="24"/>
        </w:rPr>
        <w:t>tan onomi, termuk pembgunan infastruktur.</w:t>
      </w:r>
    </w:p>
    <w:p w14:paraId="79D07EFB" w14:textId="77777777" w:rsidR="005D3970" w:rsidRPr="001A3327" w:rsidRDefault="005D3970" w:rsidP="00B6083E">
      <w:pPr>
        <w:spacing w:after="0" w:line="240" w:lineRule="auto"/>
        <w:contextualSpacing/>
        <w:rPr>
          <w:rFonts w:ascii="Georgia" w:hAnsi="Georgia"/>
          <w:sz w:val="24"/>
          <w:szCs w:val="24"/>
        </w:rPr>
      </w:pPr>
    </w:p>
    <w:p w14:paraId="4EA45AEB" w14:textId="77777777" w:rsidR="001A3327" w:rsidRPr="001A3327" w:rsidRDefault="00DB0577" w:rsidP="001A3327">
      <w:pPr>
        <w:autoSpaceDE w:val="0"/>
        <w:autoSpaceDN w:val="0"/>
        <w:adjustRightInd w:val="0"/>
        <w:spacing w:after="120"/>
        <w:rPr>
          <w:rFonts w:ascii="Georgia" w:hAnsi="Georgia"/>
          <w:b/>
          <w:sz w:val="24"/>
          <w:szCs w:val="24"/>
        </w:rPr>
      </w:pPr>
      <w:r w:rsidRPr="001A3327">
        <w:rPr>
          <w:rFonts w:ascii="Georgia" w:hAnsi="Georgia"/>
          <w:b/>
          <w:sz w:val="24"/>
          <w:szCs w:val="24"/>
        </w:rPr>
        <w:t xml:space="preserve">a. </w:t>
      </w:r>
      <w:r w:rsidR="001A3327" w:rsidRPr="001A3327">
        <w:rPr>
          <w:rFonts w:ascii="Georgia" w:hAnsi="Georgia"/>
          <w:b/>
          <w:sz w:val="24"/>
          <w:szCs w:val="24"/>
        </w:rPr>
        <w:t xml:space="preserve"> Pelonggaran Perubahan</w:t>
      </w:r>
      <w:r w:rsidRPr="001A3327">
        <w:rPr>
          <w:rFonts w:ascii="Georgia" w:hAnsi="Georgia"/>
          <w:b/>
          <w:sz w:val="24"/>
          <w:szCs w:val="24"/>
        </w:rPr>
        <w:t xml:space="preserve">  </w:t>
      </w:r>
      <w:r w:rsidR="001A3327" w:rsidRPr="001A3327">
        <w:rPr>
          <w:rFonts w:ascii="Georgia" w:hAnsi="Georgia"/>
          <w:b/>
          <w:sz w:val="24"/>
          <w:szCs w:val="24"/>
        </w:rPr>
        <w:t xml:space="preserve">Tataruang </w:t>
      </w:r>
    </w:p>
    <w:p w14:paraId="1240CD67" w14:textId="77777777" w:rsidR="00745FD9" w:rsidRDefault="001A3327" w:rsidP="00745FD9">
      <w:pPr>
        <w:pStyle w:val="ListParagraph"/>
        <w:numPr>
          <w:ilvl w:val="0"/>
          <w:numId w:val="36"/>
        </w:numPr>
        <w:autoSpaceDE w:val="0"/>
        <w:autoSpaceDN w:val="0"/>
        <w:adjustRightInd w:val="0"/>
        <w:spacing w:after="120"/>
        <w:ind w:left="360"/>
        <w:rPr>
          <w:rFonts w:ascii="Georgia" w:hAnsi="Georgia"/>
        </w:rPr>
      </w:pPr>
      <w:r w:rsidRPr="00745FD9">
        <w:rPr>
          <w:rFonts w:ascii="Georgia" w:hAnsi="Georgia"/>
        </w:rPr>
        <w:t xml:space="preserve">Di dalam </w:t>
      </w:r>
      <w:r w:rsidR="00745FD9">
        <w:rPr>
          <w:rFonts w:ascii="Georgia" w:hAnsi="Georgia"/>
        </w:rPr>
        <w:t xml:space="preserve">UU </w:t>
      </w:r>
      <w:r w:rsidRPr="00745FD9">
        <w:rPr>
          <w:rFonts w:ascii="Georgia" w:hAnsi="Georgia"/>
        </w:rPr>
        <w:t xml:space="preserve">N0 2/1992 mengenai tataruang, pemerintah </w:t>
      </w:r>
      <w:r w:rsidR="00745FD9">
        <w:rPr>
          <w:rFonts w:ascii="Georgia" w:hAnsi="Georgia"/>
        </w:rPr>
        <w:t xml:space="preserve">hanya </w:t>
      </w:r>
      <w:r w:rsidRPr="00745FD9">
        <w:rPr>
          <w:rFonts w:ascii="Georgia" w:hAnsi="Georgia"/>
        </w:rPr>
        <w:t xml:space="preserve">bisa mengubah tata ruang nasional setiap 25 tahun sekali, provinsi 15 tahun sekali, dan dan kabupaten/kota setiap 10 tahun. Namun dengan </w:t>
      </w:r>
      <w:r w:rsidR="00745FD9">
        <w:rPr>
          <w:rFonts w:ascii="Georgia" w:hAnsi="Georgia"/>
        </w:rPr>
        <w:t xml:space="preserve">UU </w:t>
      </w:r>
      <w:r w:rsidRPr="00745FD9">
        <w:rPr>
          <w:rFonts w:ascii="Georgia" w:hAnsi="Georgia"/>
        </w:rPr>
        <w:t>No. 26/2007, pengalihan tata ruang pada semua tingkatan bisa dilakukan lebi</w:t>
      </w:r>
      <w:r w:rsidR="00745FD9">
        <w:rPr>
          <w:rFonts w:ascii="Georgia" w:hAnsi="Georgia"/>
        </w:rPr>
        <w:t>h dari satu kali dalam 5 tahun.</w:t>
      </w:r>
    </w:p>
    <w:p w14:paraId="5B14AEB3" w14:textId="77777777" w:rsidR="001A3327" w:rsidRPr="00745FD9" w:rsidRDefault="00745FD9" w:rsidP="00745FD9">
      <w:pPr>
        <w:pStyle w:val="ListParagraph"/>
        <w:numPr>
          <w:ilvl w:val="0"/>
          <w:numId w:val="36"/>
        </w:numPr>
        <w:autoSpaceDE w:val="0"/>
        <w:autoSpaceDN w:val="0"/>
        <w:adjustRightInd w:val="0"/>
        <w:spacing w:after="120"/>
        <w:ind w:left="360"/>
        <w:rPr>
          <w:rFonts w:ascii="Georgia" w:hAnsi="Georgia"/>
        </w:rPr>
      </w:pPr>
      <w:r>
        <w:rPr>
          <w:rFonts w:ascii="Georgia" w:hAnsi="Georgia"/>
        </w:rPr>
        <w:t>P</w:t>
      </w:r>
      <w:r w:rsidR="001A3327" w:rsidRPr="00745FD9">
        <w:rPr>
          <w:rFonts w:ascii="Georgia" w:hAnsi="Georgia"/>
        </w:rPr>
        <w:t xml:space="preserve">erubahan fungsi kawasan lindung atau hutan taman nasional atau kawasan konservasi selalu diawali oleh tindakan perusakan kawasan yang akan dialihkan fungsinya. Lalu pihak investor dan pemerintah menyepakati untuk mengubah fungsinya menjadi areal perkebunan sawit, hutan tanaman industry, atau kawasan penambangan mineral atau batubara. </w:t>
      </w:r>
    </w:p>
    <w:p w14:paraId="437EF167" w14:textId="77777777" w:rsidR="007467A1" w:rsidRDefault="007467A1" w:rsidP="00B6083E">
      <w:pPr>
        <w:autoSpaceDE w:val="0"/>
        <w:autoSpaceDN w:val="0"/>
        <w:adjustRightInd w:val="0"/>
        <w:spacing w:line="240" w:lineRule="auto"/>
        <w:ind w:left="360" w:hanging="360"/>
        <w:rPr>
          <w:rFonts w:ascii="Georgia" w:hAnsi="Georgia"/>
          <w:b/>
          <w:sz w:val="24"/>
          <w:szCs w:val="24"/>
        </w:rPr>
      </w:pPr>
    </w:p>
    <w:p w14:paraId="77FFD73A" w14:textId="77777777" w:rsidR="007467A1" w:rsidRDefault="001A3327" w:rsidP="007467A1">
      <w:pPr>
        <w:autoSpaceDE w:val="0"/>
        <w:autoSpaceDN w:val="0"/>
        <w:adjustRightInd w:val="0"/>
        <w:spacing w:after="0"/>
        <w:rPr>
          <w:rFonts w:ascii="Georgia" w:hAnsi="Georgia"/>
          <w:b/>
          <w:sz w:val="24"/>
          <w:szCs w:val="24"/>
        </w:rPr>
      </w:pPr>
      <w:r w:rsidRPr="001A3327">
        <w:rPr>
          <w:rFonts w:ascii="Georgia" w:hAnsi="Georgia"/>
          <w:b/>
          <w:sz w:val="24"/>
          <w:szCs w:val="24"/>
        </w:rPr>
        <w:t xml:space="preserve">b.  </w:t>
      </w:r>
      <w:r w:rsidR="007467A1">
        <w:rPr>
          <w:rFonts w:ascii="Georgia" w:hAnsi="Georgia"/>
          <w:b/>
          <w:sz w:val="24"/>
          <w:szCs w:val="24"/>
        </w:rPr>
        <w:t>Kebijan Pertanaha yang Merugikan Publik</w:t>
      </w:r>
    </w:p>
    <w:p w14:paraId="2CF0D1F8" w14:textId="77777777" w:rsidR="007467A1" w:rsidRDefault="007467A1" w:rsidP="007467A1">
      <w:pPr>
        <w:autoSpaceDE w:val="0"/>
        <w:autoSpaceDN w:val="0"/>
        <w:adjustRightInd w:val="0"/>
        <w:spacing w:after="0"/>
        <w:rPr>
          <w:rFonts w:ascii="Georgia" w:hAnsi="Georgia"/>
          <w:sz w:val="24"/>
          <w:szCs w:val="24"/>
        </w:rPr>
      </w:pPr>
    </w:p>
    <w:p w14:paraId="2DB3E159" w14:textId="77777777" w:rsidR="00E21762" w:rsidRDefault="007467A1" w:rsidP="00E21762">
      <w:pPr>
        <w:pStyle w:val="ListParagraph"/>
        <w:numPr>
          <w:ilvl w:val="0"/>
          <w:numId w:val="37"/>
        </w:numPr>
        <w:autoSpaceDE w:val="0"/>
        <w:autoSpaceDN w:val="0"/>
        <w:adjustRightInd w:val="0"/>
        <w:ind w:left="360"/>
        <w:rPr>
          <w:rFonts w:ascii="Georgia" w:hAnsi="Georgia" w:cs="Bookman-Light"/>
        </w:rPr>
      </w:pPr>
      <w:r w:rsidRPr="00E21762">
        <w:rPr>
          <w:rFonts w:ascii="Georgia" w:hAnsi="Georgia"/>
        </w:rPr>
        <w:t xml:space="preserve">Pada awal 201 5 Preseden Jokowi </w:t>
      </w:r>
      <w:r w:rsidRPr="00E21762">
        <w:rPr>
          <w:rFonts w:ascii="Georgia" w:hAnsi="Georgia" w:cs="Bookman-Light"/>
        </w:rPr>
        <w:t xml:space="preserve">Pada tahun ini pemerinth menerbitkan Perpres No. 30 Tahun 2015 mengennai pengadaan tanah untuk kepentingan umum. Aturan ini memungkinkan perusahan yang memerlukan tanah untuk pembangunan proyek </w:t>
      </w:r>
      <w:r w:rsidR="002E1835" w:rsidRPr="00E21762">
        <w:rPr>
          <w:rFonts w:ascii="Georgia" w:hAnsi="Georgia" w:cs="Bookman-Light"/>
        </w:rPr>
        <w:t xml:space="preserve">dapat bertindak atasnama Negara. </w:t>
      </w:r>
    </w:p>
    <w:p w14:paraId="68D8ED65" w14:textId="77777777" w:rsidR="00E21762" w:rsidRDefault="002E1835" w:rsidP="00E21762">
      <w:pPr>
        <w:pStyle w:val="ListParagraph"/>
        <w:numPr>
          <w:ilvl w:val="0"/>
          <w:numId w:val="37"/>
        </w:numPr>
        <w:autoSpaceDE w:val="0"/>
        <w:autoSpaceDN w:val="0"/>
        <w:adjustRightInd w:val="0"/>
        <w:ind w:left="360"/>
        <w:rPr>
          <w:rFonts w:ascii="Georgia" w:hAnsi="Georgia" w:cs="Bookman-Light"/>
        </w:rPr>
      </w:pPr>
      <w:r w:rsidRPr="00E21762">
        <w:rPr>
          <w:rFonts w:ascii="Georgia" w:hAnsi="Georgia" w:cs="Bookman-Light"/>
        </w:rPr>
        <w:t>Ini yang kemudia</w:t>
      </w:r>
      <w:r w:rsidR="00E21762">
        <w:rPr>
          <w:rFonts w:ascii="Georgia" w:hAnsi="Georgia" w:cs="Bookman-Light"/>
        </w:rPr>
        <w:t>n</w:t>
      </w:r>
      <w:r w:rsidRPr="00E21762">
        <w:rPr>
          <w:rFonts w:ascii="Georgia" w:hAnsi="Georgia" w:cs="Bookman-Light"/>
        </w:rPr>
        <w:t xml:space="preserve"> digunakan oleh seju</w:t>
      </w:r>
      <w:r w:rsidR="00E21762">
        <w:rPr>
          <w:rFonts w:ascii="Georgia" w:hAnsi="Georgia" w:cs="Bookman-Light"/>
        </w:rPr>
        <w:t>m</w:t>
      </w:r>
      <w:r w:rsidRPr="00E21762">
        <w:rPr>
          <w:rFonts w:ascii="Georgia" w:hAnsi="Georgia" w:cs="Bookman-Light"/>
        </w:rPr>
        <w:t>lah pe</w:t>
      </w:r>
      <w:r w:rsidR="00E21762">
        <w:rPr>
          <w:rFonts w:ascii="Georgia" w:hAnsi="Georgia" w:cs="Bookman-Light"/>
        </w:rPr>
        <w:t>r</w:t>
      </w:r>
      <w:r w:rsidRPr="00E21762">
        <w:rPr>
          <w:rFonts w:ascii="Georgia" w:hAnsi="Georgia" w:cs="Bookman-Light"/>
        </w:rPr>
        <w:t xml:space="preserve">usahan untuk melibatkan aparat milter dan kepolisian dalam pembeban tanah. </w:t>
      </w:r>
    </w:p>
    <w:p w14:paraId="65182244" w14:textId="77777777" w:rsidR="00E21762" w:rsidRDefault="00E21762" w:rsidP="00E21762">
      <w:pPr>
        <w:pStyle w:val="ListParagraph"/>
        <w:numPr>
          <w:ilvl w:val="0"/>
          <w:numId w:val="37"/>
        </w:numPr>
        <w:autoSpaceDE w:val="0"/>
        <w:autoSpaceDN w:val="0"/>
        <w:adjustRightInd w:val="0"/>
        <w:ind w:left="360"/>
        <w:rPr>
          <w:rFonts w:ascii="Georgia" w:hAnsi="Georgia" w:cs="Bookman-Light"/>
        </w:rPr>
      </w:pPr>
      <w:r>
        <w:rPr>
          <w:rFonts w:ascii="Georgia" w:hAnsi="Georgia" w:cs="Bookman-Light"/>
        </w:rPr>
        <w:t>B</w:t>
      </w:r>
      <w:r w:rsidR="002E1835" w:rsidRPr="00E21762">
        <w:rPr>
          <w:rFonts w:ascii="Georgia" w:hAnsi="Georgia" w:cs="Bookman-Light"/>
        </w:rPr>
        <w:t>eberapa aturan yang terkait juga dengan m</w:t>
      </w:r>
      <w:r w:rsidRPr="00E21762">
        <w:rPr>
          <w:rFonts w:ascii="Georgia" w:hAnsi="Georgia" w:cs="Bookman-Light"/>
        </w:rPr>
        <w:t>ud</w:t>
      </w:r>
      <w:r w:rsidR="002E1835" w:rsidRPr="00E21762">
        <w:rPr>
          <w:rFonts w:ascii="Georgia" w:hAnsi="Georgia" w:cs="Bookman-Light"/>
        </w:rPr>
        <w:t xml:space="preserve">ah </w:t>
      </w:r>
      <w:r w:rsidRPr="00E21762">
        <w:rPr>
          <w:rFonts w:ascii="Georgia" w:hAnsi="Georgia" w:cs="Bookman-Light"/>
        </w:rPr>
        <w:t xml:space="preserve">bisa </w:t>
      </w:r>
      <w:r w:rsidR="002E1835" w:rsidRPr="00E21762">
        <w:rPr>
          <w:rFonts w:ascii="Georgia" w:hAnsi="Georgia" w:cs="Bookman-Light"/>
        </w:rPr>
        <w:t>digunakan untuk memindahkanmasyakat adat dri atas tanahnya.</w:t>
      </w:r>
      <w:r w:rsidRPr="00E21762">
        <w:rPr>
          <w:rFonts w:ascii="Georgia" w:hAnsi="Georgia" w:cs="Bookman-Light"/>
        </w:rPr>
        <w:t xml:space="preserve"> </w:t>
      </w:r>
    </w:p>
    <w:p w14:paraId="69E77E17" w14:textId="77777777" w:rsidR="002E1835" w:rsidRPr="00314DA3" w:rsidRDefault="00E21762" w:rsidP="00E21762">
      <w:pPr>
        <w:pStyle w:val="ListParagraph"/>
        <w:numPr>
          <w:ilvl w:val="0"/>
          <w:numId w:val="37"/>
        </w:numPr>
        <w:autoSpaceDE w:val="0"/>
        <w:autoSpaceDN w:val="0"/>
        <w:adjustRightInd w:val="0"/>
        <w:ind w:left="360"/>
        <w:rPr>
          <w:rFonts w:ascii="Georgia" w:hAnsi="Georgia" w:cs="Bookman-Light"/>
        </w:rPr>
      </w:pPr>
      <w:r w:rsidRPr="00E21762">
        <w:rPr>
          <w:rFonts w:ascii="Georgia" w:hAnsi="Georgia" w:cs="Bookman-Light"/>
        </w:rPr>
        <w:t>Pemerintah bisa secara sepi</w:t>
      </w:r>
      <w:r>
        <w:rPr>
          <w:rFonts w:ascii="Georgia" w:hAnsi="Georgia" w:cs="Bookman-Light"/>
        </w:rPr>
        <w:t>ha</w:t>
      </w:r>
      <w:r w:rsidRPr="00E21762">
        <w:rPr>
          <w:rFonts w:ascii="Georgia" w:hAnsi="Georgia" w:cs="Bookman-Light"/>
        </w:rPr>
        <w:t xml:space="preserve">k dan dengan menggunakan kekerasan </w:t>
      </w:r>
      <w:r>
        <w:rPr>
          <w:rFonts w:ascii="Georgia" w:hAnsi="Georgia" w:cs="Bookman-Light"/>
        </w:rPr>
        <w:t xml:space="preserve">bsa memaksa </w:t>
      </w:r>
      <w:r w:rsidRPr="00314DA3">
        <w:rPr>
          <w:rFonts w:ascii="Georgia" w:hAnsi="Georgia" w:cs="Bookman-Light"/>
        </w:rPr>
        <w:t>masayakat pindah dari atas tanahnya seperti dalam kasus dam Jatigede yang didanai MDB’ dan bebearapa korporasi (Austus 2015)</w:t>
      </w:r>
      <w:r w:rsidR="00314DA3">
        <w:rPr>
          <w:rFonts w:ascii="Georgia" w:hAnsi="Georgia" w:cs="Bookman-Light"/>
        </w:rPr>
        <w:t>. Juga</w:t>
      </w:r>
      <w:r w:rsidRPr="00314DA3">
        <w:rPr>
          <w:rFonts w:ascii="Georgia" w:hAnsi="Georgia" w:cs="Bookman-Light"/>
        </w:rPr>
        <w:t xml:space="preserve"> </w:t>
      </w:r>
      <w:r w:rsidRPr="00314DA3">
        <w:rPr>
          <w:rFonts w:ascii="Georgia" w:hAnsi="Georgia"/>
        </w:rPr>
        <w:t>proyek</w:t>
      </w:r>
      <w:r w:rsidR="00314DA3" w:rsidRPr="00314DA3">
        <w:rPr>
          <w:rFonts w:ascii="Georgia" w:eastAsiaTheme="minorHAnsi" w:hAnsi="Georgia" w:cs="Arial"/>
          <w:bCs/>
          <w:i/>
          <w:iCs/>
          <w:color w:val="252525"/>
          <w:shd w:val="clear" w:color="auto" w:fill="FFFFFF"/>
        </w:rPr>
        <w:t xml:space="preserve"> Jakarta Emergency </w:t>
      </w:r>
      <w:r w:rsidR="00314DA3" w:rsidRPr="00314DA3">
        <w:rPr>
          <w:rFonts w:ascii="Georgia" w:eastAsiaTheme="minorHAnsi" w:hAnsi="Georgia" w:cs="Arial"/>
          <w:bCs/>
          <w:i/>
          <w:iCs/>
          <w:color w:val="252525"/>
          <w:shd w:val="clear" w:color="auto" w:fill="FFFFFF"/>
        </w:rPr>
        <w:lastRenderedPageBreak/>
        <w:t>Dredging Initiative</w:t>
      </w:r>
      <w:r w:rsidR="00314DA3">
        <w:rPr>
          <w:rFonts w:ascii="Georgia" w:eastAsiaTheme="minorHAnsi" w:hAnsi="Georgia" w:cs="Arial"/>
          <w:bCs/>
          <w:iCs/>
          <w:color w:val="252525"/>
          <w:shd w:val="clear" w:color="auto" w:fill="FFFFFF"/>
        </w:rPr>
        <w:t xml:space="preserve"> (</w:t>
      </w:r>
      <w:r w:rsidR="00314DA3" w:rsidRPr="00314DA3">
        <w:rPr>
          <w:rFonts w:ascii="Georgia" w:eastAsiaTheme="minorHAnsi" w:hAnsi="Georgia" w:cs="Arial"/>
          <w:bCs/>
          <w:color w:val="252525"/>
          <w:shd w:val="clear" w:color="auto" w:fill="FFFFFF"/>
        </w:rPr>
        <w:t>JEDI</w:t>
      </w:r>
      <w:r w:rsidR="00314DA3">
        <w:rPr>
          <w:rFonts w:ascii="Georgia" w:eastAsiaTheme="minorHAnsi" w:hAnsi="Georgia" w:cs="Arial"/>
          <w:bCs/>
          <w:color w:val="252525"/>
          <w:shd w:val="clear" w:color="auto" w:fill="FFFFFF"/>
        </w:rPr>
        <w:t>)</w:t>
      </w:r>
      <w:r w:rsidR="00314DA3" w:rsidRPr="00314DA3">
        <w:rPr>
          <w:rFonts w:ascii="Georgia" w:eastAsiaTheme="minorHAnsi" w:hAnsi="Georgia" w:cs="Arial"/>
          <w:color w:val="252525"/>
          <w:shd w:val="clear" w:color="auto" w:fill="FFFFFF"/>
        </w:rPr>
        <w:t xml:space="preserve">, </w:t>
      </w:r>
      <w:r w:rsidR="00314DA3">
        <w:rPr>
          <w:rFonts w:ascii="Georgia" w:eastAsiaTheme="minorHAnsi" w:hAnsi="Georgia" w:cs="Arial"/>
          <w:color w:val="252525"/>
          <w:shd w:val="clear" w:color="auto" w:fill="FFFFFF"/>
        </w:rPr>
        <w:t>proyek penataan</w:t>
      </w:r>
      <w:r w:rsidR="00314DA3" w:rsidRPr="00314DA3">
        <w:rPr>
          <w:rFonts w:ascii="Georgia" w:eastAsiaTheme="minorHAnsi" w:hAnsi="Georgia" w:cs="Arial"/>
          <w:color w:val="252525"/>
          <w:shd w:val="clear" w:color="auto" w:fill="FFFFFF"/>
        </w:rPr>
        <w:t xml:space="preserve"> sistem drainase di </w:t>
      </w:r>
      <w:hyperlink r:id="rId6" w:tooltip="Jakarta" w:history="1">
        <w:r w:rsidR="00314DA3" w:rsidRPr="00314DA3">
          <w:rPr>
            <w:rFonts w:ascii="Georgia" w:eastAsiaTheme="minorHAnsi" w:hAnsi="Georgia" w:cs="Arial"/>
            <w:color w:val="0B0080"/>
            <w:shd w:val="clear" w:color="auto" w:fill="FFFFFF"/>
          </w:rPr>
          <w:t>Jakarta</w:t>
        </w:r>
      </w:hyperlink>
      <w:r w:rsidR="00314DA3">
        <w:rPr>
          <w:rFonts w:ascii="Georgia" w:eastAsiaTheme="minorHAnsi" w:hAnsi="Georgia" w:cstheme="minorBidi"/>
        </w:rPr>
        <w:t xml:space="preserve"> yang didanai </w:t>
      </w:r>
      <w:hyperlink r:id="rId7" w:tooltip="Bank Dunia" w:history="1">
        <w:r w:rsidR="00314DA3" w:rsidRPr="00314DA3">
          <w:rPr>
            <w:rFonts w:ascii="Georgia" w:eastAsiaTheme="minorHAnsi" w:hAnsi="Georgia" w:cs="Arial"/>
            <w:color w:val="0B0080"/>
            <w:shd w:val="clear" w:color="auto" w:fill="FFFFFF"/>
          </w:rPr>
          <w:t>Bank Dunia</w:t>
        </w:r>
      </w:hyperlink>
      <w:r w:rsidR="00314DA3">
        <w:rPr>
          <w:rFonts w:ascii="Georgia" w:eastAsiaTheme="minorHAnsi" w:hAnsi="Georgia" w:cstheme="minorBidi"/>
        </w:rPr>
        <w:t xml:space="preserve"> </w:t>
      </w:r>
      <w:r w:rsidR="00314DA3" w:rsidRPr="00314DA3">
        <w:rPr>
          <w:rFonts w:ascii="Georgia" w:eastAsiaTheme="minorHAnsi" w:hAnsi="Georgia" w:cs="Arial"/>
          <w:color w:val="252525"/>
          <w:shd w:val="clear" w:color="auto" w:fill="FFFFFF"/>
        </w:rPr>
        <w:t>sebesar US$ 135</w:t>
      </w:r>
      <w:r w:rsidR="00314DA3">
        <w:rPr>
          <w:rFonts w:ascii="Georgia" w:eastAsiaTheme="minorHAnsi" w:hAnsi="Georgia" w:cs="Arial"/>
          <w:color w:val="252525"/>
          <w:shd w:val="clear" w:color="auto" w:fill="FFFFFF"/>
        </w:rPr>
        <w:t xml:space="preserve"> juta.</w:t>
      </w:r>
    </w:p>
    <w:p w14:paraId="70DD2E11" w14:textId="77777777" w:rsidR="007467A1" w:rsidRPr="00521EB5" w:rsidRDefault="007467A1" w:rsidP="007467A1">
      <w:pPr>
        <w:autoSpaceDE w:val="0"/>
        <w:autoSpaceDN w:val="0"/>
        <w:adjustRightInd w:val="0"/>
        <w:spacing w:after="0"/>
        <w:rPr>
          <w:rFonts w:ascii="Georgia" w:hAnsi="Georgia" w:cs="Bookman-Light"/>
          <w:sz w:val="24"/>
          <w:szCs w:val="24"/>
        </w:rPr>
      </w:pPr>
    </w:p>
    <w:p w14:paraId="703D29B9" w14:textId="77777777" w:rsidR="00DB0577" w:rsidRDefault="007467A1" w:rsidP="00B6083E">
      <w:pPr>
        <w:autoSpaceDE w:val="0"/>
        <w:autoSpaceDN w:val="0"/>
        <w:adjustRightInd w:val="0"/>
        <w:spacing w:line="240" w:lineRule="auto"/>
        <w:ind w:left="360" w:hanging="360"/>
        <w:rPr>
          <w:rFonts w:ascii="Georgia" w:hAnsi="Georgia"/>
          <w:b/>
          <w:sz w:val="24"/>
          <w:szCs w:val="24"/>
        </w:rPr>
      </w:pPr>
      <w:r>
        <w:rPr>
          <w:rFonts w:ascii="Georgia" w:hAnsi="Georgia"/>
          <w:b/>
          <w:sz w:val="24"/>
          <w:szCs w:val="24"/>
        </w:rPr>
        <w:t xml:space="preserve">c   </w:t>
      </w:r>
      <w:r w:rsidR="00DB0577" w:rsidRPr="001A3327">
        <w:rPr>
          <w:rFonts w:ascii="Georgia" w:hAnsi="Georgia"/>
          <w:b/>
          <w:sz w:val="24"/>
          <w:szCs w:val="24"/>
        </w:rPr>
        <w:t xml:space="preserve">Proses EA/Amdal </w:t>
      </w:r>
      <w:r w:rsidR="007A4E3E" w:rsidRPr="001A3327">
        <w:rPr>
          <w:rFonts w:ascii="Georgia" w:hAnsi="Georgia"/>
          <w:b/>
          <w:sz w:val="24"/>
          <w:szCs w:val="24"/>
        </w:rPr>
        <w:t>memiliki standar lebih rendah di banding OP 4.01:</w:t>
      </w:r>
    </w:p>
    <w:p w14:paraId="75769F9B" w14:textId="77777777" w:rsidR="00314DA3" w:rsidRDefault="00E21762" w:rsidP="00E21762">
      <w:pPr>
        <w:pStyle w:val="ListParagraph"/>
        <w:numPr>
          <w:ilvl w:val="0"/>
          <w:numId w:val="38"/>
        </w:numPr>
        <w:autoSpaceDE w:val="0"/>
        <w:autoSpaceDN w:val="0"/>
        <w:adjustRightInd w:val="0"/>
        <w:ind w:left="360"/>
        <w:rPr>
          <w:rFonts w:ascii="Georgia" w:hAnsi="Georgia" w:cs="BookmanOldStyle"/>
        </w:rPr>
      </w:pPr>
      <w:r w:rsidRPr="00314DA3">
        <w:rPr>
          <w:rFonts w:ascii="Georgia" w:hAnsi="Georgia" w:cs="BookmanOldStyle"/>
        </w:rPr>
        <w:t xml:space="preserve">Beberapa aspek penting dalam kerumitan country system di Indonesia adalah hubungan antara AMDAL, perizinan dan pemenuhan prinsip </w:t>
      </w:r>
      <w:r w:rsidR="00314DA3" w:rsidRPr="00314DA3">
        <w:rPr>
          <w:rFonts w:ascii="Georgia" w:hAnsi="Georgia" w:cs="BookmanOldStyle"/>
        </w:rPr>
        <w:t>free prior inform cons</w:t>
      </w:r>
      <w:r w:rsidRPr="00314DA3">
        <w:rPr>
          <w:rFonts w:ascii="Georgia" w:hAnsi="Georgia" w:cs="BookmanOldStyle"/>
        </w:rPr>
        <w:t xml:space="preserve">ent (FPIC) dalam pelaksanaan proyek-proyek di berbagai sektor. </w:t>
      </w:r>
    </w:p>
    <w:p w14:paraId="62D5F1D2" w14:textId="77777777" w:rsidR="00314DA3" w:rsidRDefault="00E21762" w:rsidP="00E21762">
      <w:pPr>
        <w:pStyle w:val="ListParagraph"/>
        <w:numPr>
          <w:ilvl w:val="0"/>
          <w:numId w:val="38"/>
        </w:numPr>
        <w:autoSpaceDE w:val="0"/>
        <w:autoSpaceDN w:val="0"/>
        <w:adjustRightInd w:val="0"/>
        <w:ind w:left="360"/>
        <w:rPr>
          <w:rFonts w:ascii="Georgia" w:hAnsi="Georgia" w:cs="BookmanOldStyle"/>
        </w:rPr>
      </w:pPr>
      <w:r w:rsidRPr="00314DA3">
        <w:rPr>
          <w:rFonts w:ascii="Georgia" w:hAnsi="Georgia" w:cs="BookmanOldStyle"/>
        </w:rPr>
        <w:t>Dalam PP No 27 Tahun 1999 tentang AMDAL misalnya, disebutkan bahwa AMDAL merupakan prasyarat izin usaha. Namun pada prakteknya izin usaha adalah izin yang diberikan setelah suatu perusahaan menyelesaikan beberapa tahapan usahanya. AMDAL tidak berkaitan dengan izin-izin lainnya seperti izin lokasi dan izin pembebasan tanah. Padahal kedua izin inilah yang selalu menghilangkan hak-hak dan peran masyarakat.</w:t>
      </w:r>
    </w:p>
    <w:p w14:paraId="44AAF083" w14:textId="77777777" w:rsidR="00314DA3" w:rsidRPr="00314DA3" w:rsidRDefault="00E21762" w:rsidP="00E21762">
      <w:pPr>
        <w:pStyle w:val="ListParagraph"/>
        <w:numPr>
          <w:ilvl w:val="0"/>
          <w:numId w:val="38"/>
        </w:numPr>
        <w:autoSpaceDE w:val="0"/>
        <w:autoSpaceDN w:val="0"/>
        <w:adjustRightInd w:val="0"/>
        <w:ind w:left="360"/>
        <w:rPr>
          <w:rFonts w:ascii="Georgia" w:hAnsi="Georgia" w:cs="BookmanOldStyle"/>
        </w:rPr>
      </w:pPr>
      <w:r w:rsidRPr="00314DA3">
        <w:rPr>
          <w:rFonts w:ascii="Georgia" w:hAnsi="Georgia"/>
        </w:rPr>
        <w:t xml:space="preserve">Pemerintah telah menerbitkan </w:t>
      </w:r>
      <w:r w:rsidRPr="00314DA3">
        <w:rPr>
          <w:rFonts w:ascii="Georgia" w:hAnsi="Georgia" w:cs="Calibri"/>
        </w:rPr>
        <w:t xml:space="preserve">PP No. 27 Tahun 2012 tentang Izin Lingkungan, namun lagi-lagi ijin lokasi dan izin pembebasan tanah tidak termasuk di dalam rezim izin lingkungan. </w:t>
      </w:r>
    </w:p>
    <w:p w14:paraId="6CD9A8A7" w14:textId="77777777" w:rsidR="00314DA3" w:rsidRPr="00314DA3" w:rsidRDefault="00E21762" w:rsidP="00E21762">
      <w:pPr>
        <w:pStyle w:val="ListParagraph"/>
        <w:numPr>
          <w:ilvl w:val="0"/>
          <w:numId w:val="38"/>
        </w:numPr>
        <w:autoSpaceDE w:val="0"/>
        <w:autoSpaceDN w:val="0"/>
        <w:adjustRightInd w:val="0"/>
        <w:ind w:left="360"/>
        <w:rPr>
          <w:rFonts w:ascii="Georgia" w:hAnsi="Georgia" w:cs="BookmanOldStyle"/>
        </w:rPr>
      </w:pPr>
      <w:r w:rsidRPr="00314DA3">
        <w:rPr>
          <w:rFonts w:ascii="Georgia" w:hAnsi="Georgia" w:cs="Calibri"/>
        </w:rPr>
        <w:t>Ada beberapa perubahan yang berkaitan dengan mekanisme AMDAL, antara lain harus didasarkan pada Kajian Lingkungan Hidup Strategis (KLHS) dan rencana tata ruang. Namun demikian,  dalam hal izin lokasi dan pembebasan tanah, fungsinya menjadi tidak berbeda dengan PP No. 27 Tahun 1999. Dalam perizinan pengelolaan hutan misalnya, proses penentuan lokasi dilakukan  dilakukan tanpa pertimbangan berdasarkan hasil kajian AMDAL. Dalam hal ini AMDAL hanya menjafi formalitas untuk pemenuhan prosedur dan bukan sebagai proses yang menentukan layak tidaknya suatu proyek kehutanan dilakukan suatu tempat.</w:t>
      </w:r>
    </w:p>
    <w:p w14:paraId="7528116A" w14:textId="77777777" w:rsidR="00314DA3" w:rsidRPr="00314DA3" w:rsidRDefault="00E21762" w:rsidP="00314DA3">
      <w:pPr>
        <w:pStyle w:val="ListParagraph"/>
        <w:numPr>
          <w:ilvl w:val="0"/>
          <w:numId w:val="38"/>
        </w:numPr>
        <w:autoSpaceDE w:val="0"/>
        <w:autoSpaceDN w:val="0"/>
        <w:adjustRightInd w:val="0"/>
        <w:ind w:left="360"/>
        <w:rPr>
          <w:rFonts w:ascii="Georgia" w:hAnsi="Georgia" w:cs="BookmanOldStyle"/>
        </w:rPr>
      </w:pPr>
      <w:r w:rsidRPr="00314DA3">
        <w:rPr>
          <w:rFonts w:ascii="Georgia" w:hAnsi="Georgia"/>
        </w:rPr>
        <w:t>Peran masyarakat bahkan sangat limitatif, terbatas sebagai narasumber dala</w:t>
      </w:r>
      <w:r w:rsidR="00314DA3">
        <w:rPr>
          <w:rFonts w:ascii="Georgia" w:hAnsi="Georgia"/>
        </w:rPr>
        <w:t xml:space="preserve">m proses studi konsultan AMDAL; </w:t>
      </w:r>
      <w:r w:rsidRPr="00314DA3">
        <w:rPr>
          <w:rFonts w:ascii="Georgia" w:hAnsi="Georgia"/>
        </w:rPr>
        <w:t>memberikan tanggapan</w:t>
      </w:r>
      <w:r w:rsidR="00314DA3">
        <w:rPr>
          <w:rFonts w:ascii="Georgia" w:hAnsi="Georgia"/>
        </w:rPr>
        <w:t>;</w:t>
      </w:r>
      <w:r w:rsidRPr="00314DA3">
        <w:rPr>
          <w:rFonts w:ascii="Georgia" w:hAnsi="Georgia"/>
        </w:rPr>
        <w:t xml:space="preserve"> dan memiliki seorang wakil di dalam Komisi AMDAL yang keanggotaannya ditentukan oleh pemerintah sendiri.  </w:t>
      </w:r>
    </w:p>
    <w:p w14:paraId="1D310E5D" w14:textId="77777777" w:rsidR="00314DA3" w:rsidRPr="00314DA3" w:rsidRDefault="00314DA3" w:rsidP="00314DA3">
      <w:pPr>
        <w:pStyle w:val="ListParagraph"/>
        <w:numPr>
          <w:ilvl w:val="0"/>
          <w:numId w:val="38"/>
        </w:numPr>
        <w:autoSpaceDE w:val="0"/>
        <w:autoSpaceDN w:val="0"/>
        <w:adjustRightInd w:val="0"/>
        <w:ind w:left="360"/>
        <w:rPr>
          <w:rFonts w:ascii="Georgia" w:hAnsi="Georgia" w:cs="BookmanOldStyle"/>
        </w:rPr>
      </w:pPr>
      <w:r w:rsidRPr="00314DA3">
        <w:rPr>
          <w:rFonts w:ascii="Georgia" w:hAnsi="Georgia"/>
        </w:rPr>
        <w:t>Wakil masyarakat di dalam Komisi Penilai Amdal dapat memberikan tanggapan terhadap dokumen Kerangka Acuan Andal selama 30 hari dan dokumen Andal selama 75 hari, namun tidak ada pengaturan tentang bagaimana masyarakat bisa terlibat langsung.</w:t>
      </w:r>
    </w:p>
    <w:p w14:paraId="7E00CD30" w14:textId="77777777" w:rsidR="00314DA3" w:rsidRPr="00314DA3" w:rsidRDefault="00E21762" w:rsidP="00E21762">
      <w:pPr>
        <w:pStyle w:val="ListParagraph"/>
        <w:numPr>
          <w:ilvl w:val="0"/>
          <w:numId w:val="38"/>
        </w:numPr>
        <w:autoSpaceDE w:val="0"/>
        <w:autoSpaceDN w:val="0"/>
        <w:adjustRightInd w:val="0"/>
        <w:ind w:left="360"/>
        <w:rPr>
          <w:rFonts w:ascii="Georgia" w:hAnsi="Georgia" w:cs="BookmanOldStyle"/>
        </w:rPr>
      </w:pPr>
      <w:r w:rsidRPr="00314DA3">
        <w:rPr>
          <w:rFonts w:ascii="Georgia" w:hAnsi="Georgia"/>
        </w:rPr>
        <w:t xml:space="preserve">Tidak ada penyampaian informasi dini dan lengkap, dan taka da konsultasi public.  Selain itu, masyarakat juga hanya memiliki hak untuk </w:t>
      </w:r>
      <w:r w:rsidRPr="00314DA3">
        <w:rPr>
          <w:rFonts w:ascii="Georgia" w:hAnsi="Georgia"/>
          <w:lang w:val="id-ID"/>
        </w:rPr>
        <w:t xml:space="preserve">mengajukan saran, pendapat, dan tanggapan </w:t>
      </w:r>
      <w:r w:rsidRPr="00314DA3">
        <w:rPr>
          <w:rFonts w:ascii="Georgia" w:hAnsi="Georgia"/>
        </w:rPr>
        <w:t>d</w:t>
      </w:r>
      <w:r w:rsidRPr="00314DA3">
        <w:rPr>
          <w:rFonts w:ascii="Georgia" w:hAnsi="Georgia"/>
          <w:lang w:val="id-ID"/>
        </w:rPr>
        <w:t xml:space="preserve">alam jangka waktu 30 (tiga puluh) hari kerja sejak diumumkannya rencana usaha dan/atau kegiatan </w:t>
      </w:r>
      <w:r w:rsidRPr="00314DA3">
        <w:rPr>
          <w:rFonts w:ascii="Georgia" w:hAnsi="Georgia"/>
        </w:rPr>
        <w:t>berdampak lingkungan (lihat pasal 33 ayat 3 PP No.27 Tahun 1999).</w:t>
      </w:r>
    </w:p>
    <w:p w14:paraId="7FCCAE9C" w14:textId="77777777" w:rsidR="00314DA3" w:rsidRDefault="00E21762" w:rsidP="00314DA3">
      <w:pPr>
        <w:pStyle w:val="ListParagraph"/>
        <w:numPr>
          <w:ilvl w:val="0"/>
          <w:numId w:val="38"/>
        </w:numPr>
        <w:autoSpaceDE w:val="0"/>
        <w:autoSpaceDN w:val="0"/>
        <w:adjustRightInd w:val="0"/>
        <w:ind w:left="360"/>
        <w:rPr>
          <w:rFonts w:ascii="Georgia" w:hAnsi="Georgia" w:cs="BookmanOldStyle"/>
        </w:rPr>
      </w:pPr>
      <w:r w:rsidRPr="00314DA3">
        <w:rPr>
          <w:rFonts w:ascii="Georgia" w:hAnsi="Georgia" w:cs="Calibri"/>
        </w:rPr>
        <w:t>Pasal 8 PP No. 27 Tahun 2012 tentang Izin Lingkungan misalnya,  mengakui keterlibatan tiga kelompok masyarakat, yaitu mereka</w:t>
      </w:r>
      <w:r w:rsidRPr="00314DA3">
        <w:rPr>
          <w:rFonts w:ascii="Georgia" w:hAnsi="Georgia" w:cs="BookmanOldStyle"/>
        </w:rPr>
        <w:t xml:space="preserve"> yang terkena dampak; pemerhati lingkungan hidup; dan/atau mereka yang terpengaruh atas segala bentuk keputusan dalam proses Amdal. </w:t>
      </w:r>
    </w:p>
    <w:p w14:paraId="6A538065" w14:textId="77777777" w:rsidR="00314DA3" w:rsidRDefault="00314DA3" w:rsidP="00E21762">
      <w:pPr>
        <w:pStyle w:val="ListParagraph"/>
        <w:numPr>
          <w:ilvl w:val="0"/>
          <w:numId w:val="38"/>
        </w:numPr>
        <w:autoSpaceDE w:val="0"/>
        <w:autoSpaceDN w:val="0"/>
        <w:adjustRightInd w:val="0"/>
        <w:ind w:left="360"/>
        <w:rPr>
          <w:rFonts w:ascii="Georgia" w:hAnsi="Georgia" w:cs="BookmanOldStyle"/>
        </w:rPr>
      </w:pPr>
      <w:r w:rsidRPr="00314DA3">
        <w:rPr>
          <w:rFonts w:ascii="Georgia" w:hAnsi="Georgia" w:cs="BookmanOldStyle"/>
        </w:rPr>
        <w:t>P</w:t>
      </w:r>
      <w:r w:rsidR="00E21762" w:rsidRPr="00314DA3">
        <w:rPr>
          <w:rFonts w:ascii="Georgia" w:hAnsi="Georgia" w:cs="BookmanOldStyle"/>
        </w:rPr>
        <w:t xml:space="preserve">engumuman tersebut hanya dilakukan dalam bentuk  pengumuman rencana Usaha dan/atau konsultasi publik.  Masyarakatpun hanya diberikan jangka waktu terbatas untuk mengajukan saran, pendapat, dan tanggapan terhadap rencana usaha dan/atau kegiatan secara tertulis kepada pemrakarsa proyek dan menteri, gubernur, </w:t>
      </w:r>
      <w:r w:rsidR="00E21762" w:rsidRPr="00314DA3">
        <w:rPr>
          <w:rFonts w:ascii="Georgia" w:hAnsi="Georgia" w:cs="BookmanOldStyle"/>
        </w:rPr>
        <w:lastRenderedPageBreak/>
        <w:t>atau bupati/walikota.  Masing-masing 10 (sepuluh) hari kerja untuk proyek berdampak penting dan 3 hari untuk kegiatan yang tidak berdampak penting. Saran inipun hanya dapat disampaikan melalui melalui wakil masyarakat yang terkena dampak dan/atau organisasi masyarakat yang menjadi anggota Komisi Penilai AMDAL.</w:t>
      </w:r>
    </w:p>
    <w:p w14:paraId="207187EC" w14:textId="77777777" w:rsidR="00E21762" w:rsidRPr="00314DA3" w:rsidRDefault="00314DA3" w:rsidP="00E21762">
      <w:pPr>
        <w:pStyle w:val="ListParagraph"/>
        <w:numPr>
          <w:ilvl w:val="0"/>
          <w:numId w:val="38"/>
        </w:numPr>
        <w:autoSpaceDE w:val="0"/>
        <w:autoSpaceDN w:val="0"/>
        <w:adjustRightInd w:val="0"/>
        <w:ind w:left="360"/>
        <w:rPr>
          <w:rFonts w:ascii="Georgia" w:hAnsi="Georgia" w:cs="BookmanOldStyle"/>
        </w:rPr>
      </w:pPr>
      <w:r>
        <w:rPr>
          <w:rFonts w:ascii="Georgia" w:hAnsi="Georgia" w:cs="BookmanOldStyle"/>
        </w:rPr>
        <w:t xml:space="preserve">Ada </w:t>
      </w:r>
      <w:r w:rsidR="00E21762" w:rsidRPr="00314DA3">
        <w:rPr>
          <w:rFonts w:ascii="Georgia" w:hAnsi="Georgia" w:cs="BookmanOldStyle"/>
        </w:rPr>
        <w:t>pasal 13 yang mereduksi peran AMDAL. Pasal ini menyebutkan bahwa usaha dan/atau Kegiatan yang berdampak penting terhadap lingkungan hidup dikecualikan dari kewajiban menyusun AMDAL apabila lokasi rencana Usaha dan/atau Kegiatannya berada pada kabupaten/ kota yang telah memiliki rencana detil tata ruang kabupaten/kota dan/atau rencana tata ruang kawasan strategis kabupaten/kota. Padahal fungsi tata ruang berbeda dengan fungsi AMDAL.</w:t>
      </w:r>
    </w:p>
    <w:p w14:paraId="3E782B6C" w14:textId="77777777" w:rsidR="00E21762" w:rsidRPr="001A3327" w:rsidRDefault="00E21762" w:rsidP="00B6083E">
      <w:pPr>
        <w:autoSpaceDE w:val="0"/>
        <w:autoSpaceDN w:val="0"/>
        <w:adjustRightInd w:val="0"/>
        <w:spacing w:line="240" w:lineRule="auto"/>
        <w:ind w:left="360" w:hanging="360"/>
        <w:rPr>
          <w:rFonts w:ascii="Georgia" w:hAnsi="Georgia"/>
          <w:b/>
          <w:sz w:val="24"/>
          <w:szCs w:val="24"/>
        </w:rPr>
      </w:pPr>
    </w:p>
    <w:p w14:paraId="23269B0A" w14:textId="77777777" w:rsidR="00070A8B" w:rsidRPr="001A3327" w:rsidRDefault="00070A8B" w:rsidP="00B6083E">
      <w:pPr>
        <w:autoSpaceDE w:val="0"/>
        <w:autoSpaceDN w:val="0"/>
        <w:adjustRightInd w:val="0"/>
        <w:spacing w:line="240" w:lineRule="auto"/>
        <w:ind w:left="360" w:hanging="360"/>
        <w:rPr>
          <w:rFonts w:ascii="Georgia" w:hAnsi="Georgia"/>
          <w:sz w:val="24"/>
          <w:szCs w:val="24"/>
        </w:rPr>
      </w:pPr>
      <w:r w:rsidRPr="001A3327">
        <w:rPr>
          <w:rFonts w:ascii="Georgia" w:hAnsi="Georgia"/>
          <w:sz w:val="24"/>
          <w:szCs w:val="24"/>
        </w:rPr>
        <w:t xml:space="preserve">      </w:t>
      </w:r>
      <w:r w:rsidRPr="001A3327">
        <w:rPr>
          <w:rFonts w:ascii="Georgia" w:hAnsi="Georgia"/>
          <w:i/>
          <w:sz w:val="24"/>
          <w:szCs w:val="24"/>
          <w:u w:val="single"/>
        </w:rPr>
        <w:t>Posisi Amdal menurut undang-undang lingkungan</w:t>
      </w:r>
      <w:r w:rsidRPr="001A3327">
        <w:rPr>
          <w:rFonts w:ascii="Georgia" w:hAnsi="Georgia"/>
          <w:sz w:val="24"/>
          <w:szCs w:val="24"/>
        </w:rPr>
        <w:t>:</w:t>
      </w:r>
    </w:p>
    <w:p w14:paraId="1B168914" w14:textId="77777777" w:rsidR="00A375CD" w:rsidRDefault="00725C84" w:rsidP="00070A8B">
      <w:pPr>
        <w:pStyle w:val="ListParagraph"/>
        <w:autoSpaceDE w:val="0"/>
        <w:autoSpaceDN w:val="0"/>
        <w:adjustRightInd w:val="0"/>
        <w:spacing w:after="120"/>
        <w:ind w:left="360"/>
        <w:rPr>
          <w:rFonts w:ascii="Georgia" w:hAnsi="Georgia"/>
        </w:rPr>
      </w:pPr>
      <w:r>
        <w:rPr>
          <w:rFonts w:ascii="Georgia" w:hAnsi="Georgia"/>
          <w:noProof/>
        </w:rPr>
        <w:drawing>
          <wp:inline distT="0" distB="0" distL="0" distR="0" wp14:anchorId="71DE3290" wp14:editId="7446A9D5">
            <wp:extent cx="4769511" cy="357729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173" cy="3577796"/>
                    </a:xfrm>
                    <a:prstGeom prst="rect">
                      <a:avLst/>
                    </a:prstGeom>
                    <a:noFill/>
                  </pic:spPr>
                </pic:pic>
              </a:graphicData>
            </a:graphic>
          </wp:inline>
        </w:drawing>
      </w:r>
    </w:p>
    <w:p w14:paraId="4A9591D1" w14:textId="77777777" w:rsidR="00070A8B" w:rsidRDefault="00070A8B" w:rsidP="00A375CD">
      <w:pPr>
        <w:pStyle w:val="ListParagraph"/>
        <w:autoSpaceDE w:val="0"/>
        <w:autoSpaceDN w:val="0"/>
        <w:adjustRightInd w:val="0"/>
        <w:spacing w:after="120"/>
        <w:rPr>
          <w:rFonts w:ascii="Georgia" w:hAnsi="Georgia"/>
        </w:rPr>
      </w:pPr>
    </w:p>
    <w:p w14:paraId="6707D8B0" w14:textId="77777777" w:rsidR="00070A8B" w:rsidRDefault="00070A8B" w:rsidP="00A375CD">
      <w:pPr>
        <w:pStyle w:val="ListParagraph"/>
        <w:autoSpaceDE w:val="0"/>
        <w:autoSpaceDN w:val="0"/>
        <w:adjustRightInd w:val="0"/>
        <w:spacing w:after="120"/>
        <w:rPr>
          <w:rFonts w:ascii="Georgia" w:hAnsi="Georgia"/>
        </w:rPr>
      </w:pPr>
    </w:p>
    <w:p w14:paraId="3310C901" w14:textId="77777777" w:rsidR="00DB0577" w:rsidRPr="00B6083E" w:rsidRDefault="002F16DF" w:rsidP="00380D83">
      <w:pPr>
        <w:pStyle w:val="ListParagraph"/>
        <w:numPr>
          <w:ilvl w:val="0"/>
          <w:numId w:val="35"/>
        </w:numPr>
        <w:autoSpaceDE w:val="0"/>
        <w:autoSpaceDN w:val="0"/>
        <w:adjustRightInd w:val="0"/>
        <w:spacing w:after="120"/>
        <w:ind w:left="720"/>
        <w:rPr>
          <w:rFonts w:ascii="Georgia" w:hAnsi="Georgia"/>
        </w:rPr>
      </w:pPr>
      <w:r>
        <w:rPr>
          <w:rFonts w:ascii="Georgia" w:hAnsi="Georgia"/>
        </w:rPr>
        <w:t>Amdal memang m</w:t>
      </w:r>
      <w:r w:rsidR="007A4E3E" w:rsidRPr="00B6083E">
        <w:rPr>
          <w:rFonts w:ascii="Georgia" w:hAnsi="Georgia"/>
        </w:rPr>
        <w:t>enjadi syarat untuk me</w:t>
      </w:r>
      <w:r w:rsidR="00B6083E" w:rsidRPr="00B6083E">
        <w:rPr>
          <w:rFonts w:ascii="Georgia" w:hAnsi="Georgia"/>
        </w:rPr>
        <w:t>n</w:t>
      </w:r>
      <w:r w:rsidR="007A4E3E" w:rsidRPr="00B6083E">
        <w:rPr>
          <w:rFonts w:ascii="Georgia" w:hAnsi="Georgia"/>
        </w:rPr>
        <w:t xml:space="preserve">dapatkan izin lingkungan </w:t>
      </w:r>
      <w:r w:rsidR="00B6083E" w:rsidRPr="00B6083E">
        <w:rPr>
          <w:rFonts w:ascii="Georgia" w:hAnsi="Georgia"/>
        </w:rPr>
        <w:t>dan izin usaha</w:t>
      </w:r>
      <w:r>
        <w:rPr>
          <w:rFonts w:ascii="Georgia" w:hAnsi="Georgia"/>
        </w:rPr>
        <w:t xml:space="preserve">, tetapi </w:t>
      </w:r>
      <w:r w:rsidR="007A4E3E" w:rsidRPr="00B6083E">
        <w:rPr>
          <w:rFonts w:ascii="Georgia" w:hAnsi="Georgia"/>
        </w:rPr>
        <w:t xml:space="preserve">tidak </w:t>
      </w:r>
      <w:r>
        <w:rPr>
          <w:rFonts w:ascii="Georgia" w:hAnsi="Georgia"/>
        </w:rPr>
        <w:t xml:space="preserve">menjadi persyaratan untuk </w:t>
      </w:r>
      <w:r w:rsidR="00DB0577" w:rsidRPr="00B6083E">
        <w:rPr>
          <w:rFonts w:ascii="Georgia" w:hAnsi="Georgia"/>
        </w:rPr>
        <w:t xml:space="preserve">perubahan fungsi </w:t>
      </w:r>
      <w:r>
        <w:rPr>
          <w:rFonts w:ascii="Georgia" w:hAnsi="Georgia"/>
        </w:rPr>
        <w:t xml:space="preserve">tata ruang </w:t>
      </w:r>
      <w:r w:rsidR="00DB0577" w:rsidRPr="00B6083E">
        <w:rPr>
          <w:rFonts w:ascii="Georgia" w:hAnsi="Georgia"/>
        </w:rPr>
        <w:t xml:space="preserve">dan pengambilalihan kawasan </w:t>
      </w:r>
      <w:r w:rsidR="007A4E3E" w:rsidRPr="00B6083E">
        <w:rPr>
          <w:rFonts w:ascii="Georgia" w:hAnsi="Georgia"/>
        </w:rPr>
        <w:t xml:space="preserve">lindung atau taman nasional atau tanah-tanah rakyat </w:t>
      </w:r>
      <w:r w:rsidR="00DB0577" w:rsidRPr="00B6083E">
        <w:rPr>
          <w:rFonts w:ascii="Georgia" w:hAnsi="Georgia"/>
        </w:rPr>
        <w:t xml:space="preserve">untuk </w:t>
      </w:r>
      <w:r>
        <w:rPr>
          <w:rFonts w:ascii="Georgia" w:hAnsi="Georgia"/>
        </w:rPr>
        <w:t xml:space="preserve">kepentingan </w:t>
      </w:r>
      <w:r w:rsidR="00DB0577" w:rsidRPr="00B6083E">
        <w:rPr>
          <w:rFonts w:ascii="Georgia" w:hAnsi="Georgia"/>
        </w:rPr>
        <w:t>proye</w:t>
      </w:r>
      <w:r w:rsidR="007A4E3E" w:rsidRPr="00B6083E">
        <w:rPr>
          <w:rFonts w:ascii="Georgia" w:hAnsi="Georgia"/>
        </w:rPr>
        <w:t>k</w:t>
      </w:r>
      <w:r>
        <w:rPr>
          <w:rFonts w:ascii="Georgia" w:hAnsi="Georgia"/>
        </w:rPr>
        <w:t xml:space="preserve"> atau investasi</w:t>
      </w:r>
      <w:r w:rsidR="00DB0577" w:rsidRPr="00B6083E">
        <w:rPr>
          <w:rFonts w:ascii="Georgia" w:hAnsi="Georgia"/>
        </w:rPr>
        <w:t>, termasuk apabila ada masyarakat di dalamnya</w:t>
      </w:r>
      <w:r w:rsidR="007A4E3E" w:rsidRPr="00B6083E">
        <w:rPr>
          <w:rFonts w:ascii="Georgia" w:hAnsi="Georgia"/>
        </w:rPr>
        <w:t>.</w:t>
      </w:r>
    </w:p>
    <w:p w14:paraId="25FC08E0" w14:textId="77777777" w:rsidR="004962C6" w:rsidRDefault="00DB0577" w:rsidP="00B6083E">
      <w:pPr>
        <w:pStyle w:val="ListParagraph"/>
        <w:numPr>
          <w:ilvl w:val="0"/>
          <w:numId w:val="30"/>
        </w:numPr>
        <w:autoSpaceDE w:val="0"/>
        <w:autoSpaceDN w:val="0"/>
        <w:adjustRightInd w:val="0"/>
        <w:spacing w:after="120"/>
        <w:rPr>
          <w:rFonts w:ascii="Georgia" w:hAnsi="Georgia"/>
        </w:rPr>
      </w:pPr>
      <w:r w:rsidRPr="00B6083E">
        <w:rPr>
          <w:rFonts w:ascii="Georgia" w:hAnsi="Georgia"/>
        </w:rPr>
        <w:t xml:space="preserve">Dalam proyek investasi, </w:t>
      </w:r>
      <w:r w:rsidR="002F16DF">
        <w:rPr>
          <w:rFonts w:ascii="Georgia" w:hAnsi="Georgia"/>
        </w:rPr>
        <w:t>aturan h</w:t>
      </w:r>
      <w:r w:rsidR="004962C6">
        <w:rPr>
          <w:rFonts w:ascii="Georgia" w:hAnsi="Georgia"/>
        </w:rPr>
        <w:t>u</w:t>
      </w:r>
      <w:r w:rsidR="002F16DF">
        <w:rPr>
          <w:rFonts w:ascii="Georgia" w:hAnsi="Georgia"/>
        </w:rPr>
        <w:t>kum di Indonesia membolehkan</w:t>
      </w:r>
      <w:r w:rsidR="007A4E3E" w:rsidRPr="00B6083E">
        <w:rPr>
          <w:rFonts w:ascii="Georgia" w:hAnsi="Georgia"/>
        </w:rPr>
        <w:t xml:space="preserve"> </w:t>
      </w:r>
      <w:r w:rsidR="004962C6">
        <w:rPr>
          <w:rFonts w:ascii="Georgia" w:hAnsi="Georgia"/>
        </w:rPr>
        <w:t xml:space="preserve">perusahaan yang sudah mendapatkan persetujuan investasi untuk </w:t>
      </w:r>
      <w:r w:rsidRPr="00B6083E">
        <w:rPr>
          <w:rFonts w:ascii="Georgia" w:hAnsi="Georgia"/>
        </w:rPr>
        <w:t xml:space="preserve">melakukan kegiatan </w:t>
      </w:r>
      <w:r w:rsidR="007A4E3E" w:rsidRPr="00B6083E">
        <w:rPr>
          <w:rFonts w:ascii="Georgia" w:hAnsi="Georgia"/>
        </w:rPr>
        <w:t xml:space="preserve">land clearing </w:t>
      </w:r>
      <w:r w:rsidRPr="00B6083E">
        <w:rPr>
          <w:rFonts w:ascii="Georgia" w:hAnsi="Georgia"/>
        </w:rPr>
        <w:t>tanpa harus menunggu Amdal.</w:t>
      </w:r>
    </w:p>
    <w:p w14:paraId="50ED473A" w14:textId="77777777" w:rsidR="004962C6" w:rsidRDefault="004962C6" w:rsidP="00B6083E">
      <w:pPr>
        <w:pStyle w:val="ListParagraph"/>
        <w:numPr>
          <w:ilvl w:val="0"/>
          <w:numId w:val="30"/>
        </w:numPr>
        <w:autoSpaceDE w:val="0"/>
        <w:autoSpaceDN w:val="0"/>
        <w:adjustRightInd w:val="0"/>
        <w:spacing w:after="120"/>
        <w:rPr>
          <w:rFonts w:ascii="Georgia" w:hAnsi="Georgia"/>
        </w:rPr>
      </w:pPr>
      <w:r>
        <w:rPr>
          <w:rFonts w:ascii="Georgia" w:hAnsi="Georgia"/>
        </w:rPr>
        <w:t>Dalam proyek publik, pembebasan tanah dan land clearing juga dilakukan tanpa terkait dengan proses Amdal. Pada umumnya tidak ada keterlibatan publik di</w:t>
      </w:r>
      <w:r w:rsidR="001A3327">
        <w:rPr>
          <w:rFonts w:ascii="Georgia" w:hAnsi="Georgia"/>
        </w:rPr>
        <w:t xml:space="preserve"> </w:t>
      </w:r>
      <w:r>
        <w:rPr>
          <w:rFonts w:ascii="Georgia" w:hAnsi="Georgia"/>
        </w:rPr>
        <w:lastRenderedPageBreak/>
        <w:t>dalam urusan ini, bahkan beberapa pasal didalam undang-undang Anti Terorisme bisa digunakan oleh pemerintah untuk menghadapi masyarakat yang menolak atau melakukan kekerasan dalam menolak pengambil-alihan tanah.</w:t>
      </w:r>
    </w:p>
    <w:p w14:paraId="39D24B58" w14:textId="77777777" w:rsidR="00070A8B" w:rsidRDefault="00070A8B" w:rsidP="00070A8B">
      <w:pPr>
        <w:autoSpaceDE w:val="0"/>
        <w:autoSpaceDN w:val="0"/>
        <w:adjustRightInd w:val="0"/>
        <w:spacing w:after="120"/>
        <w:rPr>
          <w:rFonts w:ascii="Georgia" w:hAnsi="Georgia"/>
        </w:rPr>
      </w:pPr>
    </w:p>
    <w:p w14:paraId="53A14F8D" w14:textId="77777777" w:rsidR="00070A8B" w:rsidRPr="001A3327" w:rsidRDefault="00070A8B" w:rsidP="00070A8B">
      <w:pPr>
        <w:autoSpaceDE w:val="0"/>
        <w:autoSpaceDN w:val="0"/>
        <w:adjustRightInd w:val="0"/>
        <w:spacing w:after="120"/>
        <w:rPr>
          <w:rFonts w:ascii="Georgia" w:hAnsi="Georgia"/>
          <w:sz w:val="24"/>
          <w:szCs w:val="24"/>
        </w:rPr>
      </w:pPr>
      <w:r w:rsidRPr="001A3327">
        <w:rPr>
          <w:rFonts w:ascii="Georgia" w:hAnsi="Georgia"/>
          <w:i/>
          <w:sz w:val="24"/>
          <w:szCs w:val="24"/>
          <w:u w:val="single"/>
        </w:rPr>
        <w:t>Amdal dalam praktek pengambilalihan tanat untuk proyek</w:t>
      </w:r>
      <w:r w:rsidRPr="001A3327">
        <w:rPr>
          <w:rFonts w:ascii="Georgia" w:hAnsi="Georgia"/>
          <w:sz w:val="24"/>
          <w:szCs w:val="24"/>
        </w:rPr>
        <w:t>:</w:t>
      </w:r>
    </w:p>
    <w:p w14:paraId="6E75B33B" w14:textId="77777777" w:rsidR="00070A8B" w:rsidRDefault="00070A8B" w:rsidP="00070A8B">
      <w:pPr>
        <w:autoSpaceDE w:val="0"/>
        <w:autoSpaceDN w:val="0"/>
        <w:adjustRightInd w:val="0"/>
        <w:spacing w:after="120"/>
        <w:rPr>
          <w:rFonts w:ascii="Georgia" w:hAnsi="Georgia"/>
        </w:rPr>
      </w:pPr>
    </w:p>
    <w:p w14:paraId="3469C490" w14:textId="77777777" w:rsidR="00070A8B" w:rsidRDefault="00725C84" w:rsidP="00070A8B">
      <w:pPr>
        <w:autoSpaceDE w:val="0"/>
        <w:autoSpaceDN w:val="0"/>
        <w:adjustRightInd w:val="0"/>
        <w:spacing w:after="120"/>
        <w:ind w:left="360"/>
        <w:rPr>
          <w:rFonts w:ascii="Georgia" w:hAnsi="Georgia"/>
        </w:rPr>
      </w:pPr>
      <w:r>
        <w:rPr>
          <w:rFonts w:ascii="Georgia" w:hAnsi="Georgia"/>
          <w:noProof/>
        </w:rPr>
        <w:drawing>
          <wp:inline distT="0" distB="0" distL="0" distR="0" wp14:anchorId="55EE4365" wp14:editId="309C4CA3">
            <wp:extent cx="4901184" cy="367605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1865" cy="3676569"/>
                    </a:xfrm>
                    <a:prstGeom prst="rect">
                      <a:avLst/>
                    </a:prstGeom>
                    <a:noFill/>
                  </pic:spPr>
                </pic:pic>
              </a:graphicData>
            </a:graphic>
          </wp:inline>
        </w:drawing>
      </w:r>
    </w:p>
    <w:p w14:paraId="58A691F7" w14:textId="77777777" w:rsidR="00924B7D" w:rsidRPr="00314DA3" w:rsidRDefault="0087210F" w:rsidP="00314DA3">
      <w:pPr>
        <w:pStyle w:val="ListParagraph"/>
        <w:numPr>
          <w:ilvl w:val="0"/>
          <w:numId w:val="39"/>
        </w:numPr>
        <w:autoSpaceDE w:val="0"/>
        <w:autoSpaceDN w:val="0"/>
        <w:adjustRightInd w:val="0"/>
        <w:spacing w:after="120"/>
        <w:ind w:left="360"/>
        <w:rPr>
          <w:rFonts w:ascii="Georgia" w:hAnsi="Georgia"/>
        </w:rPr>
      </w:pPr>
      <w:r w:rsidRPr="00314DA3">
        <w:rPr>
          <w:rFonts w:ascii="Georgia" w:hAnsi="Georgia"/>
        </w:rPr>
        <w:t xml:space="preserve">Studi lainnya yang dilakukan oleh para ahli hukum lingkungan menunjukkan bahwa </w:t>
      </w:r>
      <w:r w:rsidR="00924B7D" w:rsidRPr="00314DA3">
        <w:rPr>
          <w:rFonts w:ascii="Georgia" w:hAnsi="Georgia"/>
        </w:rPr>
        <w:t>saat ini ada 1</w:t>
      </w:r>
      <w:r w:rsidR="00B7218C" w:rsidRPr="00314DA3">
        <w:rPr>
          <w:rFonts w:ascii="Georgia" w:hAnsi="Georgia"/>
        </w:rPr>
        <w:t>2</w:t>
      </w:r>
      <w:r w:rsidR="00924B7D" w:rsidRPr="00314DA3">
        <w:rPr>
          <w:rFonts w:ascii="Georgia" w:hAnsi="Georgia"/>
        </w:rPr>
        <w:t xml:space="preserve"> undang-undang yang terkait dengan lingkungan dan sumberdaya alam, namun hanya ada satu </w:t>
      </w:r>
      <w:r w:rsidR="00B7218C" w:rsidRPr="00314DA3">
        <w:rPr>
          <w:rFonts w:ascii="Georgia" w:hAnsi="Georgia"/>
        </w:rPr>
        <w:t xml:space="preserve">undang-undang </w:t>
      </w:r>
      <w:r w:rsidR="00924B7D" w:rsidRPr="00314DA3">
        <w:rPr>
          <w:rFonts w:ascii="Georgia" w:hAnsi="Georgia"/>
        </w:rPr>
        <w:t xml:space="preserve">yang mengakui </w:t>
      </w:r>
      <w:r w:rsidR="00924B7D" w:rsidRPr="00314DA3">
        <w:rPr>
          <w:rFonts w:ascii="Georgia" w:eastAsiaTheme="minorEastAsia" w:hAnsi="Georgia" w:cs="Aharoni"/>
          <w:bCs/>
          <w:kern w:val="24"/>
        </w:rPr>
        <w:t xml:space="preserve">masyarakat hukum adat; dua yang mengakui keadilan gender; tiga </w:t>
      </w:r>
      <w:r w:rsidR="00B7218C" w:rsidRPr="00314DA3">
        <w:rPr>
          <w:rFonts w:ascii="Georgia" w:eastAsiaTheme="minorEastAsia" w:hAnsi="Georgia" w:cs="Aharoni"/>
          <w:bCs/>
          <w:kern w:val="24"/>
        </w:rPr>
        <w:t xml:space="preserve">undang-undang </w:t>
      </w:r>
      <w:r w:rsidR="00924B7D" w:rsidRPr="00314DA3">
        <w:rPr>
          <w:rFonts w:ascii="Georgia" w:eastAsiaTheme="minorEastAsia" w:hAnsi="Georgia" w:cs="Aharoni"/>
          <w:bCs/>
          <w:kern w:val="24"/>
        </w:rPr>
        <w:t xml:space="preserve">yang mengakui hak masyarakat dalam perizinan pengelolaan sumberdaya alam; enam </w:t>
      </w:r>
      <w:r w:rsidR="00B7218C" w:rsidRPr="00314DA3">
        <w:rPr>
          <w:rFonts w:ascii="Georgia" w:eastAsiaTheme="minorEastAsia" w:hAnsi="Georgia" w:cs="Aharoni"/>
          <w:bCs/>
          <w:kern w:val="24"/>
        </w:rPr>
        <w:t xml:space="preserve">undang-undang </w:t>
      </w:r>
      <w:r w:rsidR="00924B7D" w:rsidRPr="00314DA3">
        <w:rPr>
          <w:rFonts w:ascii="Georgia" w:eastAsiaTheme="minorEastAsia" w:hAnsi="Georgia" w:cs="Aharoni"/>
          <w:bCs/>
          <w:kern w:val="24"/>
        </w:rPr>
        <w:t xml:space="preserve">mengakui partisipasi rakyat; dan tujuh </w:t>
      </w:r>
      <w:r w:rsidR="00B7218C" w:rsidRPr="00314DA3">
        <w:rPr>
          <w:rFonts w:ascii="Georgia" w:eastAsiaTheme="minorEastAsia" w:hAnsi="Georgia" w:cs="Aharoni"/>
          <w:bCs/>
          <w:kern w:val="24"/>
        </w:rPr>
        <w:t xml:space="preserve">undang-undang </w:t>
      </w:r>
      <w:r w:rsidR="00924B7D" w:rsidRPr="00314DA3">
        <w:rPr>
          <w:rFonts w:ascii="Georgia" w:eastAsiaTheme="minorEastAsia" w:hAnsi="Georgia" w:cs="Aharoni"/>
          <w:bCs/>
          <w:kern w:val="24"/>
        </w:rPr>
        <w:t xml:space="preserve">yang mengakui transparansi dan akses informasi </w:t>
      </w:r>
      <w:r w:rsidR="00B7218C" w:rsidRPr="00314DA3">
        <w:rPr>
          <w:rFonts w:ascii="Georgia" w:eastAsiaTheme="minorEastAsia" w:hAnsi="Georgia" w:cs="Aharoni"/>
          <w:bCs/>
          <w:kern w:val="24"/>
        </w:rPr>
        <w:t>masyarakat</w:t>
      </w:r>
      <w:r w:rsidR="00924B7D" w:rsidRPr="00314DA3">
        <w:rPr>
          <w:rFonts w:ascii="Georgia" w:eastAsiaTheme="minorEastAsia" w:hAnsi="Georgia" w:cs="Aharoni"/>
          <w:bCs/>
          <w:kern w:val="24"/>
        </w:rPr>
        <w:t>. Tetapi semuanya hanya pengaturan menyangkut prinsip dasar dan bukan pengaturan yang bersifat operasional.</w:t>
      </w:r>
    </w:p>
    <w:p w14:paraId="093A9FC7" w14:textId="77777777" w:rsidR="00B6083E" w:rsidRPr="00B6083E" w:rsidRDefault="00B6083E" w:rsidP="00B6083E">
      <w:pPr>
        <w:autoSpaceDE w:val="0"/>
        <w:autoSpaceDN w:val="0"/>
        <w:adjustRightInd w:val="0"/>
        <w:spacing w:after="120" w:line="240" w:lineRule="auto"/>
        <w:rPr>
          <w:rFonts w:ascii="Georgia" w:eastAsia="Times New Roman" w:hAnsi="Georgia" w:cs="Verdana"/>
          <w:b/>
          <w:sz w:val="24"/>
          <w:szCs w:val="24"/>
        </w:rPr>
      </w:pPr>
    </w:p>
    <w:p w14:paraId="2910501D" w14:textId="77777777" w:rsidR="00B66D88" w:rsidRPr="00B66D88" w:rsidRDefault="00B66D88" w:rsidP="00B66D88">
      <w:pPr>
        <w:pStyle w:val="ListParagraph"/>
        <w:rPr>
          <w:rFonts w:ascii="Georgia" w:hAnsi="Georgia" w:cs="Verdana"/>
        </w:rPr>
      </w:pPr>
    </w:p>
    <w:sectPr w:rsidR="00B66D88" w:rsidRPr="00B66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Bookman-Light">
    <w:panose1 w:val="020B0604020202020204"/>
    <w:charset w:val="00"/>
    <w:family w:val="roman"/>
    <w:notTrueType/>
    <w:pitch w:val="default"/>
    <w:sig w:usb0="00000003" w:usb1="00000000" w:usb2="00000000" w:usb3="00000000" w:csb0="00000001" w:csb1="00000000"/>
  </w:font>
  <w:font w:name="BookmanOldStyle">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64E6"/>
    <w:multiLevelType w:val="hybridMultilevel"/>
    <w:tmpl w:val="2C8C4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960E9"/>
    <w:multiLevelType w:val="hybridMultilevel"/>
    <w:tmpl w:val="323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E3189"/>
    <w:multiLevelType w:val="hybridMultilevel"/>
    <w:tmpl w:val="440E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A386C"/>
    <w:multiLevelType w:val="hybridMultilevel"/>
    <w:tmpl w:val="E9E46D18"/>
    <w:lvl w:ilvl="0" w:tplc="09EAA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C55DB"/>
    <w:multiLevelType w:val="hybridMultilevel"/>
    <w:tmpl w:val="87A6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E406B"/>
    <w:multiLevelType w:val="hybridMultilevel"/>
    <w:tmpl w:val="1FE4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A6B0F"/>
    <w:multiLevelType w:val="hybridMultilevel"/>
    <w:tmpl w:val="D2081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77409"/>
    <w:multiLevelType w:val="hybridMultilevel"/>
    <w:tmpl w:val="A386D558"/>
    <w:lvl w:ilvl="0" w:tplc="9E9E9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0222F"/>
    <w:multiLevelType w:val="hybridMultilevel"/>
    <w:tmpl w:val="20943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847F6"/>
    <w:multiLevelType w:val="hybridMultilevel"/>
    <w:tmpl w:val="EB6E5E1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96DCB"/>
    <w:multiLevelType w:val="hybridMultilevel"/>
    <w:tmpl w:val="90DE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F77E2"/>
    <w:multiLevelType w:val="hybridMultilevel"/>
    <w:tmpl w:val="C450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153A7"/>
    <w:multiLevelType w:val="hybridMultilevel"/>
    <w:tmpl w:val="067890A2"/>
    <w:lvl w:ilvl="0" w:tplc="0E52D99A">
      <w:start w:val="5"/>
      <w:numFmt w:val="decimal"/>
      <w:lvlText w:val="%1."/>
      <w:lvlJc w:val="left"/>
      <w:pPr>
        <w:tabs>
          <w:tab w:val="num" w:pos="720"/>
        </w:tabs>
        <w:ind w:left="720" w:hanging="360"/>
      </w:pPr>
    </w:lvl>
    <w:lvl w:ilvl="1" w:tplc="80FCC328" w:tentative="1">
      <w:start w:val="1"/>
      <w:numFmt w:val="decimal"/>
      <w:lvlText w:val="%2."/>
      <w:lvlJc w:val="left"/>
      <w:pPr>
        <w:tabs>
          <w:tab w:val="num" w:pos="1440"/>
        </w:tabs>
        <w:ind w:left="1440" w:hanging="360"/>
      </w:pPr>
    </w:lvl>
    <w:lvl w:ilvl="2" w:tplc="6C0EDC06" w:tentative="1">
      <w:start w:val="1"/>
      <w:numFmt w:val="decimal"/>
      <w:lvlText w:val="%3."/>
      <w:lvlJc w:val="left"/>
      <w:pPr>
        <w:tabs>
          <w:tab w:val="num" w:pos="2160"/>
        </w:tabs>
        <w:ind w:left="2160" w:hanging="360"/>
      </w:pPr>
    </w:lvl>
    <w:lvl w:ilvl="3" w:tplc="898E95A0" w:tentative="1">
      <w:start w:val="1"/>
      <w:numFmt w:val="decimal"/>
      <w:lvlText w:val="%4."/>
      <w:lvlJc w:val="left"/>
      <w:pPr>
        <w:tabs>
          <w:tab w:val="num" w:pos="2880"/>
        </w:tabs>
        <w:ind w:left="2880" w:hanging="360"/>
      </w:pPr>
    </w:lvl>
    <w:lvl w:ilvl="4" w:tplc="CA3E66E6" w:tentative="1">
      <w:start w:val="1"/>
      <w:numFmt w:val="decimal"/>
      <w:lvlText w:val="%5."/>
      <w:lvlJc w:val="left"/>
      <w:pPr>
        <w:tabs>
          <w:tab w:val="num" w:pos="3600"/>
        </w:tabs>
        <w:ind w:left="3600" w:hanging="360"/>
      </w:pPr>
    </w:lvl>
    <w:lvl w:ilvl="5" w:tplc="E9481914" w:tentative="1">
      <w:start w:val="1"/>
      <w:numFmt w:val="decimal"/>
      <w:lvlText w:val="%6."/>
      <w:lvlJc w:val="left"/>
      <w:pPr>
        <w:tabs>
          <w:tab w:val="num" w:pos="4320"/>
        </w:tabs>
        <w:ind w:left="4320" w:hanging="360"/>
      </w:pPr>
    </w:lvl>
    <w:lvl w:ilvl="6" w:tplc="7612267E" w:tentative="1">
      <w:start w:val="1"/>
      <w:numFmt w:val="decimal"/>
      <w:lvlText w:val="%7."/>
      <w:lvlJc w:val="left"/>
      <w:pPr>
        <w:tabs>
          <w:tab w:val="num" w:pos="5040"/>
        </w:tabs>
        <w:ind w:left="5040" w:hanging="360"/>
      </w:pPr>
    </w:lvl>
    <w:lvl w:ilvl="7" w:tplc="F830F974" w:tentative="1">
      <w:start w:val="1"/>
      <w:numFmt w:val="decimal"/>
      <w:lvlText w:val="%8."/>
      <w:lvlJc w:val="left"/>
      <w:pPr>
        <w:tabs>
          <w:tab w:val="num" w:pos="5760"/>
        </w:tabs>
        <w:ind w:left="5760" w:hanging="360"/>
      </w:pPr>
    </w:lvl>
    <w:lvl w:ilvl="8" w:tplc="9E04AE50" w:tentative="1">
      <w:start w:val="1"/>
      <w:numFmt w:val="decimal"/>
      <w:lvlText w:val="%9."/>
      <w:lvlJc w:val="left"/>
      <w:pPr>
        <w:tabs>
          <w:tab w:val="num" w:pos="6480"/>
        </w:tabs>
        <w:ind w:left="6480" w:hanging="360"/>
      </w:pPr>
    </w:lvl>
  </w:abstractNum>
  <w:abstractNum w:abstractNumId="13" w15:restartNumberingAfterBreak="0">
    <w:nsid w:val="35BD49B4"/>
    <w:multiLevelType w:val="hybridMultilevel"/>
    <w:tmpl w:val="7322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041C"/>
    <w:multiLevelType w:val="hybridMultilevel"/>
    <w:tmpl w:val="B9ACA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495F94"/>
    <w:multiLevelType w:val="hybridMultilevel"/>
    <w:tmpl w:val="0A3A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2E94"/>
    <w:multiLevelType w:val="hybridMultilevel"/>
    <w:tmpl w:val="5F04A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C116E"/>
    <w:multiLevelType w:val="hybridMultilevel"/>
    <w:tmpl w:val="B95A2780"/>
    <w:lvl w:ilvl="0" w:tplc="E58CA80C">
      <w:start w:val="1"/>
      <w:numFmt w:val="bullet"/>
      <w:lvlText w:val="•"/>
      <w:lvlJc w:val="left"/>
      <w:pPr>
        <w:tabs>
          <w:tab w:val="num" w:pos="720"/>
        </w:tabs>
        <w:ind w:left="720" w:hanging="360"/>
      </w:pPr>
      <w:rPr>
        <w:rFonts w:ascii="Arial" w:hAnsi="Arial" w:hint="default"/>
      </w:rPr>
    </w:lvl>
    <w:lvl w:ilvl="1" w:tplc="5628ACA6" w:tentative="1">
      <w:start w:val="1"/>
      <w:numFmt w:val="bullet"/>
      <w:lvlText w:val="•"/>
      <w:lvlJc w:val="left"/>
      <w:pPr>
        <w:tabs>
          <w:tab w:val="num" w:pos="1440"/>
        </w:tabs>
        <w:ind w:left="1440" w:hanging="360"/>
      </w:pPr>
      <w:rPr>
        <w:rFonts w:ascii="Arial" w:hAnsi="Arial" w:hint="default"/>
      </w:rPr>
    </w:lvl>
    <w:lvl w:ilvl="2" w:tplc="FCF62D5C" w:tentative="1">
      <w:start w:val="1"/>
      <w:numFmt w:val="bullet"/>
      <w:lvlText w:val="•"/>
      <w:lvlJc w:val="left"/>
      <w:pPr>
        <w:tabs>
          <w:tab w:val="num" w:pos="2160"/>
        </w:tabs>
        <w:ind w:left="2160" w:hanging="360"/>
      </w:pPr>
      <w:rPr>
        <w:rFonts w:ascii="Arial" w:hAnsi="Arial" w:hint="default"/>
      </w:rPr>
    </w:lvl>
    <w:lvl w:ilvl="3" w:tplc="84505EE4" w:tentative="1">
      <w:start w:val="1"/>
      <w:numFmt w:val="bullet"/>
      <w:lvlText w:val="•"/>
      <w:lvlJc w:val="left"/>
      <w:pPr>
        <w:tabs>
          <w:tab w:val="num" w:pos="2880"/>
        </w:tabs>
        <w:ind w:left="2880" w:hanging="360"/>
      </w:pPr>
      <w:rPr>
        <w:rFonts w:ascii="Arial" w:hAnsi="Arial" w:hint="default"/>
      </w:rPr>
    </w:lvl>
    <w:lvl w:ilvl="4" w:tplc="B936D5BA" w:tentative="1">
      <w:start w:val="1"/>
      <w:numFmt w:val="bullet"/>
      <w:lvlText w:val="•"/>
      <w:lvlJc w:val="left"/>
      <w:pPr>
        <w:tabs>
          <w:tab w:val="num" w:pos="3600"/>
        </w:tabs>
        <w:ind w:left="3600" w:hanging="360"/>
      </w:pPr>
      <w:rPr>
        <w:rFonts w:ascii="Arial" w:hAnsi="Arial" w:hint="default"/>
      </w:rPr>
    </w:lvl>
    <w:lvl w:ilvl="5" w:tplc="E8F21F60" w:tentative="1">
      <w:start w:val="1"/>
      <w:numFmt w:val="bullet"/>
      <w:lvlText w:val="•"/>
      <w:lvlJc w:val="left"/>
      <w:pPr>
        <w:tabs>
          <w:tab w:val="num" w:pos="4320"/>
        </w:tabs>
        <w:ind w:left="4320" w:hanging="360"/>
      </w:pPr>
      <w:rPr>
        <w:rFonts w:ascii="Arial" w:hAnsi="Arial" w:hint="default"/>
      </w:rPr>
    </w:lvl>
    <w:lvl w:ilvl="6" w:tplc="F914358E" w:tentative="1">
      <w:start w:val="1"/>
      <w:numFmt w:val="bullet"/>
      <w:lvlText w:val="•"/>
      <w:lvlJc w:val="left"/>
      <w:pPr>
        <w:tabs>
          <w:tab w:val="num" w:pos="5040"/>
        </w:tabs>
        <w:ind w:left="5040" w:hanging="360"/>
      </w:pPr>
      <w:rPr>
        <w:rFonts w:ascii="Arial" w:hAnsi="Arial" w:hint="default"/>
      </w:rPr>
    </w:lvl>
    <w:lvl w:ilvl="7" w:tplc="16D8D95A" w:tentative="1">
      <w:start w:val="1"/>
      <w:numFmt w:val="bullet"/>
      <w:lvlText w:val="•"/>
      <w:lvlJc w:val="left"/>
      <w:pPr>
        <w:tabs>
          <w:tab w:val="num" w:pos="5760"/>
        </w:tabs>
        <w:ind w:left="5760" w:hanging="360"/>
      </w:pPr>
      <w:rPr>
        <w:rFonts w:ascii="Arial" w:hAnsi="Arial" w:hint="default"/>
      </w:rPr>
    </w:lvl>
    <w:lvl w:ilvl="8" w:tplc="F2600E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C272BC"/>
    <w:multiLevelType w:val="hybridMultilevel"/>
    <w:tmpl w:val="6B4CB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21248"/>
    <w:multiLevelType w:val="hybridMultilevel"/>
    <w:tmpl w:val="2226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B6E0D"/>
    <w:multiLevelType w:val="hybridMultilevel"/>
    <w:tmpl w:val="53C0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D6163"/>
    <w:multiLevelType w:val="hybridMultilevel"/>
    <w:tmpl w:val="C0D0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97937"/>
    <w:multiLevelType w:val="hybridMultilevel"/>
    <w:tmpl w:val="E6B07AE6"/>
    <w:lvl w:ilvl="0" w:tplc="48AEB2DC">
      <w:start w:val="1"/>
      <w:numFmt w:val="bullet"/>
      <w:lvlText w:val="•"/>
      <w:lvlJc w:val="left"/>
      <w:pPr>
        <w:tabs>
          <w:tab w:val="num" w:pos="720"/>
        </w:tabs>
        <w:ind w:left="720" w:hanging="360"/>
      </w:pPr>
      <w:rPr>
        <w:rFonts w:ascii="Arial" w:hAnsi="Arial" w:hint="default"/>
      </w:rPr>
    </w:lvl>
    <w:lvl w:ilvl="1" w:tplc="38B037E2" w:tentative="1">
      <w:start w:val="1"/>
      <w:numFmt w:val="bullet"/>
      <w:lvlText w:val="•"/>
      <w:lvlJc w:val="left"/>
      <w:pPr>
        <w:tabs>
          <w:tab w:val="num" w:pos="1440"/>
        </w:tabs>
        <w:ind w:left="1440" w:hanging="360"/>
      </w:pPr>
      <w:rPr>
        <w:rFonts w:ascii="Arial" w:hAnsi="Arial" w:hint="default"/>
      </w:rPr>
    </w:lvl>
    <w:lvl w:ilvl="2" w:tplc="58F8B5D6" w:tentative="1">
      <w:start w:val="1"/>
      <w:numFmt w:val="bullet"/>
      <w:lvlText w:val="•"/>
      <w:lvlJc w:val="left"/>
      <w:pPr>
        <w:tabs>
          <w:tab w:val="num" w:pos="2160"/>
        </w:tabs>
        <w:ind w:left="2160" w:hanging="360"/>
      </w:pPr>
      <w:rPr>
        <w:rFonts w:ascii="Arial" w:hAnsi="Arial" w:hint="default"/>
      </w:rPr>
    </w:lvl>
    <w:lvl w:ilvl="3" w:tplc="61B84F7C" w:tentative="1">
      <w:start w:val="1"/>
      <w:numFmt w:val="bullet"/>
      <w:lvlText w:val="•"/>
      <w:lvlJc w:val="left"/>
      <w:pPr>
        <w:tabs>
          <w:tab w:val="num" w:pos="2880"/>
        </w:tabs>
        <w:ind w:left="2880" w:hanging="360"/>
      </w:pPr>
      <w:rPr>
        <w:rFonts w:ascii="Arial" w:hAnsi="Arial" w:hint="default"/>
      </w:rPr>
    </w:lvl>
    <w:lvl w:ilvl="4" w:tplc="E0C8FFEA" w:tentative="1">
      <w:start w:val="1"/>
      <w:numFmt w:val="bullet"/>
      <w:lvlText w:val="•"/>
      <w:lvlJc w:val="left"/>
      <w:pPr>
        <w:tabs>
          <w:tab w:val="num" w:pos="3600"/>
        </w:tabs>
        <w:ind w:left="3600" w:hanging="360"/>
      </w:pPr>
      <w:rPr>
        <w:rFonts w:ascii="Arial" w:hAnsi="Arial" w:hint="default"/>
      </w:rPr>
    </w:lvl>
    <w:lvl w:ilvl="5" w:tplc="53B48072" w:tentative="1">
      <w:start w:val="1"/>
      <w:numFmt w:val="bullet"/>
      <w:lvlText w:val="•"/>
      <w:lvlJc w:val="left"/>
      <w:pPr>
        <w:tabs>
          <w:tab w:val="num" w:pos="4320"/>
        </w:tabs>
        <w:ind w:left="4320" w:hanging="360"/>
      </w:pPr>
      <w:rPr>
        <w:rFonts w:ascii="Arial" w:hAnsi="Arial" w:hint="default"/>
      </w:rPr>
    </w:lvl>
    <w:lvl w:ilvl="6" w:tplc="FAD0C98E" w:tentative="1">
      <w:start w:val="1"/>
      <w:numFmt w:val="bullet"/>
      <w:lvlText w:val="•"/>
      <w:lvlJc w:val="left"/>
      <w:pPr>
        <w:tabs>
          <w:tab w:val="num" w:pos="5040"/>
        </w:tabs>
        <w:ind w:left="5040" w:hanging="360"/>
      </w:pPr>
      <w:rPr>
        <w:rFonts w:ascii="Arial" w:hAnsi="Arial" w:hint="default"/>
      </w:rPr>
    </w:lvl>
    <w:lvl w:ilvl="7" w:tplc="045C99E0" w:tentative="1">
      <w:start w:val="1"/>
      <w:numFmt w:val="bullet"/>
      <w:lvlText w:val="•"/>
      <w:lvlJc w:val="left"/>
      <w:pPr>
        <w:tabs>
          <w:tab w:val="num" w:pos="5760"/>
        </w:tabs>
        <w:ind w:left="5760" w:hanging="360"/>
      </w:pPr>
      <w:rPr>
        <w:rFonts w:ascii="Arial" w:hAnsi="Arial" w:hint="default"/>
      </w:rPr>
    </w:lvl>
    <w:lvl w:ilvl="8" w:tplc="A3CE96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451C51"/>
    <w:multiLevelType w:val="hybridMultilevel"/>
    <w:tmpl w:val="F6C4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503A4"/>
    <w:multiLevelType w:val="hybridMultilevel"/>
    <w:tmpl w:val="F9C007C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15496"/>
    <w:multiLevelType w:val="hybridMultilevel"/>
    <w:tmpl w:val="77E8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47B40"/>
    <w:multiLevelType w:val="hybridMultilevel"/>
    <w:tmpl w:val="27E60E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A2043"/>
    <w:multiLevelType w:val="hybridMultilevel"/>
    <w:tmpl w:val="461297C0"/>
    <w:lvl w:ilvl="0" w:tplc="A02AE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A584F"/>
    <w:multiLevelType w:val="hybridMultilevel"/>
    <w:tmpl w:val="3CDEA3A4"/>
    <w:lvl w:ilvl="0" w:tplc="58DA164A">
      <w:start w:val="1"/>
      <w:numFmt w:val="bullet"/>
      <w:lvlText w:val="•"/>
      <w:lvlJc w:val="left"/>
      <w:pPr>
        <w:tabs>
          <w:tab w:val="num" w:pos="720"/>
        </w:tabs>
        <w:ind w:left="720" w:hanging="360"/>
      </w:pPr>
      <w:rPr>
        <w:rFonts w:ascii="Arial" w:hAnsi="Arial" w:hint="default"/>
      </w:rPr>
    </w:lvl>
    <w:lvl w:ilvl="1" w:tplc="73D89CA4" w:tentative="1">
      <w:start w:val="1"/>
      <w:numFmt w:val="bullet"/>
      <w:lvlText w:val="•"/>
      <w:lvlJc w:val="left"/>
      <w:pPr>
        <w:tabs>
          <w:tab w:val="num" w:pos="1440"/>
        </w:tabs>
        <w:ind w:left="1440" w:hanging="360"/>
      </w:pPr>
      <w:rPr>
        <w:rFonts w:ascii="Arial" w:hAnsi="Arial" w:hint="default"/>
      </w:rPr>
    </w:lvl>
    <w:lvl w:ilvl="2" w:tplc="B478ECCA" w:tentative="1">
      <w:start w:val="1"/>
      <w:numFmt w:val="bullet"/>
      <w:lvlText w:val="•"/>
      <w:lvlJc w:val="left"/>
      <w:pPr>
        <w:tabs>
          <w:tab w:val="num" w:pos="2160"/>
        </w:tabs>
        <w:ind w:left="2160" w:hanging="360"/>
      </w:pPr>
      <w:rPr>
        <w:rFonts w:ascii="Arial" w:hAnsi="Arial" w:hint="default"/>
      </w:rPr>
    </w:lvl>
    <w:lvl w:ilvl="3" w:tplc="93DE12C2" w:tentative="1">
      <w:start w:val="1"/>
      <w:numFmt w:val="bullet"/>
      <w:lvlText w:val="•"/>
      <w:lvlJc w:val="left"/>
      <w:pPr>
        <w:tabs>
          <w:tab w:val="num" w:pos="2880"/>
        </w:tabs>
        <w:ind w:left="2880" w:hanging="360"/>
      </w:pPr>
      <w:rPr>
        <w:rFonts w:ascii="Arial" w:hAnsi="Arial" w:hint="default"/>
      </w:rPr>
    </w:lvl>
    <w:lvl w:ilvl="4" w:tplc="0B74A3E2" w:tentative="1">
      <w:start w:val="1"/>
      <w:numFmt w:val="bullet"/>
      <w:lvlText w:val="•"/>
      <w:lvlJc w:val="left"/>
      <w:pPr>
        <w:tabs>
          <w:tab w:val="num" w:pos="3600"/>
        </w:tabs>
        <w:ind w:left="3600" w:hanging="360"/>
      </w:pPr>
      <w:rPr>
        <w:rFonts w:ascii="Arial" w:hAnsi="Arial" w:hint="default"/>
      </w:rPr>
    </w:lvl>
    <w:lvl w:ilvl="5" w:tplc="817ACD12" w:tentative="1">
      <w:start w:val="1"/>
      <w:numFmt w:val="bullet"/>
      <w:lvlText w:val="•"/>
      <w:lvlJc w:val="left"/>
      <w:pPr>
        <w:tabs>
          <w:tab w:val="num" w:pos="4320"/>
        </w:tabs>
        <w:ind w:left="4320" w:hanging="360"/>
      </w:pPr>
      <w:rPr>
        <w:rFonts w:ascii="Arial" w:hAnsi="Arial" w:hint="default"/>
      </w:rPr>
    </w:lvl>
    <w:lvl w:ilvl="6" w:tplc="A9E2E732" w:tentative="1">
      <w:start w:val="1"/>
      <w:numFmt w:val="bullet"/>
      <w:lvlText w:val="•"/>
      <w:lvlJc w:val="left"/>
      <w:pPr>
        <w:tabs>
          <w:tab w:val="num" w:pos="5040"/>
        </w:tabs>
        <w:ind w:left="5040" w:hanging="360"/>
      </w:pPr>
      <w:rPr>
        <w:rFonts w:ascii="Arial" w:hAnsi="Arial" w:hint="default"/>
      </w:rPr>
    </w:lvl>
    <w:lvl w:ilvl="7" w:tplc="EACEA6CE" w:tentative="1">
      <w:start w:val="1"/>
      <w:numFmt w:val="bullet"/>
      <w:lvlText w:val="•"/>
      <w:lvlJc w:val="left"/>
      <w:pPr>
        <w:tabs>
          <w:tab w:val="num" w:pos="5760"/>
        </w:tabs>
        <w:ind w:left="5760" w:hanging="360"/>
      </w:pPr>
      <w:rPr>
        <w:rFonts w:ascii="Arial" w:hAnsi="Arial" w:hint="default"/>
      </w:rPr>
    </w:lvl>
    <w:lvl w:ilvl="8" w:tplc="DDE2DB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432B5A"/>
    <w:multiLevelType w:val="hybridMultilevel"/>
    <w:tmpl w:val="A804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539F7"/>
    <w:multiLevelType w:val="hybridMultilevel"/>
    <w:tmpl w:val="65BA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10EC3"/>
    <w:multiLevelType w:val="hybridMultilevel"/>
    <w:tmpl w:val="250698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249E9"/>
    <w:multiLevelType w:val="hybridMultilevel"/>
    <w:tmpl w:val="EDCA0946"/>
    <w:lvl w:ilvl="0" w:tplc="2354D00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45F27"/>
    <w:multiLevelType w:val="hybridMultilevel"/>
    <w:tmpl w:val="ED102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E7F4E"/>
    <w:multiLevelType w:val="hybridMultilevel"/>
    <w:tmpl w:val="6EFE6564"/>
    <w:lvl w:ilvl="0" w:tplc="06E25C46">
      <w:start w:val="1"/>
      <w:numFmt w:val="bullet"/>
      <w:lvlText w:val="•"/>
      <w:lvlJc w:val="left"/>
      <w:pPr>
        <w:tabs>
          <w:tab w:val="num" w:pos="720"/>
        </w:tabs>
        <w:ind w:left="720" w:hanging="360"/>
      </w:pPr>
      <w:rPr>
        <w:rFonts w:ascii="Arial" w:hAnsi="Arial" w:hint="default"/>
      </w:rPr>
    </w:lvl>
    <w:lvl w:ilvl="1" w:tplc="72BC0D34" w:tentative="1">
      <w:start w:val="1"/>
      <w:numFmt w:val="bullet"/>
      <w:lvlText w:val="•"/>
      <w:lvlJc w:val="left"/>
      <w:pPr>
        <w:tabs>
          <w:tab w:val="num" w:pos="1440"/>
        </w:tabs>
        <w:ind w:left="1440" w:hanging="360"/>
      </w:pPr>
      <w:rPr>
        <w:rFonts w:ascii="Arial" w:hAnsi="Arial" w:hint="default"/>
      </w:rPr>
    </w:lvl>
    <w:lvl w:ilvl="2" w:tplc="EE249BEA" w:tentative="1">
      <w:start w:val="1"/>
      <w:numFmt w:val="bullet"/>
      <w:lvlText w:val="•"/>
      <w:lvlJc w:val="left"/>
      <w:pPr>
        <w:tabs>
          <w:tab w:val="num" w:pos="2160"/>
        </w:tabs>
        <w:ind w:left="2160" w:hanging="360"/>
      </w:pPr>
      <w:rPr>
        <w:rFonts w:ascii="Arial" w:hAnsi="Arial" w:hint="default"/>
      </w:rPr>
    </w:lvl>
    <w:lvl w:ilvl="3" w:tplc="10B68FC0" w:tentative="1">
      <w:start w:val="1"/>
      <w:numFmt w:val="bullet"/>
      <w:lvlText w:val="•"/>
      <w:lvlJc w:val="left"/>
      <w:pPr>
        <w:tabs>
          <w:tab w:val="num" w:pos="2880"/>
        </w:tabs>
        <w:ind w:left="2880" w:hanging="360"/>
      </w:pPr>
      <w:rPr>
        <w:rFonts w:ascii="Arial" w:hAnsi="Arial" w:hint="default"/>
      </w:rPr>
    </w:lvl>
    <w:lvl w:ilvl="4" w:tplc="2C28856A" w:tentative="1">
      <w:start w:val="1"/>
      <w:numFmt w:val="bullet"/>
      <w:lvlText w:val="•"/>
      <w:lvlJc w:val="left"/>
      <w:pPr>
        <w:tabs>
          <w:tab w:val="num" w:pos="3600"/>
        </w:tabs>
        <w:ind w:left="3600" w:hanging="360"/>
      </w:pPr>
      <w:rPr>
        <w:rFonts w:ascii="Arial" w:hAnsi="Arial" w:hint="default"/>
      </w:rPr>
    </w:lvl>
    <w:lvl w:ilvl="5" w:tplc="CEE6CD26" w:tentative="1">
      <w:start w:val="1"/>
      <w:numFmt w:val="bullet"/>
      <w:lvlText w:val="•"/>
      <w:lvlJc w:val="left"/>
      <w:pPr>
        <w:tabs>
          <w:tab w:val="num" w:pos="4320"/>
        </w:tabs>
        <w:ind w:left="4320" w:hanging="360"/>
      </w:pPr>
      <w:rPr>
        <w:rFonts w:ascii="Arial" w:hAnsi="Arial" w:hint="default"/>
      </w:rPr>
    </w:lvl>
    <w:lvl w:ilvl="6" w:tplc="E1CE2A2E" w:tentative="1">
      <w:start w:val="1"/>
      <w:numFmt w:val="bullet"/>
      <w:lvlText w:val="•"/>
      <w:lvlJc w:val="left"/>
      <w:pPr>
        <w:tabs>
          <w:tab w:val="num" w:pos="5040"/>
        </w:tabs>
        <w:ind w:left="5040" w:hanging="360"/>
      </w:pPr>
      <w:rPr>
        <w:rFonts w:ascii="Arial" w:hAnsi="Arial" w:hint="default"/>
      </w:rPr>
    </w:lvl>
    <w:lvl w:ilvl="7" w:tplc="7DE09A26" w:tentative="1">
      <w:start w:val="1"/>
      <w:numFmt w:val="bullet"/>
      <w:lvlText w:val="•"/>
      <w:lvlJc w:val="left"/>
      <w:pPr>
        <w:tabs>
          <w:tab w:val="num" w:pos="5760"/>
        </w:tabs>
        <w:ind w:left="5760" w:hanging="360"/>
      </w:pPr>
      <w:rPr>
        <w:rFonts w:ascii="Arial" w:hAnsi="Arial" w:hint="default"/>
      </w:rPr>
    </w:lvl>
    <w:lvl w:ilvl="8" w:tplc="3F7012F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AF53F7"/>
    <w:multiLevelType w:val="hybridMultilevel"/>
    <w:tmpl w:val="02CA5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65564B"/>
    <w:multiLevelType w:val="hybridMultilevel"/>
    <w:tmpl w:val="62B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656CB"/>
    <w:multiLevelType w:val="hybridMultilevel"/>
    <w:tmpl w:val="F5D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55BF7"/>
    <w:multiLevelType w:val="hybridMultilevel"/>
    <w:tmpl w:val="703E96F4"/>
    <w:lvl w:ilvl="0" w:tplc="A49EC2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20"/>
  </w:num>
  <w:num w:numId="4">
    <w:abstractNumId w:val="4"/>
  </w:num>
  <w:num w:numId="5">
    <w:abstractNumId w:val="10"/>
  </w:num>
  <w:num w:numId="6">
    <w:abstractNumId w:val="22"/>
  </w:num>
  <w:num w:numId="7">
    <w:abstractNumId w:val="37"/>
  </w:num>
  <w:num w:numId="8">
    <w:abstractNumId w:val="7"/>
  </w:num>
  <w:num w:numId="9">
    <w:abstractNumId w:val="3"/>
  </w:num>
  <w:num w:numId="10">
    <w:abstractNumId w:val="5"/>
  </w:num>
  <w:num w:numId="11">
    <w:abstractNumId w:val="36"/>
  </w:num>
  <w:num w:numId="12">
    <w:abstractNumId w:val="30"/>
  </w:num>
  <w:num w:numId="13">
    <w:abstractNumId w:val="19"/>
  </w:num>
  <w:num w:numId="14">
    <w:abstractNumId w:val="23"/>
  </w:num>
  <w:num w:numId="15">
    <w:abstractNumId w:val="1"/>
  </w:num>
  <w:num w:numId="16">
    <w:abstractNumId w:val="12"/>
  </w:num>
  <w:num w:numId="17">
    <w:abstractNumId w:val="34"/>
  </w:num>
  <w:num w:numId="18">
    <w:abstractNumId w:val="13"/>
  </w:num>
  <w:num w:numId="19">
    <w:abstractNumId w:val="38"/>
  </w:num>
  <w:num w:numId="20">
    <w:abstractNumId w:val="8"/>
  </w:num>
  <w:num w:numId="21">
    <w:abstractNumId w:val="27"/>
  </w:num>
  <w:num w:numId="22">
    <w:abstractNumId w:val="6"/>
  </w:num>
  <w:num w:numId="23">
    <w:abstractNumId w:val="16"/>
  </w:num>
  <w:num w:numId="24">
    <w:abstractNumId w:val="26"/>
  </w:num>
  <w:num w:numId="25">
    <w:abstractNumId w:val="35"/>
  </w:num>
  <w:num w:numId="26">
    <w:abstractNumId w:val="18"/>
  </w:num>
  <w:num w:numId="27">
    <w:abstractNumId w:val="31"/>
  </w:num>
  <w:num w:numId="28">
    <w:abstractNumId w:val="9"/>
  </w:num>
  <w:num w:numId="29">
    <w:abstractNumId w:val="33"/>
  </w:num>
  <w:num w:numId="30">
    <w:abstractNumId w:val="29"/>
  </w:num>
  <w:num w:numId="31">
    <w:abstractNumId w:val="0"/>
  </w:num>
  <w:num w:numId="32">
    <w:abstractNumId w:val="24"/>
  </w:num>
  <w:num w:numId="33">
    <w:abstractNumId w:val="32"/>
  </w:num>
  <w:num w:numId="34">
    <w:abstractNumId w:val="2"/>
  </w:num>
  <w:num w:numId="35">
    <w:abstractNumId w:val="14"/>
  </w:num>
  <w:num w:numId="36">
    <w:abstractNumId w:val="21"/>
  </w:num>
  <w:num w:numId="37">
    <w:abstractNumId w:val="15"/>
  </w:num>
  <w:num w:numId="38">
    <w:abstractNumId w:val="2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E0"/>
    <w:rsid w:val="00047377"/>
    <w:rsid w:val="00053036"/>
    <w:rsid w:val="00070A8B"/>
    <w:rsid w:val="000A17FA"/>
    <w:rsid w:val="000C3004"/>
    <w:rsid w:val="000E7013"/>
    <w:rsid w:val="00113F70"/>
    <w:rsid w:val="00125EA8"/>
    <w:rsid w:val="001355B3"/>
    <w:rsid w:val="001A0DC2"/>
    <w:rsid w:val="001A3327"/>
    <w:rsid w:val="001E0721"/>
    <w:rsid w:val="002309DD"/>
    <w:rsid w:val="0023741B"/>
    <w:rsid w:val="002951D8"/>
    <w:rsid w:val="002B012A"/>
    <w:rsid w:val="002C3610"/>
    <w:rsid w:val="002E1835"/>
    <w:rsid w:val="002F16DF"/>
    <w:rsid w:val="00314DA3"/>
    <w:rsid w:val="00323D8F"/>
    <w:rsid w:val="003314E4"/>
    <w:rsid w:val="003443E5"/>
    <w:rsid w:val="00380D83"/>
    <w:rsid w:val="003A565C"/>
    <w:rsid w:val="003B3EED"/>
    <w:rsid w:val="003E7620"/>
    <w:rsid w:val="004131BF"/>
    <w:rsid w:val="004156BC"/>
    <w:rsid w:val="00432364"/>
    <w:rsid w:val="00452E68"/>
    <w:rsid w:val="004962C6"/>
    <w:rsid w:val="004A0410"/>
    <w:rsid w:val="004A5CA0"/>
    <w:rsid w:val="005321B7"/>
    <w:rsid w:val="005D3970"/>
    <w:rsid w:val="005E4938"/>
    <w:rsid w:val="005E74E0"/>
    <w:rsid w:val="00600759"/>
    <w:rsid w:val="00617245"/>
    <w:rsid w:val="00656F21"/>
    <w:rsid w:val="006746CC"/>
    <w:rsid w:val="0069423F"/>
    <w:rsid w:val="006C7141"/>
    <w:rsid w:val="00710FBC"/>
    <w:rsid w:val="00713CF3"/>
    <w:rsid w:val="0071582F"/>
    <w:rsid w:val="00715EB0"/>
    <w:rsid w:val="00725C84"/>
    <w:rsid w:val="00745FD9"/>
    <w:rsid w:val="007467A1"/>
    <w:rsid w:val="00786EE3"/>
    <w:rsid w:val="007A4E3E"/>
    <w:rsid w:val="007E7543"/>
    <w:rsid w:val="007F0D38"/>
    <w:rsid w:val="007F360E"/>
    <w:rsid w:val="007F444E"/>
    <w:rsid w:val="00801C31"/>
    <w:rsid w:val="0080640F"/>
    <w:rsid w:val="0087210F"/>
    <w:rsid w:val="00893DBA"/>
    <w:rsid w:val="008957A8"/>
    <w:rsid w:val="008E2F01"/>
    <w:rsid w:val="00900A50"/>
    <w:rsid w:val="0090282E"/>
    <w:rsid w:val="00907B42"/>
    <w:rsid w:val="00917472"/>
    <w:rsid w:val="00924B7D"/>
    <w:rsid w:val="009E0E7E"/>
    <w:rsid w:val="00A375CD"/>
    <w:rsid w:val="00A454CF"/>
    <w:rsid w:val="00AA299A"/>
    <w:rsid w:val="00AA7D64"/>
    <w:rsid w:val="00AE47D5"/>
    <w:rsid w:val="00B27B64"/>
    <w:rsid w:val="00B6083E"/>
    <w:rsid w:val="00B66D88"/>
    <w:rsid w:val="00B7218C"/>
    <w:rsid w:val="00B7693D"/>
    <w:rsid w:val="00BA4602"/>
    <w:rsid w:val="00BD5B34"/>
    <w:rsid w:val="00BE196C"/>
    <w:rsid w:val="00BE6D77"/>
    <w:rsid w:val="00C17D83"/>
    <w:rsid w:val="00C9529C"/>
    <w:rsid w:val="00CC04BC"/>
    <w:rsid w:val="00D03819"/>
    <w:rsid w:val="00D72A79"/>
    <w:rsid w:val="00DB0577"/>
    <w:rsid w:val="00E21762"/>
    <w:rsid w:val="00E227FD"/>
    <w:rsid w:val="00E80929"/>
    <w:rsid w:val="00EA1767"/>
    <w:rsid w:val="00EA3E64"/>
    <w:rsid w:val="00EE396B"/>
    <w:rsid w:val="00F5241F"/>
    <w:rsid w:val="00FC0CB2"/>
    <w:rsid w:val="00FD499F"/>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77CB7"/>
  <w15:docId w15:val="{4DDFAC7B-7F4F-3E43-91D9-AE35BB47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47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47D5"/>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E47D5"/>
    <w:rPr>
      <w:b/>
      <w:bCs/>
      <w:smallCaps/>
      <w:spacing w:val="5"/>
    </w:rPr>
  </w:style>
  <w:style w:type="paragraph" w:styleId="ListParagraph">
    <w:name w:val="List Paragraph"/>
    <w:basedOn w:val="Normal"/>
    <w:uiPriority w:val="34"/>
    <w:qFormat/>
    <w:rsid w:val="005E493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04BC"/>
    <w:rPr>
      <w:color w:val="0000FF" w:themeColor="hyperlink"/>
      <w:u w:val="single"/>
    </w:rPr>
  </w:style>
  <w:style w:type="paragraph" w:styleId="BalloonText">
    <w:name w:val="Balloon Text"/>
    <w:basedOn w:val="Normal"/>
    <w:link w:val="BalloonTextChar"/>
    <w:uiPriority w:val="99"/>
    <w:semiHidden/>
    <w:unhideWhenUsed/>
    <w:rsid w:val="00713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63752">
      <w:bodyDiv w:val="1"/>
      <w:marLeft w:val="0"/>
      <w:marRight w:val="0"/>
      <w:marTop w:val="0"/>
      <w:marBottom w:val="0"/>
      <w:divBdr>
        <w:top w:val="none" w:sz="0" w:space="0" w:color="auto"/>
        <w:left w:val="none" w:sz="0" w:space="0" w:color="auto"/>
        <w:bottom w:val="none" w:sz="0" w:space="0" w:color="auto"/>
        <w:right w:val="none" w:sz="0" w:space="0" w:color="auto"/>
      </w:divBdr>
      <w:divsChild>
        <w:div w:id="112141061">
          <w:marLeft w:val="547"/>
          <w:marRight w:val="0"/>
          <w:marTop w:val="144"/>
          <w:marBottom w:val="0"/>
          <w:divBdr>
            <w:top w:val="none" w:sz="0" w:space="0" w:color="auto"/>
            <w:left w:val="none" w:sz="0" w:space="0" w:color="auto"/>
            <w:bottom w:val="none" w:sz="0" w:space="0" w:color="auto"/>
            <w:right w:val="none" w:sz="0" w:space="0" w:color="auto"/>
          </w:divBdr>
        </w:div>
      </w:divsChild>
    </w:div>
    <w:div w:id="1101217141">
      <w:bodyDiv w:val="1"/>
      <w:marLeft w:val="0"/>
      <w:marRight w:val="0"/>
      <w:marTop w:val="0"/>
      <w:marBottom w:val="0"/>
      <w:divBdr>
        <w:top w:val="none" w:sz="0" w:space="0" w:color="auto"/>
        <w:left w:val="none" w:sz="0" w:space="0" w:color="auto"/>
        <w:bottom w:val="none" w:sz="0" w:space="0" w:color="auto"/>
        <w:right w:val="none" w:sz="0" w:space="0" w:color="auto"/>
      </w:divBdr>
      <w:divsChild>
        <w:div w:id="176970486">
          <w:marLeft w:val="806"/>
          <w:marRight w:val="0"/>
          <w:marTop w:val="120"/>
          <w:marBottom w:val="0"/>
          <w:divBdr>
            <w:top w:val="none" w:sz="0" w:space="0" w:color="auto"/>
            <w:left w:val="none" w:sz="0" w:space="0" w:color="auto"/>
            <w:bottom w:val="none" w:sz="0" w:space="0" w:color="auto"/>
            <w:right w:val="none" w:sz="0" w:space="0" w:color="auto"/>
          </w:divBdr>
        </w:div>
        <w:div w:id="30811366">
          <w:marLeft w:val="806"/>
          <w:marRight w:val="0"/>
          <w:marTop w:val="120"/>
          <w:marBottom w:val="0"/>
          <w:divBdr>
            <w:top w:val="none" w:sz="0" w:space="0" w:color="auto"/>
            <w:left w:val="none" w:sz="0" w:space="0" w:color="auto"/>
            <w:bottom w:val="none" w:sz="0" w:space="0" w:color="auto"/>
            <w:right w:val="none" w:sz="0" w:space="0" w:color="auto"/>
          </w:divBdr>
        </w:div>
        <w:div w:id="199129172">
          <w:marLeft w:val="806"/>
          <w:marRight w:val="0"/>
          <w:marTop w:val="120"/>
          <w:marBottom w:val="0"/>
          <w:divBdr>
            <w:top w:val="none" w:sz="0" w:space="0" w:color="auto"/>
            <w:left w:val="none" w:sz="0" w:space="0" w:color="auto"/>
            <w:bottom w:val="none" w:sz="0" w:space="0" w:color="auto"/>
            <w:right w:val="none" w:sz="0" w:space="0" w:color="auto"/>
          </w:divBdr>
        </w:div>
        <w:div w:id="530535591">
          <w:marLeft w:val="806"/>
          <w:marRight w:val="0"/>
          <w:marTop w:val="120"/>
          <w:marBottom w:val="0"/>
          <w:divBdr>
            <w:top w:val="none" w:sz="0" w:space="0" w:color="auto"/>
            <w:left w:val="none" w:sz="0" w:space="0" w:color="auto"/>
            <w:bottom w:val="none" w:sz="0" w:space="0" w:color="auto"/>
            <w:right w:val="none" w:sz="0" w:space="0" w:color="auto"/>
          </w:divBdr>
        </w:div>
        <w:div w:id="159666176">
          <w:marLeft w:val="806"/>
          <w:marRight w:val="0"/>
          <w:marTop w:val="120"/>
          <w:marBottom w:val="0"/>
          <w:divBdr>
            <w:top w:val="none" w:sz="0" w:space="0" w:color="auto"/>
            <w:left w:val="none" w:sz="0" w:space="0" w:color="auto"/>
            <w:bottom w:val="none" w:sz="0" w:space="0" w:color="auto"/>
            <w:right w:val="none" w:sz="0" w:space="0" w:color="auto"/>
          </w:divBdr>
        </w:div>
      </w:divsChild>
    </w:div>
    <w:div w:id="1499735719">
      <w:bodyDiv w:val="1"/>
      <w:marLeft w:val="0"/>
      <w:marRight w:val="0"/>
      <w:marTop w:val="0"/>
      <w:marBottom w:val="0"/>
      <w:divBdr>
        <w:top w:val="none" w:sz="0" w:space="0" w:color="auto"/>
        <w:left w:val="none" w:sz="0" w:space="0" w:color="auto"/>
        <w:bottom w:val="none" w:sz="0" w:space="0" w:color="auto"/>
        <w:right w:val="none" w:sz="0" w:space="0" w:color="auto"/>
      </w:divBdr>
      <w:divsChild>
        <w:div w:id="1145196612">
          <w:marLeft w:val="547"/>
          <w:marRight w:val="0"/>
          <w:marTop w:val="192"/>
          <w:marBottom w:val="0"/>
          <w:divBdr>
            <w:top w:val="none" w:sz="0" w:space="0" w:color="auto"/>
            <w:left w:val="none" w:sz="0" w:space="0" w:color="auto"/>
            <w:bottom w:val="none" w:sz="0" w:space="0" w:color="auto"/>
            <w:right w:val="none" w:sz="0" w:space="0" w:color="auto"/>
          </w:divBdr>
        </w:div>
      </w:divsChild>
    </w:div>
    <w:div w:id="1701052484">
      <w:bodyDiv w:val="1"/>
      <w:marLeft w:val="0"/>
      <w:marRight w:val="0"/>
      <w:marTop w:val="0"/>
      <w:marBottom w:val="0"/>
      <w:divBdr>
        <w:top w:val="none" w:sz="0" w:space="0" w:color="auto"/>
        <w:left w:val="none" w:sz="0" w:space="0" w:color="auto"/>
        <w:bottom w:val="none" w:sz="0" w:space="0" w:color="auto"/>
        <w:right w:val="none" w:sz="0" w:space="0" w:color="auto"/>
      </w:divBdr>
      <w:divsChild>
        <w:div w:id="1649824449">
          <w:marLeft w:val="547"/>
          <w:marRight w:val="0"/>
          <w:marTop w:val="115"/>
          <w:marBottom w:val="0"/>
          <w:divBdr>
            <w:top w:val="none" w:sz="0" w:space="0" w:color="auto"/>
            <w:left w:val="none" w:sz="0" w:space="0" w:color="auto"/>
            <w:bottom w:val="none" w:sz="0" w:space="0" w:color="auto"/>
            <w:right w:val="none" w:sz="0" w:space="0" w:color="auto"/>
          </w:divBdr>
        </w:div>
      </w:divsChild>
    </w:div>
    <w:div w:id="1811288200">
      <w:bodyDiv w:val="1"/>
      <w:marLeft w:val="0"/>
      <w:marRight w:val="0"/>
      <w:marTop w:val="0"/>
      <w:marBottom w:val="0"/>
      <w:divBdr>
        <w:top w:val="none" w:sz="0" w:space="0" w:color="auto"/>
        <w:left w:val="none" w:sz="0" w:space="0" w:color="auto"/>
        <w:bottom w:val="none" w:sz="0" w:space="0" w:color="auto"/>
        <w:right w:val="none" w:sz="0" w:space="0" w:color="auto"/>
      </w:divBdr>
      <w:divsChild>
        <w:div w:id="2012445827">
          <w:marLeft w:val="547"/>
          <w:marRight w:val="0"/>
          <w:marTop w:val="130"/>
          <w:marBottom w:val="0"/>
          <w:divBdr>
            <w:top w:val="none" w:sz="0" w:space="0" w:color="auto"/>
            <w:left w:val="none" w:sz="0" w:space="0" w:color="auto"/>
            <w:bottom w:val="none" w:sz="0" w:space="0" w:color="auto"/>
            <w:right w:val="none" w:sz="0" w:space="0" w:color="auto"/>
          </w:divBdr>
        </w:div>
      </w:divsChild>
    </w:div>
    <w:div w:id="2019116710">
      <w:bodyDiv w:val="1"/>
      <w:marLeft w:val="0"/>
      <w:marRight w:val="0"/>
      <w:marTop w:val="0"/>
      <w:marBottom w:val="0"/>
      <w:divBdr>
        <w:top w:val="none" w:sz="0" w:space="0" w:color="auto"/>
        <w:left w:val="none" w:sz="0" w:space="0" w:color="auto"/>
        <w:bottom w:val="none" w:sz="0" w:space="0" w:color="auto"/>
        <w:right w:val="none" w:sz="0" w:space="0" w:color="auto"/>
      </w:divBdr>
      <w:divsChild>
        <w:div w:id="329412930">
          <w:marLeft w:val="806"/>
          <w:marRight w:val="0"/>
          <w:marTop w:val="120"/>
          <w:marBottom w:val="0"/>
          <w:divBdr>
            <w:top w:val="none" w:sz="0" w:space="0" w:color="auto"/>
            <w:left w:val="none" w:sz="0" w:space="0" w:color="auto"/>
            <w:bottom w:val="none" w:sz="0" w:space="0" w:color="auto"/>
            <w:right w:val="none" w:sz="0" w:space="0" w:color="auto"/>
          </w:divBdr>
        </w:div>
        <w:div w:id="651495008">
          <w:marLeft w:val="806"/>
          <w:marRight w:val="0"/>
          <w:marTop w:val="120"/>
          <w:marBottom w:val="0"/>
          <w:divBdr>
            <w:top w:val="none" w:sz="0" w:space="0" w:color="auto"/>
            <w:left w:val="none" w:sz="0" w:space="0" w:color="auto"/>
            <w:bottom w:val="none" w:sz="0" w:space="0" w:color="auto"/>
            <w:right w:val="none" w:sz="0" w:space="0" w:color="auto"/>
          </w:divBdr>
        </w:div>
        <w:div w:id="514073165">
          <w:marLeft w:val="806"/>
          <w:marRight w:val="0"/>
          <w:marTop w:val="120"/>
          <w:marBottom w:val="0"/>
          <w:divBdr>
            <w:top w:val="none" w:sz="0" w:space="0" w:color="auto"/>
            <w:left w:val="none" w:sz="0" w:space="0" w:color="auto"/>
            <w:bottom w:val="none" w:sz="0" w:space="0" w:color="auto"/>
            <w:right w:val="none" w:sz="0" w:space="0" w:color="auto"/>
          </w:divBdr>
        </w:div>
        <w:div w:id="1822768562">
          <w:marLeft w:val="806"/>
          <w:marRight w:val="0"/>
          <w:marTop w:val="120"/>
          <w:marBottom w:val="0"/>
          <w:divBdr>
            <w:top w:val="none" w:sz="0" w:space="0" w:color="auto"/>
            <w:left w:val="none" w:sz="0" w:space="0" w:color="auto"/>
            <w:bottom w:val="none" w:sz="0" w:space="0" w:color="auto"/>
            <w:right w:val="none" w:sz="0" w:space="0" w:color="auto"/>
          </w:divBdr>
        </w:div>
        <w:div w:id="1325010384">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id.wikipedia.org/wiki/Bank_Du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d.wikipedia.org/wiki/Jakart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6327C-0980-8343-AC29-6965835F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Vaio-S113 fg</dc:creator>
  <cp:lastModifiedBy>Microsoft Office User</cp:lastModifiedBy>
  <cp:revision>2</cp:revision>
  <dcterms:created xsi:type="dcterms:W3CDTF">2020-05-15T15:09:00Z</dcterms:created>
  <dcterms:modified xsi:type="dcterms:W3CDTF">2020-05-15T15:09:00Z</dcterms:modified>
</cp:coreProperties>
</file>