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Families: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Despite the cold we have been thinking ahead to warmer months.  Now time has </w:t>
      </w:r>
      <w:r w:rsidDel="00000000" w:rsidR="00000000" w:rsidRPr="00000000">
        <w:rPr>
          <w:rtl w:val="0"/>
        </w:rPr>
        <w:t xml:space="preserve">come</w:t>
      </w:r>
      <w:r w:rsidDel="00000000" w:rsidR="00000000" w:rsidRPr="00000000">
        <w:rPr>
          <w:rtl w:val="0"/>
        </w:rPr>
        <w:t xml:space="preserve"> to start thinking and planning for the summer months. We have come up with some exciting Summer Camp options that will run from June 12th - July 24th, Monday through Thursday, 9 am to 12 pm.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Each week campers will explore new topics: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Week 1: 06/12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Let’s See What is Growing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Week 2: 06/19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A Bug’s Life “Mysteries of the Creepy Crawlers”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Week 3: 06/26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Masterclass in Masterpieces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No Camp the week of 07/03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Week 4: 07/16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Feel the Beat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Week 5: 07/17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Go Team!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Week 6: 07/24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STEAM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Weather permitting each day of camp will be held outdoors and water play in the form of sprinklers and water tables will end each daily session.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Campers should arrive in their swimsuits with sunscreen applied. Each camper will need the following labeled items each day: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Change of clothes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Towel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Refillable water bottle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Water shoes/flip flops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Healthy snack *nut free*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Please return the enrollment form to the front desk and the $25 per week reservation fee. Full tuition is due the week prior to the selected camp’s start.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