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83682" w14:textId="77777777" w:rsidR="00B54738" w:rsidRPr="002A04EC" w:rsidRDefault="00B54738" w:rsidP="002A04EC">
      <w:pPr>
        <w:pStyle w:val="Body"/>
        <w:spacing w:line="480" w:lineRule="auto"/>
        <w:jc w:val="center"/>
      </w:pPr>
      <w:bookmarkStart w:id="0" w:name="_GoBack"/>
      <w:bookmarkEnd w:id="0"/>
    </w:p>
    <w:p w14:paraId="4DAFFBFB" w14:textId="77777777" w:rsidR="00B54738" w:rsidRPr="002A04EC" w:rsidRDefault="00B54738" w:rsidP="002A04EC">
      <w:pPr>
        <w:pStyle w:val="Body"/>
        <w:spacing w:line="480" w:lineRule="auto"/>
        <w:jc w:val="center"/>
      </w:pPr>
    </w:p>
    <w:p w14:paraId="7362B574" w14:textId="77777777" w:rsidR="00B54738" w:rsidRPr="002A04EC" w:rsidRDefault="00B54738" w:rsidP="002A04EC">
      <w:pPr>
        <w:pStyle w:val="Body"/>
        <w:spacing w:line="480" w:lineRule="auto"/>
        <w:jc w:val="center"/>
      </w:pPr>
    </w:p>
    <w:p w14:paraId="2CD82B36" w14:textId="77777777" w:rsidR="00B54738" w:rsidRPr="002A04EC" w:rsidRDefault="00B54738" w:rsidP="002A04EC">
      <w:pPr>
        <w:pStyle w:val="Body"/>
        <w:spacing w:line="480" w:lineRule="auto"/>
        <w:jc w:val="center"/>
      </w:pPr>
    </w:p>
    <w:p w14:paraId="7BFE8B0F" w14:textId="77777777" w:rsidR="00B54738" w:rsidRPr="002A04EC" w:rsidRDefault="00B54738" w:rsidP="002A04EC">
      <w:pPr>
        <w:pStyle w:val="Body"/>
        <w:spacing w:line="480" w:lineRule="auto"/>
        <w:jc w:val="center"/>
      </w:pPr>
    </w:p>
    <w:p w14:paraId="6F29B37C" w14:textId="77777777" w:rsidR="00B54738" w:rsidRPr="002A04EC" w:rsidRDefault="00B54738" w:rsidP="002A04EC">
      <w:pPr>
        <w:pStyle w:val="Body"/>
        <w:spacing w:line="480" w:lineRule="auto"/>
        <w:jc w:val="center"/>
      </w:pPr>
    </w:p>
    <w:p w14:paraId="2DD791C3" w14:textId="77777777" w:rsidR="00B54738" w:rsidRPr="002A04EC" w:rsidRDefault="00B54738" w:rsidP="002A04EC">
      <w:pPr>
        <w:pStyle w:val="Body"/>
        <w:spacing w:line="480" w:lineRule="auto"/>
        <w:jc w:val="center"/>
      </w:pPr>
    </w:p>
    <w:p w14:paraId="41FFA71A" w14:textId="77777777" w:rsidR="00B54738" w:rsidRPr="002A04EC" w:rsidRDefault="00B54738" w:rsidP="002A04EC">
      <w:pPr>
        <w:pStyle w:val="Body"/>
        <w:spacing w:line="480" w:lineRule="auto"/>
        <w:jc w:val="center"/>
      </w:pPr>
    </w:p>
    <w:p w14:paraId="07BA724E" w14:textId="35BDE949" w:rsidR="00B54738" w:rsidRPr="002A04EC" w:rsidRDefault="002B5CFB" w:rsidP="002A04EC">
      <w:pPr>
        <w:pStyle w:val="Body"/>
        <w:spacing w:line="480" w:lineRule="auto"/>
        <w:jc w:val="center"/>
        <w:outlineLvl w:val="0"/>
      </w:pPr>
      <w:r w:rsidRPr="002A04EC">
        <w:t>Treatment Proposal</w:t>
      </w:r>
    </w:p>
    <w:p w14:paraId="16BFD65B" w14:textId="5280ABFC" w:rsidR="00B54738" w:rsidRPr="002A04EC" w:rsidRDefault="006410C3" w:rsidP="002A04EC">
      <w:pPr>
        <w:pStyle w:val="Body"/>
        <w:spacing w:line="480" w:lineRule="auto"/>
        <w:jc w:val="center"/>
      </w:pPr>
      <w:r w:rsidRPr="002A04EC">
        <w:t>I</w:t>
      </w:r>
      <w:r w:rsidR="002B5CFB" w:rsidRPr="002A04EC">
        <w:t xml:space="preserve">ntimate </w:t>
      </w:r>
      <w:r w:rsidRPr="002A04EC">
        <w:t>P</w:t>
      </w:r>
      <w:r w:rsidR="002B5CFB" w:rsidRPr="002A04EC">
        <w:t xml:space="preserve">artner </w:t>
      </w:r>
      <w:r w:rsidRPr="002A04EC">
        <w:t>V</w:t>
      </w:r>
      <w:r w:rsidR="002B5CFB" w:rsidRPr="002A04EC">
        <w:t>iolence</w:t>
      </w:r>
      <w:r w:rsidR="000D17D5" w:rsidRPr="002A04EC">
        <w:t>, At</w:t>
      </w:r>
      <w:r w:rsidR="002B5CFB" w:rsidRPr="002A04EC">
        <w:t>tachment and Readiness to Leave</w:t>
      </w:r>
    </w:p>
    <w:p w14:paraId="588F277D" w14:textId="77777777" w:rsidR="00B54738" w:rsidRPr="002A04EC" w:rsidRDefault="000D17D5" w:rsidP="002A04EC">
      <w:pPr>
        <w:pStyle w:val="Body"/>
        <w:spacing w:line="480" w:lineRule="auto"/>
        <w:jc w:val="center"/>
      </w:pPr>
      <w:r w:rsidRPr="002A04EC">
        <w:t>Zoricelis Davila</w:t>
      </w:r>
    </w:p>
    <w:p w14:paraId="06EADCBA" w14:textId="77777777" w:rsidR="00B54738" w:rsidRPr="002A04EC" w:rsidRDefault="000D17D5" w:rsidP="002A04EC">
      <w:pPr>
        <w:pStyle w:val="Body"/>
        <w:spacing w:line="480" w:lineRule="auto"/>
        <w:jc w:val="center"/>
      </w:pPr>
      <w:r w:rsidRPr="002A04EC">
        <w:t>Liberty University</w:t>
      </w:r>
    </w:p>
    <w:p w14:paraId="7B2277C6" w14:textId="77777777" w:rsidR="00B54738" w:rsidRPr="002A04EC" w:rsidRDefault="000D17D5" w:rsidP="002A04EC">
      <w:pPr>
        <w:pStyle w:val="Body"/>
        <w:spacing w:line="480" w:lineRule="auto"/>
      </w:pPr>
      <w:r w:rsidRPr="002A04EC">
        <w:br w:type="page"/>
      </w:r>
    </w:p>
    <w:p w14:paraId="38FC09FA" w14:textId="77777777" w:rsidR="00B54738" w:rsidRPr="002A04EC" w:rsidRDefault="000D17D5" w:rsidP="008C4C9B">
      <w:pPr>
        <w:pStyle w:val="Body"/>
        <w:spacing w:line="480" w:lineRule="auto"/>
        <w:jc w:val="center"/>
        <w:outlineLvl w:val="0"/>
        <w:rPr>
          <w:lang w:val="de-DE"/>
        </w:rPr>
      </w:pPr>
      <w:r w:rsidRPr="002A04EC">
        <w:rPr>
          <w:lang w:val="de-DE"/>
        </w:rPr>
        <w:lastRenderedPageBreak/>
        <w:t>Abstract</w:t>
      </w:r>
    </w:p>
    <w:p w14:paraId="41EC622F" w14:textId="02CC907B" w:rsidR="00514672" w:rsidRPr="002A04EC" w:rsidRDefault="00514672" w:rsidP="002A04EC">
      <w:pPr>
        <w:pStyle w:val="Body"/>
        <w:spacing w:line="480" w:lineRule="auto"/>
        <w:outlineLvl w:val="0"/>
      </w:pPr>
      <w:r w:rsidRPr="002A04EC">
        <w:t xml:space="preserve">Intimate partner violence </w:t>
      </w:r>
      <w:r w:rsidR="00156636" w:rsidRPr="002A04EC">
        <w:t xml:space="preserve">(IPV) </w:t>
      </w:r>
      <w:r w:rsidRPr="002A04EC">
        <w:t>has been known to be a systemic issue affecting</w:t>
      </w:r>
      <w:r w:rsidR="00B86BB1" w:rsidRPr="002A04EC">
        <w:t xml:space="preserve"> the safety of</w:t>
      </w:r>
      <w:r w:rsidRPr="002A04EC">
        <w:t xml:space="preserve"> individuals in every community, irrespective of age, socioeconomic status, race, religion, ethnicity and nationality with its consequences and implications affecting entire generations.</w:t>
      </w:r>
      <w:r w:rsidR="00B86BB1" w:rsidRPr="002A04EC">
        <w:t xml:space="preserve"> </w:t>
      </w:r>
      <w:r w:rsidRPr="002A04EC">
        <w:t xml:space="preserve"> </w:t>
      </w:r>
      <w:r w:rsidR="00156636" w:rsidRPr="002A04EC">
        <w:t xml:space="preserve">Women struggle to consider the decision to leave the abusive relationship influenced by challenges such as economic resources, </w:t>
      </w:r>
      <w:r w:rsidR="00927AC1">
        <w:t xml:space="preserve">depression, </w:t>
      </w:r>
      <w:r w:rsidR="00156636" w:rsidRPr="002A04EC">
        <w:t xml:space="preserve">fear of revictimization, concerns about support and emotional attachment.  Emotional attachment has been identified as an influencing factor in the decision to leave or stay in the abusive relationship.  Depression has been associated as direct consequence of IPV.  This study examines the influence of high levels of attachment on the victim’s readiness to leave the abusive relationship after controlling for symptoms of depression.  The hypothesis for this research states that there is a significant effect between high levels of attachment in </w:t>
      </w:r>
      <w:r w:rsidR="007B094B" w:rsidRPr="002A04EC">
        <w:t xml:space="preserve">female victims of ongoing IPV and their readiness to leave the abusive relationship after controlling for symptoms of depression.   An average of 60 to 90 participants will be recruited from six domestic violence organizations in the Dallas/Fort Worth area.   The research design for this study is quantitative descriptive, quasi-experimental with nonequivalent groups to find the causal relationship between variables.  The researcher is using the Experiences in Close Relationship Scale-Short Form, the Decision to Leave Scale, and the Beck Depression Inventory to measure the constructs.  Significant clinical findings will contribute to the development empirically-based treatment that will aid organizations in their goal to promote safety for victims of IPV.  </w:t>
      </w:r>
    </w:p>
    <w:p w14:paraId="3817931D" w14:textId="19551E7B" w:rsidR="00B54738" w:rsidRPr="002A04EC" w:rsidRDefault="000D17D5" w:rsidP="002A04EC">
      <w:pPr>
        <w:pStyle w:val="Body"/>
        <w:spacing w:line="480" w:lineRule="auto"/>
        <w:ind w:firstLine="720"/>
        <w:rPr>
          <w:i/>
        </w:rPr>
      </w:pPr>
      <w:r w:rsidRPr="002A04EC">
        <w:rPr>
          <w:i/>
          <w:iCs/>
        </w:rPr>
        <w:t>Keywords</w:t>
      </w:r>
      <w:r w:rsidR="007B094B" w:rsidRPr="002A04EC">
        <w:t>: intimate partner violence, attachment, domestic violence, depression, readiness to leave</w:t>
      </w:r>
    </w:p>
    <w:p w14:paraId="2D8B2E95" w14:textId="4B1CD4D6" w:rsidR="001635B3" w:rsidRPr="002A04EC" w:rsidRDefault="000D17D5" w:rsidP="002A04EC">
      <w:pPr>
        <w:pStyle w:val="Body"/>
        <w:spacing w:line="480" w:lineRule="auto"/>
        <w:jc w:val="center"/>
      </w:pPr>
      <w:r w:rsidRPr="002A04EC">
        <w:br w:type="page"/>
      </w:r>
      <w:r w:rsidR="001635B3" w:rsidRPr="002A04EC">
        <w:lastRenderedPageBreak/>
        <w:t>Intimate Partner Violence, Attachment and Readiness to Leave</w:t>
      </w:r>
    </w:p>
    <w:p w14:paraId="0FA92589" w14:textId="5ED8EDB1" w:rsidR="00B54738" w:rsidRPr="002A04EC" w:rsidRDefault="000D17D5" w:rsidP="002A04EC">
      <w:pPr>
        <w:pStyle w:val="NormalWeb"/>
        <w:spacing w:before="0" w:after="0" w:line="480" w:lineRule="auto"/>
        <w:ind w:firstLine="720"/>
        <w:rPr>
          <w:rFonts w:hAnsi="Times New Roman" w:cs="Times New Roman"/>
        </w:rPr>
      </w:pPr>
      <w:r w:rsidRPr="002A04EC">
        <w:rPr>
          <w:rFonts w:hAnsi="Times New Roman" w:cs="Times New Roman"/>
        </w:rPr>
        <w:t xml:space="preserve">Domestic violence has been known to be a systemic issue with consequences and implications affecting entire generations through lifetime </w:t>
      </w:r>
      <w:r w:rsidR="003607A5">
        <w:rPr>
          <w:rFonts w:hAnsi="Times New Roman" w:cs="Times New Roman"/>
        </w:rPr>
        <w:fldChar w:fldCharType="begin" w:fldLock="1"/>
      </w:r>
      <w:r w:rsidR="003607A5">
        <w:rPr>
          <w:rFonts w:hAnsi="Times New Roman" w:cs="Times New Roman"/>
        </w:rPr>
        <w:instrText>ADDIN CSL_CITATION { "citationItems" : [ { "id" : "ITEM-1", "itemData" : { "DOI" : "http://dx.doi.org/10.1080/15401383.2013.821932", "ISBN" : "1540-1383", "ISSN" : "1540-1383, 1540-1383", "abstract" : "Domestic violence in the United States grows in prevalence each year; therefore, it is crucial that counselors are prepared to offer support services to victims. Due to the emotional and mental impact of domestic violence, many victims have difficulty discussing their trauma. Therefore, creative arts activities may be helpful when working with victims of domestic violence. In this article, three creative activities are described and discussed. (PsycINFO Database Record (c) 2013 APA, all rights reserved)(journal abstract)", "author" : [ { "dropping-particle" : "", "family" : "Binkley", "given" : "Erin", "non-dropping-particle" : "", "parse-names" : false, "suffix" : "" } ], "container-title" : "Journal of Creativity in Mental Health", "id" : "ITEM-1", "issue" : "3", "issued" : { "date-parts" : [ [ "2013" ] ] }, "page" : "305-313", "title" : "Creative strategies for treating victims of domestic violence.", "type" : "article-journal", "volume" : "8" }, "uris" : [ "http://www.mendeley.com/documents/?uuid=d3b602ff-ddc1-444e-b3b8-db2856898341" ] } ], "mendeley" : { "formattedCitation" : "(Binkley, 2013)", "plainTextFormattedCitation" : "(Binkley, 2013)", "previouslyFormattedCitation" : "(Binkley, 2013)" }, "properties" : { "noteIndex" : 0 }, "schema" : "https://github.com/citation-style-language/schema/raw/master/csl-citation.json" }</w:instrText>
      </w:r>
      <w:r w:rsidR="003607A5">
        <w:rPr>
          <w:rFonts w:hAnsi="Times New Roman" w:cs="Times New Roman"/>
        </w:rPr>
        <w:fldChar w:fldCharType="separate"/>
      </w:r>
      <w:r w:rsidR="003607A5" w:rsidRPr="003607A5">
        <w:rPr>
          <w:rFonts w:hAnsi="Times New Roman" w:cs="Times New Roman"/>
          <w:noProof/>
        </w:rPr>
        <w:t>(Binkley, 2013)</w:t>
      </w:r>
      <w:r w:rsidR="003607A5">
        <w:rPr>
          <w:rFonts w:hAnsi="Times New Roman" w:cs="Times New Roman"/>
        </w:rPr>
        <w:fldChar w:fldCharType="end"/>
      </w:r>
      <w:r w:rsidR="003607A5">
        <w:rPr>
          <w:rFonts w:hAnsi="Times New Roman" w:cs="Times New Roman"/>
        </w:rPr>
        <w:t xml:space="preserve">.  </w:t>
      </w:r>
      <w:r w:rsidRPr="002A04EC">
        <w:rPr>
          <w:rFonts w:hAnsi="Times New Roman" w:cs="Times New Roman"/>
        </w:rPr>
        <w:t>The National Coalition Against Domestic Violence (NCADV) has denoted that the issue of domestic violence is an epidemic that has been affecting individuals in every community, irrespective of age, socioeconomic status, religion,</w:t>
      </w:r>
      <w:r w:rsidR="00514672" w:rsidRPr="002A04EC">
        <w:rPr>
          <w:rFonts w:hAnsi="Times New Roman" w:cs="Times New Roman"/>
        </w:rPr>
        <w:t xml:space="preserve"> race, ethnicity, or nationality</w:t>
      </w:r>
      <w:r w:rsidRPr="002A04EC">
        <w:rPr>
          <w:rFonts w:hAnsi="Times New Roman" w:cs="Times New Roman"/>
        </w:rPr>
        <w:t xml:space="preserve"> (Binkley, 2013). </w:t>
      </w:r>
      <w:r w:rsidR="00C22FD9" w:rsidRPr="002A04EC">
        <w:rPr>
          <w:rFonts w:hAnsi="Times New Roman" w:cs="Times New Roman"/>
        </w:rPr>
        <w:t xml:space="preserve"> </w:t>
      </w:r>
      <w:r w:rsidR="006410C3" w:rsidRPr="002A04EC">
        <w:rPr>
          <w:rFonts w:hAnsi="Times New Roman" w:cs="Times New Roman"/>
        </w:rPr>
        <w:t>I</w:t>
      </w:r>
      <w:r w:rsidR="00C22FD9" w:rsidRPr="002A04EC">
        <w:rPr>
          <w:rFonts w:hAnsi="Times New Roman" w:cs="Times New Roman"/>
        </w:rPr>
        <w:t xml:space="preserve">ntimate </w:t>
      </w:r>
      <w:r w:rsidR="006410C3" w:rsidRPr="002A04EC">
        <w:rPr>
          <w:rFonts w:hAnsi="Times New Roman" w:cs="Times New Roman"/>
        </w:rPr>
        <w:t>P</w:t>
      </w:r>
      <w:r w:rsidR="00C22FD9" w:rsidRPr="002A04EC">
        <w:rPr>
          <w:rFonts w:hAnsi="Times New Roman" w:cs="Times New Roman"/>
        </w:rPr>
        <w:t xml:space="preserve">artner </w:t>
      </w:r>
      <w:r w:rsidR="006410C3" w:rsidRPr="002A04EC">
        <w:rPr>
          <w:rFonts w:hAnsi="Times New Roman" w:cs="Times New Roman"/>
        </w:rPr>
        <w:t>V</w:t>
      </w:r>
      <w:r w:rsidR="00C22FD9" w:rsidRPr="002A04EC">
        <w:rPr>
          <w:rFonts w:hAnsi="Times New Roman" w:cs="Times New Roman"/>
        </w:rPr>
        <w:t>iolence</w:t>
      </w:r>
      <w:r w:rsidRPr="002A04EC">
        <w:rPr>
          <w:rFonts w:hAnsi="Times New Roman" w:cs="Times New Roman"/>
        </w:rPr>
        <w:t xml:space="preserve"> (IPV) </w:t>
      </w:r>
      <w:r w:rsidR="00C22FD9" w:rsidRPr="002A04EC">
        <w:rPr>
          <w:rFonts w:hAnsi="Times New Roman" w:cs="Times New Roman"/>
        </w:rPr>
        <w:t>h</w:t>
      </w:r>
      <w:r w:rsidRPr="002A04EC">
        <w:rPr>
          <w:rFonts w:hAnsi="Times New Roman" w:cs="Times New Roman"/>
        </w:rPr>
        <w:t xml:space="preserve">as been defined as emotional, physical or sexual abuse perpetrated against a former or current spouse, sexual partner, or by parties having a child in common </w:t>
      </w:r>
      <w:r w:rsidR="003607A5">
        <w:rPr>
          <w:rFonts w:hAnsi="Times New Roman" w:cs="Times New Roman"/>
        </w:rPr>
        <w:fldChar w:fldCharType="begin" w:fldLock="1"/>
      </w:r>
      <w:r w:rsidR="003607A5">
        <w:rPr>
          <w:rFonts w:hAnsi="Times New Roman" w:cs="Times New Roman"/>
        </w:rPr>
        <w:instrText>ADDIN CSL_CITATION { "citationItems" : [ { "id" : "ITEM-1", "itemData" : { "DOI" : "10.1007/s10896-010-9310-z", "ISBN" : "1089601093", "ISSN" : "08857482", "PMID" : "50498504", "abstract" : "For mothers, intimate partner violence (IPV) presents a concern not only for their own well-being but also for that of their children who are exposed to the violence and its aftermath. In focus groups with adult women (N=39) across three jurisdictions who had experi- enced legal system intervention for IPV victimization, mothers raised unsolicited concerns about the negative effects of IPV exposure on their children. These comments were not prompted by the facilitator but were raised by women in all seven of the focus groups during discussions about motivations and barriers to participation in prosecution of their abusive partners. The overall message was that victims with children felt very conflicted. Children both facilitate and inhibit leaving the abusive relationship. Mothers wanted to spare their children from harmful effects of violence but also wanted to keep their families together and protect their children from potential agitation and instability caused by legal system involvement. Participants described how fears and threats of involvement from child protective services inhibited help-seeking while simulta- neously voicing a desire for services that would help their children. More research is needed to help service providers understand the quagmire mothers who are victims of IPV encounter regarding their children\u2019s wellbeing.", "author" : [ { "dropping-particle" : "V.", "family" : "Rhodes", "given" : "Karin", "non-dropping-particle" : "", "parse-names" : false, "suffix" : "" }, { "dropping-particle" : "", "family" : "Cerulli", "given" : "Catherine", "non-dropping-particle" : "", "parse-names" : false, "suffix" : "" }, { "dropping-particle" : "", "family" : "Dichter", "given" : "Melissa E.", "non-dropping-particle" : "", "parse-names" : false, "suffix" : "" }, { "dropping-particle" : "", "family" : "Kothari", "given" : "Catherine L.", "non-dropping-particle" : "", "parse-names" : false, "suffix" : "" }, { "dropping-particle" : "", "family" : "Barg", "given" : "Frances K.", "non-dropping-particle" : "", "parse-names" : false, "suffix" : "" } ], "container-title" : "Journal of Family Violence", "id" : "ITEM-1", "issue" : "5", "issued" : { "date-parts" : [ [ "2010" ] ] }, "page" : "485-493", "title" : "\"I didn't want to put them through that\": The influence of children on victim decision-making in intimate partner violence cases", "type" : "article-journal", "volume" : "25" }, "uris" : [ "http://www.mendeley.com/documents/?uuid=6c829ce4-3fe3-4e3e-9755-debac160258f" ] } ], "mendeley" : { "formattedCitation" : "(Rhodes, Cerulli, Dichter, Kothari, &amp; Barg, 2010)", "plainTextFormattedCitation" : "(Rhodes, Cerulli, Dichter, Kothari, &amp; Barg, 2010)" }, "properties" : { "noteIndex" : 0 }, "schema" : "https://github.com/citation-style-language/schema/raw/master/csl-citation.json" }</w:instrText>
      </w:r>
      <w:r w:rsidR="003607A5">
        <w:rPr>
          <w:rFonts w:hAnsi="Times New Roman" w:cs="Times New Roman"/>
        </w:rPr>
        <w:fldChar w:fldCharType="separate"/>
      </w:r>
      <w:r w:rsidR="003607A5" w:rsidRPr="003607A5">
        <w:rPr>
          <w:rFonts w:hAnsi="Times New Roman" w:cs="Times New Roman"/>
          <w:noProof/>
        </w:rPr>
        <w:t>(Rhodes, Cerulli, Dichter, Kothari, &amp; Barg, 2010)</w:t>
      </w:r>
      <w:r w:rsidR="003607A5">
        <w:rPr>
          <w:rFonts w:hAnsi="Times New Roman" w:cs="Times New Roman"/>
        </w:rPr>
        <w:fldChar w:fldCharType="end"/>
      </w:r>
      <w:r w:rsidR="003607A5">
        <w:rPr>
          <w:rFonts w:hAnsi="Times New Roman" w:cs="Times New Roman"/>
        </w:rPr>
        <w:t>.</w:t>
      </w:r>
      <w:r w:rsidRPr="002A04EC">
        <w:rPr>
          <w:rFonts w:hAnsi="Times New Roman" w:cs="Times New Roman"/>
        </w:rPr>
        <w:t xml:space="preserve"> </w:t>
      </w:r>
    </w:p>
    <w:p w14:paraId="4D08BFCC" w14:textId="648614B0" w:rsidR="00B07C85" w:rsidRPr="002A04EC" w:rsidRDefault="00B07C85" w:rsidP="002A04EC">
      <w:pPr>
        <w:pStyle w:val="NormalWeb"/>
        <w:spacing w:before="0" w:after="0" w:line="480" w:lineRule="auto"/>
        <w:jc w:val="center"/>
        <w:rPr>
          <w:rFonts w:hAnsi="Times New Roman" w:cs="Times New Roman"/>
          <w:b/>
        </w:rPr>
      </w:pPr>
      <w:r w:rsidRPr="002A04EC">
        <w:rPr>
          <w:rFonts w:hAnsi="Times New Roman" w:cs="Times New Roman"/>
          <w:b/>
        </w:rPr>
        <w:t>Literature Review</w:t>
      </w:r>
    </w:p>
    <w:p w14:paraId="4FC580ED" w14:textId="18720E60" w:rsidR="009F150D" w:rsidRPr="002A04EC" w:rsidRDefault="000D17D5" w:rsidP="002A04EC">
      <w:pPr>
        <w:pStyle w:val="NormalWeb"/>
        <w:spacing w:before="0" w:after="0" w:line="480" w:lineRule="auto"/>
        <w:ind w:firstLine="720"/>
        <w:rPr>
          <w:rFonts w:hAnsi="Times New Roman" w:cs="Times New Roman"/>
        </w:rPr>
      </w:pPr>
      <w:r w:rsidRPr="002A04EC">
        <w:rPr>
          <w:rFonts w:hAnsi="Times New Roman" w:cs="Times New Roman"/>
        </w:rPr>
        <w:t xml:space="preserve">In 2007 the NCADV reported that 85% of the victims of domestic violence were women (Binkley, 2013).  Previous investigations have studied the dynamics of </w:t>
      </w:r>
      <w:r w:rsidR="006410C3" w:rsidRPr="002A04EC">
        <w:rPr>
          <w:rFonts w:hAnsi="Times New Roman" w:cs="Times New Roman"/>
        </w:rPr>
        <w:t>IPV</w:t>
      </w:r>
      <w:r w:rsidRPr="002A04EC">
        <w:rPr>
          <w:rFonts w:hAnsi="Times New Roman" w:cs="Times New Roman"/>
        </w:rPr>
        <w:t xml:space="preserve"> in an attempt to decrease the incidence of this problem</w:t>
      </w:r>
      <w:r w:rsidR="00A85CCA" w:rsidRPr="002A04EC">
        <w:rPr>
          <w:rFonts w:hAnsi="Times New Roman" w:cs="Times New Roman"/>
        </w:rPr>
        <w:t xml:space="preserve"> with no significant success </w:t>
      </w:r>
      <w:r w:rsidR="002E4014" w:rsidRPr="002A04EC">
        <w:rPr>
          <w:rFonts w:hAnsi="Times New Roman" w:cs="Times New Roman"/>
        </w:rPr>
        <w:fldChar w:fldCharType="begin" w:fldLock="1"/>
      </w:r>
      <w:r w:rsidR="002E4014" w:rsidRPr="002A04EC">
        <w:rPr>
          <w:rFonts w:hAnsi="Times New Roman" w:cs="Times New Roman"/>
        </w:rPr>
        <w:instrText>ADDIN CSL_CITATION { "citationItems" : [ { "id" : "ITEM-1", "itemData" : { "DOI" : "10.1007/s10896-011-9399-8", "ISBN" : "0885-7482 (Print)\\r0885-7482 (Linking)", "ISSN" : "08857482", "PMID" : "22389553", "abstract" : "Victims of intimate partner violence (IPV) are known to be at high risk for revictimization. Yet, to date, the mechanisms explaining the link between victimization and revictimization of IPV have not been extensively studied. In the present prospective study involving 74 female help-seeking victims of IPV, we investigated victim-related psychological mechanisms that may underlie this link. With this study, we aim to contribute to the development of theory addressing these psychological mechanisms and their role in explaining risk for IPV revictimization. Hypotheses regarding possibly relevant psychological mechanisms were derived from two conflicting approaches to IPV: the gender perspective, and the mutual IPV perspective. Results lend further support to the mutual IPV perspective, since our final prediction model indicates that victim-perpetrated IPV is an important risk factor for physical and psychological IPV revictimization. An avoidant attachment style shows to be a strong predictor as well, in particular for victims with high and average anger levels. Findings provide clear indications for risk assessment and treatment of IPV victims, and moreover offer opportunities to empower these victims in order to prevent future violence.", "author" : [ { "dropping-particle" : "", "family" : "Kuijpers", "given" : "Karlijn F.", "non-dropping-particle" : "", "parse-names" : false, "suffix" : "" }, { "dropping-particle" : "", "family" : "Knaap", "given" : "Leontien M.", "non-dropping-particle" : "van der", "parse-names" : false, "suffix" : "" }, { "dropping-particle" : "", "family" : "Winkel", "given" : "Frans Willem", "non-dropping-particle" : "", "parse-names" : false, "suffix" : "" } ], "container-title" : "Journal of Family Violence", "id" : "ITEM-1", "issue" : "1", "issued" : { "date-parts" : [ [ "2012" ] ] }, "page" : "33-44", "title" : "Risk of Revictimization of Intimate Partner Violence: The Role of Attachment, Anger and Violent Behavior of the Victim", "type" : "article-journal", "volume" : "27" }, "uris" : [ "http://www.mendeley.com/documents/?uuid=a2445ec8-65b3-4b3c-be8d-a35a07acd334" ] } ], "mendeley" : { "formattedCitation" : "(Kuijpers, van der Knaap, &amp; Winkel, 2012)", "plainTextFormattedCitation" : "(Kuijpers, van der Knaap, &amp; Winkel, 2012)", "previouslyFormattedCitation" : "(Kuijpers, van der Knaap, &amp; Winkel, 2012)" }, "properties" : { "noteIndex" : 0 }, "schema" : "https://github.com/citation-style-language/schema/raw/master/csl-citation.json" }</w:instrText>
      </w:r>
      <w:r w:rsidR="002E4014" w:rsidRPr="002A04EC">
        <w:rPr>
          <w:rFonts w:hAnsi="Times New Roman" w:cs="Times New Roman"/>
        </w:rPr>
        <w:fldChar w:fldCharType="separate"/>
      </w:r>
      <w:r w:rsidR="002E4014" w:rsidRPr="002A04EC">
        <w:rPr>
          <w:rFonts w:hAnsi="Times New Roman" w:cs="Times New Roman"/>
          <w:noProof/>
        </w:rPr>
        <w:t>(Kuijpers, van der Knaap, &amp; Winkel, 2012)</w:t>
      </w:r>
      <w:r w:rsidR="002E4014" w:rsidRPr="002A04EC">
        <w:rPr>
          <w:rFonts w:hAnsi="Times New Roman" w:cs="Times New Roman"/>
        </w:rPr>
        <w:fldChar w:fldCharType="end"/>
      </w:r>
      <w:r w:rsidR="002E4014" w:rsidRPr="002A04EC">
        <w:rPr>
          <w:rFonts w:hAnsi="Times New Roman" w:cs="Times New Roman"/>
        </w:rPr>
        <w:t>.</w:t>
      </w:r>
      <w:r w:rsidR="00A85CCA" w:rsidRPr="002A04EC">
        <w:rPr>
          <w:rFonts w:hAnsi="Times New Roman" w:cs="Times New Roman"/>
        </w:rPr>
        <w:t xml:space="preserve">  </w:t>
      </w:r>
      <w:r w:rsidRPr="002A04EC">
        <w:rPr>
          <w:rFonts w:hAnsi="Times New Roman" w:cs="Times New Roman"/>
        </w:rPr>
        <w:t>The primary concern for addressing this issue is the safety of those victims, because women who choose to leave the relationship are at greater risk of revictimization once they leave the relationship and re</w:t>
      </w:r>
      <w:r w:rsidR="00A472A6" w:rsidRPr="002A04EC">
        <w:rPr>
          <w:rFonts w:hAnsi="Times New Roman" w:cs="Times New Roman"/>
        </w:rPr>
        <w:t>turn (Kuijpers et al., 2012)</w:t>
      </w:r>
      <w:r w:rsidR="009F150D" w:rsidRPr="002A04EC">
        <w:rPr>
          <w:rFonts w:hAnsi="Times New Roman" w:cs="Times New Roman"/>
        </w:rPr>
        <w:t xml:space="preserve">.  </w:t>
      </w:r>
    </w:p>
    <w:p w14:paraId="5C64F728" w14:textId="0905183A" w:rsidR="00483929" w:rsidRPr="002A04EC" w:rsidRDefault="000D17D5" w:rsidP="002A04EC">
      <w:pPr>
        <w:pStyle w:val="NormalWeb"/>
        <w:spacing w:before="0" w:after="0" w:line="480" w:lineRule="auto"/>
        <w:ind w:firstLine="720"/>
        <w:rPr>
          <w:rFonts w:hAnsi="Times New Roman" w:cs="Times New Roman"/>
        </w:rPr>
      </w:pPr>
      <w:r w:rsidRPr="002A04EC">
        <w:rPr>
          <w:rFonts w:hAnsi="Times New Roman" w:cs="Times New Roman"/>
        </w:rPr>
        <w:t xml:space="preserve">Women struggle to consider the decision to stay or leave the abusive relationship because of the influence of positive and/or negative reinforcements resulting from events they face after they leave the relationship </w:t>
      </w:r>
      <w:r w:rsidR="002E4014" w:rsidRPr="002A04EC">
        <w:rPr>
          <w:rFonts w:hAnsi="Times New Roman" w:cs="Times New Roman"/>
        </w:rPr>
        <w:fldChar w:fldCharType="begin" w:fldLock="1"/>
      </w:r>
      <w:r w:rsidR="00483929" w:rsidRPr="002A04EC">
        <w:rPr>
          <w:rFonts w:hAnsi="Times New Roman" w:cs="Times New Roman"/>
        </w:rPr>
        <w:instrText>ADDIN CSL_CITATION { "citationItems" : [ { "id" : "ITEM-1", "itemData" : { "DOI" : "10.1007/s10896-007-9096-9", "ISBN" : "0419-4217(Print)", "ISSN" : "08857482", "abstract" : "Abstract&amp;nbsp;&amp;nbsp;Much of the discourse on intimate partner violence assumes that women must end their relationship with their abusive partner to increase their safety and emotional well-being. Few studies, however, exist to support this assumption. Equally problematic, those studies that do exist have failed to distinguish women who leave and stay out from those who leave only to later return. Comparing emotional well-being and experiences of violence for 206 low-income, primarily Black battered women following different relationship trajectories, this longitudinal study found that women both separated from and together with their partner for the entire year of the study fared best at the end of that year compared to women \u201cin\u201d and \u201cout\u201d of the relationship over time. Beyond challenging common assumptions, these findings highlight the importance of considering the larger context within which an individual instance of leaving occurs.", "author" : [ { "dropping-particle" : "", "family" : "Bell", "given" : "Margret E.", "non-dropping-particle" : "", "parse-names" : false, "suffix" : "" }, { "dropping-particle" : "", "family" : "Goodman", "given" : "Lisa A.", "non-dropping-particle" : "", "parse-names" : false, "suffix" : "" }, { "dropping-particle" : "", "family" : "Dutton", "given" : "Mary Ann", "non-dropping-particle" : "", "parse-names" : false, "suffix" : "" } ], "container-title" : "Journal of Family Violence", "id" : "ITEM-1", "issue" : "6", "issued" : { "date-parts" : [ [ "2007" ] ] }, "page" : "413-428", "title" : "The dynamics of staying and leaving: Implications for battered women's Emotional well-being and experiences of violence at the end of a year", "type" : "article-journal", "volume" : "22" }, "uris" : [ "http://www.mendeley.com/documents/?uuid=1aacb310-b7b4-42e7-b2e6-5ba412f46844" ] } ], "mendeley" : { "formattedCitation" : "(Bell, Goodman, &amp; Dutton, 2007)", "plainTextFormattedCitation" : "(Bell, Goodman, &amp; Dutton, 2007)", "previouslyFormattedCitation" : "(Bell, Goodman, &amp; Dutton, 2007)" }, "properties" : { "noteIndex" : 0 }, "schema" : "https://github.com/citation-style-language/schema/raw/master/csl-citation.json" }</w:instrText>
      </w:r>
      <w:r w:rsidR="002E4014" w:rsidRPr="002A04EC">
        <w:rPr>
          <w:rFonts w:hAnsi="Times New Roman" w:cs="Times New Roman"/>
        </w:rPr>
        <w:fldChar w:fldCharType="separate"/>
      </w:r>
      <w:r w:rsidR="002E4014" w:rsidRPr="002A04EC">
        <w:rPr>
          <w:rFonts w:hAnsi="Times New Roman" w:cs="Times New Roman"/>
          <w:noProof/>
        </w:rPr>
        <w:t>(Bell, Goodman, &amp; Dutton, 2007)</w:t>
      </w:r>
      <w:r w:rsidR="002E4014" w:rsidRPr="002A04EC">
        <w:rPr>
          <w:rFonts w:hAnsi="Times New Roman" w:cs="Times New Roman"/>
        </w:rPr>
        <w:fldChar w:fldCharType="end"/>
      </w:r>
      <w:r w:rsidR="002E4014" w:rsidRPr="002A04EC">
        <w:rPr>
          <w:rFonts w:hAnsi="Times New Roman" w:cs="Times New Roman"/>
        </w:rPr>
        <w:t xml:space="preserve">.  </w:t>
      </w:r>
      <w:r w:rsidRPr="002A04EC">
        <w:rPr>
          <w:rFonts w:hAnsi="Times New Roman" w:cs="Times New Roman"/>
        </w:rPr>
        <w:t xml:space="preserve">Victims of IPV face various challenges as they consider the decision to remain in the abusive relationship or leave to preserve their lives and the lives of their children </w:t>
      </w:r>
      <w:r w:rsidRPr="002A04EC">
        <w:rPr>
          <w:rFonts w:hAnsi="Times New Roman" w:cs="Times New Roman"/>
          <w:lang w:val="it-IT"/>
        </w:rPr>
        <w:t xml:space="preserve">(Bell, </w:t>
      </w:r>
      <w:r w:rsidR="003F06C2" w:rsidRPr="002A04EC">
        <w:rPr>
          <w:rFonts w:hAnsi="Times New Roman" w:cs="Times New Roman"/>
          <w:lang w:val="it-IT"/>
        </w:rPr>
        <w:t xml:space="preserve">et al., </w:t>
      </w:r>
      <w:r w:rsidRPr="002A04EC">
        <w:rPr>
          <w:rFonts w:hAnsi="Times New Roman" w:cs="Times New Roman"/>
          <w:lang w:val="it-IT"/>
        </w:rPr>
        <w:t xml:space="preserve"> 2007)</w:t>
      </w:r>
      <w:r w:rsidRPr="002A04EC">
        <w:rPr>
          <w:rFonts w:hAnsi="Times New Roman" w:cs="Times New Roman"/>
        </w:rPr>
        <w:t xml:space="preserve">.  Some of these challenges are economic resources, fear of being re-victimized by the abuser, concerns about support and community resources, and emotional attachment (Bell et al., 2007).  Emotional attachment has </w:t>
      </w:r>
      <w:r w:rsidRPr="002A04EC">
        <w:rPr>
          <w:rFonts w:hAnsi="Times New Roman" w:cs="Times New Roman"/>
        </w:rPr>
        <w:lastRenderedPageBreak/>
        <w:t xml:space="preserve">been identified as an influencing factor in the decision to stay or leave the abusive relationship </w:t>
      </w:r>
      <w:r w:rsidR="00483929" w:rsidRPr="002A04EC">
        <w:rPr>
          <w:rFonts w:hAnsi="Times New Roman" w:cs="Times New Roman"/>
        </w:rPr>
        <w:fldChar w:fldCharType="begin" w:fldLock="1"/>
      </w:r>
      <w:r w:rsidR="007D2444" w:rsidRPr="002A04EC">
        <w:rPr>
          <w:rFonts w:hAnsi="Times New Roman" w:cs="Times New Roman"/>
        </w:rPr>
        <w:instrText>ADDIN CSL_CITATION { "citationItems" : [ { "id" : "ITEM-1", "itemData" : { "DOI" : "10.5350/DAJPN2013260107", "ISBN" : "9021245515", "ISSN" : "13095749", "abstract" : "Attachment styles and degree of the psychological symptoms in women staying in a shelter for battered women or in their home where they were exposed to violence Objective: Surveys in Turkey revealed that one third of women were exposed to physical violence by their partners and 25% of them lost their lives. The rate of murdered women in the last seven years has increased more than 1400 times. These findings display the importance of the problem. This research has been planned to put forward the attachment styles and identify the psychological symptom levels of women who were subject to violence and living at shelters, and women who were living with their spouses. Methods: The sample of this study consists of 40 women who were subject to physical violence and continue to live with their spouses in the service area of Istanbul Metropolitan Municipality Counseling Centers, and 40 women who were subject to physical violence and living in three women's shelters in Istanbul. Symptom Check List (SCL-90), Relationship Scales Questionnaire and socio-demographic form were used for research. Results: The comparison between these two groups were examined. Levels of symptoms related with somatization, obsessive-compulsive features, interpersonal sensitivity, depression, anxiety, anger-hostility, phobic anxiety, paranoid ideation, psychoticism, sleep and eating disorders, feelings of guilt were found high in both groups. The relationship between secured attachment styles and obsessive-compulsive features, interpersonal sensitivity, depression, anxiety, anger-hostility, phobic anxiety, paranoid ideation, psychotic and general symptom profiles showed statistically significant negative correlation. Conclusion: According to attachment styles, there were no significant statistical differences between women exposed to violence and living at women's shelters and women who are exposed to violence but still living with their husbands; but the secure attachment style is higher in whom left their home at least once after the violence, comparing to women who never left the house. Besides, psychological symptoms were lower in women who were exposed to violence and had a secure attachment. Therefore, secure attachment style is a component for women to handle husband violence.", "author" : [ { "dropping-particle" : "", "family" : "Gezen", "given" : "Mine", "non-dropping-particle" : "", "parse-names" : false, "suffix" : "" }, { "dropping-particle" : "", "family" : "Oral", "given" : "Esat Timu\u00e7in", "non-dropping-particle" : "", "parse-names" : false, "suffix" : "" } ], "container-title" : "Dusunen Adam", "id" : "ITEM-1", "issue" : "1", "issued" : { "date-parts" : [ [ "2013" ] ] }, "page" : "65-71", "title" : "Attachment styles and degree of the psychological symptoms in women staying in a shelter for battered women or in their home where they were exposed to violence", "type" : "article-journal", "volume" : "26" }, "uris" : [ "http://www.mendeley.com/documents/?uuid=e4bda320-0cfe-4cf2-9f4a-4e945dcfc832" ] } ], "mendeley" : { "formattedCitation" : "(Gezen &amp; Oral, 2013)", "plainTextFormattedCitation" : "(Gezen &amp; Oral, 2013)", "previouslyFormattedCitation" : "(Gezen &amp; Oral, 2013)" }, "properties" : { "noteIndex" : 0 }, "schema" : "https://github.com/citation-style-language/schema/raw/master/csl-citation.json" }</w:instrText>
      </w:r>
      <w:r w:rsidR="00483929" w:rsidRPr="002A04EC">
        <w:rPr>
          <w:rFonts w:hAnsi="Times New Roman" w:cs="Times New Roman"/>
        </w:rPr>
        <w:fldChar w:fldCharType="separate"/>
      </w:r>
      <w:r w:rsidR="00483929" w:rsidRPr="002A04EC">
        <w:rPr>
          <w:rFonts w:hAnsi="Times New Roman" w:cs="Times New Roman"/>
          <w:noProof/>
        </w:rPr>
        <w:t>(Gezen &amp; Oral, 2013)</w:t>
      </w:r>
      <w:r w:rsidR="00483929" w:rsidRPr="002A04EC">
        <w:rPr>
          <w:rFonts w:hAnsi="Times New Roman" w:cs="Times New Roman"/>
        </w:rPr>
        <w:fldChar w:fldCharType="end"/>
      </w:r>
      <w:r w:rsidR="00483929" w:rsidRPr="002A04EC">
        <w:rPr>
          <w:rFonts w:hAnsi="Times New Roman" w:cs="Times New Roman"/>
        </w:rPr>
        <w:t xml:space="preserve">. </w:t>
      </w:r>
    </w:p>
    <w:p w14:paraId="1DD49753" w14:textId="286A98B1" w:rsidR="009F150D" w:rsidRPr="002A04EC" w:rsidRDefault="000D17D5" w:rsidP="002A04EC">
      <w:pPr>
        <w:pStyle w:val="NormalWeb"/>
        <w:spacing w:before="0" w:after="0" w:line="480" w:lineRule="auto"/>
        <w:rPr>
          <w:rFonts w:hAnsi="Times New Roman" w:cs="Times New Roman"/>
          <w:b/>
          <w:bCs/>
        </w:rPr>
      </w:pPr>
      <w:r w:rsidRPr="002A04EC">
        <w:rPr>
          <w:rFonts w:hAnsi="Times New Roman" w:cs="Times New Roman"/>
          <w:b/>
          <w:bCs/>
        </w:rPr>
        <w:t>IPV and Depression</w:t>
      </w:r>
    </w:p>
    <w:p w14:paraId="18655830" w14:textId="610B1620" w:rsidR="00B54738" w:rsidRPr="002A04EC" w:rsidRDefault="000D17D5" w:rsidP="002A04EC">
      <w:pPr>
        <w:pStyle w:val="Body"/>
        <w:widowControl w:val="0"/>
        <w:spacing w:line="480" w:lineRule="auto"/>
        <w:ind w:firstLine="720"/>
      </w:pPr>
      <w:r w:rsidRPr="002A04EC">
        <w:t xml:space="preserve">Research indicate that 64% of female victim of IPV report high rates of major depression and higher suicidal ideation as a result of physical violence against them (Karakoc, Gulsere, Tenekeci, &amp; Mete 2014).  </w:t>
      </w:r>
      <w:r w:rsidR="00A04420" w:rsidRPr="002A04EC">
        <w:t xml:space="preserve">Studies have consistently supported that physical violence and psychological abuse are associated with depression </w:t>
      </w:r>
      <w:r w:rsidR="007D2444" w:rsidRPr="002A04EC">
        <w:fldChar w:fldCharType="begin" w:fldLock="1"/>
      </w:r>
      <w:r w:rsidR="007D2444" w:rsidRPr="002A04EC">
        <w:instrText>ADDIN CSL_CITATION { "citationItems" : [ { "id" : "ITEM-1", "itemData" : { "DOI" : "10.1080/07399330701738358", "ISBN" : "1096-4665 (Electronic)\\r0739-9332 (Linking)", "ISSN" : "0739-9332", "PMID" : "18350428", "abstract" : "In this study, the researchers examined the associations among intimate partner violence and psychological functioning in 282 Latina women between 18 and 45 years. Participants were interviewed about demographic characteristics, experiences with physical, sexual, and psychological intimate partner violence, psychological symptoms, stressful life events, and childhood maltreatment. Physical violence was associated with symptoms of depression and hostility, and psychological abuse was related to depression, hostility, and somatization. Sexual violence was generally not associated with psychological functioning. The different types of intimate partner violence were not related to participants' self-esteem. Implications for interventions with Latina women are discussed.", "author" : [ { "dropping-particle" : "", "family" : "Hazen", "given" : "Andrea L", "non-dropping-particle" : "", "parse-names" : false, "suffix" : "" }, { "dropping-particle" : "", "family" : "Connelly", "given" : "Cynthia D", "non-dropping-particle" : "", "parse-names" : false, "suffix" : "" }, { "dropping-particle" : "", "family" : "Soriano", "given" : "Fernando I", "non-dropping-particle" : "", "parse-names" : false, "suffix" : "" }, { "dropping-particle" : "", "family" : "Landsverk", "given" : "John a", "non-dropping-particle" : "", "parse-names" : false, "suffix" : "" } ], "container-title" : "Health care for women international", "id" : "ITEM-1", "issue" : "3", "issued" : { "date-parts" : [ [ "2008" ] ] }, "page" : "282-299", "title" : "Intimate partner violence and psychological functioning in Latina women.", "type" : "article-journal", "volume" : "29" }, "uris" : [ "http://www.mendeley.com/documents/?uuid=154aab57-14c1-481d-9adf-685c75e1ea9a" ] } ], "mendeley" : { "formattedCitation" : "(Hazen, Connelly, Soriano, &amp; Landsverk, 2008)", "plainTextFormattedCitation" : "(Hazen, Connelly, Soriano, &amp; Landsverk, 2008)", "previouslyFormattedCitation" : "(Hazen, Connelly, Soriano, &amp; Landsverk, 2008)" }, "properties" : { "noteIndex" : 0 }, "schema" : "https://github.com/citation-style-language/schema/raw/master/csl-citation.json" }</w:instrText>
      </w:r>
      <w:r w:rsidR="007D2444" w:rsidRPr="002A04EC">
        <w:fldChar w:fldCharType="separate"/>
      </w:r>
      <w:r w:rsidR="007D2444" w:rsidRPr="002A04EC">
        <w:rPr>
          <w:noProof/>
        </w:rPr>
        <w:t>(Hazen, Connelly, Soriano, &amp; Landsverk, 2008)</w:t>
      </w:r>
      <w:r w:rsidR="007D2444" w:rsidRPr="002A04EC">
        <w:fldChar w:fldCharType="end"/>
      </w:r>
      <w:r w:rsidR="007D2444" w:rsidRPr="002A04EC">
        <w:t xml:space="preserve">.  </w:t>
      </w:r>
      <w:r w:rsidRPr="002A04EC">
        <w:t xml:space="preserve">One of the challenges of mental health providers is maintaining the safety of those victims and their children when they choose to continue to cohabitate with the perpetrator of the violence against them while treating their mental health conditions </w:t>
      </w:r>
      <w:r w:rsidR="007D2444" w:rsidRPr="002A04EC">
        <w:fldChar w:fldCharType="begin" w:fldLock="1"/>
      </w:r>
      <w:r w:rsidR="007D2444" w:rsidRPr="002A04EC">
        <w:instrText>ADDIN CSL_CITATION { "citationItems" : [ { "id" : "ITEM-1", "itemData" : { "DOI" : "10.1080/10926770903475976", "ISBN" : "10926771", "ISSN" : "1092-6771", "abstract" : "This study examined the theoretically expected contributions of early emotional abuse, adult attachment, and depression to several aspects of romantic relationship functioning. College students in dating relationships (N = 285) completed an online survey, including measures of childhood emotional maltreatment, adult attachment style, psychological distress, and romantic relationships. Results indicated that childhood emotional maltreatment directly predicted insecure adult attachment. In the full models, emotional maltreatment contributed to dyadic adjustment, but was not a significant predictor of psychological aggression or victimization. In contrast, depression accounted for the largest proportion of variance in the models for reported psychological aggression and victimization, but was nonsignificant for dyadic adjustment. Adult attachment style emerged as an important predictor of all 3 relationship constructs.", "author" : [ { "dropping-particle" : "", "family" : "Riggs", "given" : "Shelley a.", "non-dropping-particle" : "", "parse-names" : false, "suffix" : "" }, { "dropping-particle" : "", "family" : "Kaminski", "given" : "Patricia", "non-dropping-particle" : "", "parse-names" : false, "suffix" : "" } ], "container-title" : "Journal of Aggression, Maltreatment &amp; Trauma", "id" : "ITEM-1", "issue" : "1", "issued" : { "date-parts" : [ [ "2010" ] ] }, "page" : "75-104", "title" : "Childhood Emotional Abuse, Adult Attachment, and Depression as Predictors of Relational Adjustment and Psychological Aggression", "type" : "article-journal", "volume" : "19" }, "uris" : [ "http://www.mendeley.com/documents/?uuid=90c29735-d947-4876-87b6-f892d99e08d3" ] } ], "mendeley" : { "formattedCitation" : "(Riggs &amp; Kaminski, 2010)", "plainTextFormattedCitation" : "(Riggs &amp; Kaminski, 2010)", "previouslyFormattedCitation" : "(Riggs &amp; Kaminski, 2010)" }, "properties" : { "noteIndex" : 0 }, "schema" : "https://github.com/citation-style-language/schema/raw/master/csl-citation.json" }</w:instrText>
      </w:r>
      <w:r w:rsidR="007D2444" w:rsidRPr="002A04EC">
        <w:fldChar w:fldCharType="separate"/>
      </w:r>
      <w:r w:rsidR="007D2444" w:rsidRPr="002A04EC">
        <w:rPr>
          <w:noProof/>
        </w:rPr>
        <w:t>(Riggs &amp; Kaminski, 2010)</w:t>
      </w:r>
      <w:r w:rsidR="007D2444" w:rsidRPr="002A04EC">
        <w:fldChar w:fldCharType="end"/>
      </w:r>
      <w:r w:rsidR="007D2444" w:rsidRPr="002A04EC">
        <w:t>.</w:t>
      </w:r>
    </w:p>
    <w:p w14:paraId="02F4F2DF" w14:textId="77777777" w:rsidR="00B54738" w:rsidRPr="002A04EC" w:rsidRDefault="000D17D5" w:rsidP="002A04EC">
      <w:pPr>
        <w:pStyle w:val="Body"/>
        <w:spacing w:line="480" w:lineRule="auto"/>
        <w:outlineLvl w:val="0"/>
        <w:rPr>
          <w:b/>
          <w:bCs/>
        </w:rPr>
      </w:pPr>
      <w:r w:rsidRPr="002A04EC">
        <w:rPr>
          <w:b/>
          <w:bCs/>
        </w:rPr>
        <w:t>IPV and Attachment</w:t>
      </w:r>
    </w:p>
    <w:p w14:paraId="0A5BF492" w14:textId="125B7BCD" w:rsidR="00B54738" w:rsidRPr="002A04EC" w:rsidRDefault="00C3197A" w:rsidP="002A04EC">
      <w:pPr>
        <w:pStyle w:val="Body"/>
        <w:spacing w:line="480" w:lineRule="auto"/>
        <w:ind w:firstLine="720"/>
      </w:pPr>
      <w:r w:rsidRPr="002A04EC">
        <w:t>Research indicate that women</w:t>
      </w:r>
      <w:r w:rsidRPr="002A04EC">
        <w:rPr>
          <w:lang w:val="fr-FR"/>
        </w:rPr>
        <w:t>’</w:t>
      </w:r>
      <w:r w:rsidRPr="002A04EC">
        <w:t xml:space="preserve">s attachment style influences their ability to manage violence at home or leave the relationship (Gezen &amp; Oral, 2013).  </w:t>
      </w:r>
      <w:r w:rsidR="000D17D5" w:rsidRPr="002A04EC">
        <w:t>Attachment style has been identified as an influencing factor for women to return to the abuser after havin</w:t>
      </w:r>
      <w:r w:rsidR="007D2444" w:rsidRPr="002A04EC">
        <w:t>g left the abusive relationship</w:t>
      </w:r>
      <w:r w:rsidR="004C31AB" w:rsidRPr="002A04EC">
        <w:t xml:space="preserve"> (Griffing, Ragin, Sage, Madry, Bingham, &amp; Primm, 2002). </w:t>
      </w:r>
    </w:p>
    <w:p w14:paraId="04C23E94" w14:textId="77777777" w:rsidR="00B54738" w:rsidRPr="002A04EC" w:rsidRDefault="000D17D5" w:rsidP="002A04EC">
      <w:pPr>
        <w:pStyle w:val="Body"/>
        <w:spacing w:line="480" w:lineRule="auto"/>
        <w:outlineLvl w:val="0"/>
      </w:pPr>
      <w:r w:rsidRPr="002A04EC">
        <w:rPr>
          <w:b/>
          <w:bCs/>
        </w:rPr>
        <w:t>IPV and Readiness to Leave the Relationship</w:t>
      </w:r>
    </w:p>
    <w:p w14:paraId="2AE76B2B" w14:textId="4D7BB126" w:rsidR="00B54738" w:rsidRPr="002A04EC" w:rsidRDefault="00F951BB" w:rsidP="002A04EC">
      <w:pPr>
        <w:pStyle w:val="NormalWeb"/>
        <w:spacing w:before="0" w:after="0" w:line="480" w:lineRule="auto"/>
        <w:ind w:firstLine="720"/>
        <w:rPr>
          <w:rFonts w:hAnsi="Times New Roman" w:cs="Times New Roman"/>
        </w:rPr>
      </w:pPr>
      <w:r w:rsidRPr="002A04EC">
        <w:rPr>
          <w:rFonts w:hAnsi="Times New Roman" w:cs="Times New Roman"/>
        </w:rPr>
        <w:t xml:space="preserve">Attachment is a significant influential factor in the victim’s decision to return or remain in an abusive relationship </w:t>
      </w:r>
      <w:r w:rsidR="004C31AB" w:rsidRPr="002A04EC">
        <w:rPr>
          <w:rFonts w:hAnsi="Times New Roman" w:cs="Times New Roman"/>
        </w:rPr>
        <w:fldChar w:fldCharType="begin" w:fldLock="1"/>
      </w:r>
      <w:r w:rsidR="004C31AB" w:rsidRPr="002A04EC">
        <w:rPr>
          <w:rFonts w:hAnsi="Times New Roman" w:cs="Times New Roman"/>
        </w:rPr>
        <w:instrText>ADDIN CSL_CITATION { "citationItems" : [ { "id" : "ITEM-1", "itemData" : { "DOI" : "10.1177/0886260502017003005", "ISBN" : "0886-2605", "ISSN" : "0886-2605", "abstract" : "The present study examines self-identified reasons for returning to abusive relationships. Ninety female residents of an urban domestic violence shelter completed structured interviews that included questions about their previous attempts to separate from the batterer and their perceived likelihood of returning in the future. The results indicated that participants appeared to underestimate their likelihood of returning to the relationship. A particularly intriguing pattern of findings emerged with respect to emotional attachment. Compared to those leaving for the first time, participants with a history of past separations were significantly more likely to indicate that they might return to the batterer because of their continued attachment. Emotional attachment also had a high rate of repeat endorsement, indicating that those who considered returning because of their attachment to the batterer were significantly more likely to have done so for this reason in the past. Clinical implications of the findings will be discussed.", "author" : [ { "dropping-particle" : "", "family" : "Griffing", "given" : "S.", "non-dropping-particle" : "", "parse-names" : false, "suffix" : "" }, { "dropping-particle" : "", "family" : "Ragin", "given" : "D. F.", "non-dropping-particle" : "", "parse-names" : false, "suffix" : "" }, { "dropping-particle" : "", "family" : "Sage", "given" : "R. E.", "non-dropping-particle" : "", "parse-names" : false, "suffix" : "" }, { "dropping-particle" : "", "family" : "Madry", "given" : "L.", "non-dropping-particle" : "", "parse-names" : false, "suffix" : "" }, { "dropping-particle" : "", "family" : "Bingham", "given" : "L. E.", "non-dropping-particle" : "", "parse-names" : false, "suffix" : "" }, { "dropping-particle" : "", "family" : "Primm", "given" : "B. J.", "non-dropping-particle" : "", "parse-names" : false, "suffix" : "" } ], "container-title" : "Journal of Interpersonal Violence", "id" : "ITEM-1", "issue" : "3", "issued" : { "date-parts" : [ [ "2002", "3", "1" ] ] }, "page" : "306-319", "title" : "Domestic Violence Survivors' Self-Identified Reasons for Returning to Abusive Relationships", "type" : "article-journal", "volume" : "17" }, "uris" : [ "http://www.mendeley.com/documents/?uuid=15ccd75b-5d79-45d4-b866-4563d5c1df65" ] } ], "mendeley" : { "formattedCitation" : "(Griffing et al., 2002)", "plainTextFormattedCitation" : "(Griffing et al., 2002)", "previouslyFormattedCitation" : "(Griffing et al., 2002)" }, "properties" : { "noteIndex" : 0 }, "schema" : "https://github.com/citation-style-language/schema/raw/master/csl-citation.json" }</w:instrText>
      </w:r>
      <w:r w:rsidR="004C31AB" w:rsidRPr="002A04EC">
        <w:rPr>
          <w:rFonts w:hAnsi="Times New Roman" w:cs="Times New Roman"/>
        </w:rPr>
        <w:fldChar w:fldCharType="separate"/>
      </w:r>
      <w:r w:rsidR="004C31AB" w:rsidRPr="002A04EC">
        <w:rPr>
          <w:rFonts w:hAnsi="Times New Roman" w:cs="Times New Roman"/>
          <w:noProof/>
        </w:rPr>
        <w:t>(Griffing et al., 2002)</w:t>
      </w:r>
      <w:r w:rsidR="004C31AB" w:rsidRPr="002A04EC">
        <w:rPr>
          <w:rFonts w:hAnsi="Times New Roman" w:cs="Times New Roman"/>
        </w:rPr>
        <w:fldChar w:fldCharType="end"/>
      </w:r>
      <w:r w:rsidR="004C31AB" w:rsidRPr="002A04EC">
        <w:rPr>
          <w:rFonts w:hAnsi="Times New Roman" w:cs="Times New Roman"/>
        </w:rPr>
        <w:t xml:space="preserve">.  </w:t>
      </w:r>
      <w:r w:rsidR="000D17D5" w:rsidRPr="002A04EC">
        <w:rPr>
          <w:rFonts w:hAnsi="Times New Roman" w:cs="Times New Roman"/>
        </w:rPr>
        <w:t xml:space="preserve">Victims have difficulty realizing they are at greater risk of returning to the abusive relationship if in the past they have done so influenced by emotional attachment (Griffing et al., 2002). </w:t>
      </w:r>
      <w:r w:rsidRPr="002A04EC">
        <w:rPr>
          <w:rFonts w:hAnsi="Times New Roman" w:cs="Times New Roman"/>
        </w:rPr>
        <w:t xml:space="preserve"> </w:t>
      </w:r>
      <w:r w:rsidR="000D17D5" w:rsidRPr="002A04EC">
        <w:rPr>
          <w:rFonts w:hAnsi="Times New Roman" w:cs="Times New Roman"/>
        </w:rPr>
        <w:t xml:space="preserve">Some women choose to remain in an abusive relationship even though they desire for the abuse to end </w:t>
      </w:r>
      <w:r w:rsidR="004C31AB" w:rsidRPr="002A04EC">
        <w:rPr>
          <w:rFonts w:hAnsi="Times New Roman" w:cs="Times New Roman"/>
        </w:rPr>
        <w:fldChar w:fldCharType="begin" w:fldLock="1"/>
      </w:r>
      <w:r w:rsidR="004C31AB" w:rsidRPr="002A04EC">
        <w:rPr>
          <w:rFonts w:hAnsi="Times New Roman" w:cs="Times New Roman"/>
        </w:rPr>
        <w:instrText>ADDIN CSL_CITATION { "citationItems" : [ { "id" : "ITEM-1", "itemData" : { "DOI" : "10.1177/0886260506292993", "ISBN" : "0886-2605", "ISSN" : "0886-2605", "PMID" : "17057160", "abstract" : "A model of women's readiness to terminate an abusive relationship was examined, using cognitive and emotional factors to predict readiness to change as conceptualized in the transtheoretical model. Factors previously identified in the domestic violence literature were selected to represent cognitive predictors (attribution and attachment style) and affective predictors (depression, hopelessness, anxiety, and anger) of readiness to end a domestic violence relationship. Responses by 85 female victims of intimate partner violence indicated that their overall readiness to terminate a relationship was predicted by a preoccupied attachment style and high emotional arousal. However, women's low level of anger predicted their precontemplation of change, the earliest stage of readiness, whereas internalizing emotional difficulties and preoccupation with their batterer predicted maintenance, the final stage of readiness to persist in their decision to leave their abuser. Implications of these findings for working with women considering leaving their partner are discussed.", "author" : [ { "dropping-particle" : "", "family" : "Shurman", "given" : "Lauren a", "non-dropping-particle" : "", "parse-names" : false, "suffix" : "" }, { "dropping-particle" : "", "family" : "Rodriguez", "given" : "Christina M", "non-dropping-particle" : "", "parse-names" : false, "suffix" : "" } ], "container-title" : "Journal of interpersonal violence", "id" : "ITEM-1", "issue" : "11", "issued" : { "date-parts" : [ [ "2006" ] ] }, "page" : "1417-1439", "title" : "Cognitive-affective predictors of women's readiness to end domestic violence relationships.", "type" : "article-journal", "volume" : "21" }, "uris" : [ "http://www.mendeley.com/documents/?uuid=3e65f2cb-dfcd-4ddc-b471-767a4b525285" ] } ], "mendeley" : { "formattedCitation" : "(Shurman &amp; Rodriguez, 2006)", "plainTextFormattedCitation" : "(Shurman &amp; Rodriguez, 2006)", "previouslyFormattedCitation" : "(Shurman &amp; Rodriguez, 2006)" }, "properties" : { "noteIndex" : 0 }, "schema" : "https://github.com/citation-style-language/schema/raw/master/csl-citation.json" }</w:instrText>
      </w:r>
      <w:r w:rsidR="004C31AB" w:rsidRPr="002A04EC">
        <w:rPr>
          <w:rFonts w:hAnsi="Times New Roman" w:cs="Times New Roman"/>
        </w:rPr>
        <w:fldChar w:fldCharType="separate"/>
      </w:r>
      <w:r w:rsidR="004C31AB" w:rsidRPr="002A04EC">
        <w:rPr>
          <w:rFonts w:hAnsi="Times New Roman" w:cs="Times New Roman"/>
          <w:noProof/>
        </w:rPr>
        <w:t>(Shurman &amp; Rodriguez, 2006)</w:t>
      </w:r>
      <w:r w:rsidR="004C31AB" w:rsidRPr="002A04EC">
        <w:rPr>
          <w:rFonts w:hAnsi="Times New Roman" w:cs="Times New Roman"/>
        </w:rPr>
        <w:fldChar w:fldCharType="end"/>
      </w:r>
      <w:r w:rsidR="004C31AB" w:rsidRPr="002A04EC">
        <w:rPr>
          <w:rFonts w:hAnsi="Times New Roman" w:cs="Times New Roman"/>
        </w:rPr>
        <w:t>.</w:t>
      </w:r>
    </w:p>
    <w:p w14:paraId="0B07146D" w14:textId="381384EC" w:rsidR="00B54738" w:rsidRPr="002A04EC" w:rsidRDefault="000D17D5" w:rsidP="002A04EC">
      <w:pPr>
        <w:pStyle w:val="Body"/>
        <w:spacing w:line="480" w:lineRule="auto"/>
        <w:ind w:firstLine="720"/>
      </w:pPr>
      <w:r w:rsidRPr="002A04EC">
        <w:lastRenderedPageBreak/>
        <w:t xml:space="preserve">Although, they may have a clear knowledge and understanding of what they want in a loving relationship as </w:t>
      </w:r>
      <w:r w:rsidR="004C31AB" w:rsidRPr="002A04EC">
        <w:t xml:space="preserve">well as what love is and is not; </w:t>
      </w:r>
      <w:r w:rsidRPr="002A04EC">
        <w:t>they find themselves unable to detach from the abusive relationship or their roman</w:t>
      </w:r>
      <w:r w:rsidR="004C31AB" w:rsidRPr="002A04EC">
        <w:t xml:space="preserve">tic partner </w:t>
      </w:r>
      <w:r w:rsidR="004C31AB" w:rsidRPr="002A04EC">
        <w:fldChar w:fldCharType="begin" w:fldLock="1"/>
      </w:r>
      <w:r w:rsidR="00EB1840">
        <w:instrText>ADDIN CSL_CITATION { "citationItems" : [ { "id" : "ITEM-1", "itemData" : { "DOI" : "10.3109/01612840.2012.762960", "ISBN" : "0161-2840", "ISSN" : "1096-4673", "PMID" : "23805924", "abstract" : "Despite physical, emotional, verbal, and sexual abuse from their partner, many women remain in an abusive relationship, often proclaiming to love the one who is hurting them. Nineteen females who had experienced intimate partner violence were interviewed and asked to share their experiences and describe their meaning of love. An analysis of the transcripts was done using qualitative content analysis. With this approach, the contents of the verbal data were summarized and arranged in three major categories: (1) What love is not; (2) Attributes of a loving relationship; and (3) Attachment to the relationship. The findings demonstrate a woman's clear recognition of being in an abusive relationship, yearning to be truly loved, but often finding herself unable to detach from the relationship.", "author" : [ { "dropping-particle" : "", "family" : "Smith", "given" : "Marilyn", "non-dropping-particle" : "", "parse-names" : false, "suffix" : "" }, { "dropping-particle" : "", "family" : "Nunley", "given" : "Barbara", "non-dropping-particle" : "", "parse-names" : false, "suffix" : "" }, { "dropping-particle" : "", "family" : "Martin", "given" : "Evelyn", "non-dropping-particle" : "", "parse-names" : false, "suffix" : "" } ], "container-title" : "Issues in mental health nursing", "id" : "ITEM-1", "issue" : "2006", "issued" : { "date-parts" : [ [ "2013" ] ] }, "page" : "395-401", "title" : "Intimate partner violence and the meaning of love.", "type" : "article-journal", "volume" : "34" }, "uris" : [ "http://www.mendeley.com/documents/?uuid=c6f95207-bd1a-4923-9351-86510293563b" ] } ], "mendeley" : { "formattedCitation" : "(Smith, Nunley, &amp; Martin, 2013)", "plainTextFormattedCitation" : "(Smith, Nunley, &amp; Martin, 2013)", "previouslyFormattedCitation" : "(Smith, Nunley, &amp; Martin, 2013)" }, "properties" : { "noteIndex" : 0 }, "schema" : "https://github.com/citation-style-language/schema/raw/master/csl-citation.json" }</w:instrText>
      </w:r>
      <w:r w:rsidR="004C31AB" w:rsidRPr="002A04EC">
        <w:fldChar w:fldCharType="separate"/>
      </w:r>
      <w:r w:rsidR="004C31AB" w:rsidRPr="002A04EC">
        <w:rPr>
          <w:noProof/>
        </w:rPr>
        <w:t>(Smith, Nunley, &amp; Martin, 2013)</w:t>
      </w:r>
      <w:r w:rsidR="004C31AB" w:rsidRPr="002A04EC">
        <w:fldChar w:fldCharType="end"/>
      </w:r>
      <w:r w:rsidRPr="002A04EC">
        <w:t>.</w:t>
      </w:r>
    </w:p>
    <w:p w14:paraId="656081CF" w14:textId="77777777" w:rsidR="00B54738" w:rsidRPr="002A04EC" w:rsidRDefault="000D17D5" w:rsidP="002A04EC">
      <w:pPr>
        <w:pStyle w:val="Body"/>
        <w:spacing w:line="480" w:lineRule="auto"/>
        <w:outlineLvl w:val="0"/>
        <w:rPr>
          <w:b/>
          <w:bCs/>
        </w:rPr>
      </w:pPr>
      <w:r w:rsidRPr="002A04EC">
        <w:rPr>
          <w:b/>
          <w:bCs/>
        </w:rPr>
        <w:t>Literature Suggested Future Research</w:t>
      </w:r>
    </w:p>
    <w:p w14:paraId="4260D9B6" w14:textId="3329C209" w:rsidR="00B54738" w:rsidRPr="002A04EC" w:rsidRDefault="000D17D5" w:rsidP="002A04EC">
      <w:pPr>
        <w:pStyle w:val="Body"/>
        <w:spacing w:line="480" w:lineRule="auto"/>
      </w:pPr>
      <w:r w:rsidRPr="002A04EC">
        <w:tab/>
        <w:t xml:space="preserve">The literature suggests recommendations for future research to address the influence and association of attachment style on the decision or readiness from a victim to stay or leave an abusive relationship (Griffing et al., 200). It would benefit the victim’s safety to provide empirical factors that eliminate their susceptibility to abuse and their decision to stay in an abusive environment </w:t>
      </w:r>
      <w:r w:rsidR="007C072B" w:rsidRPr="002A04EC">
        <w:rPr>
          <w:color w:val="000000" w:themeColor="text1"/>
        </w:rPr>
        <w:t xml:space="preserve">(Dare, Guadagno, &amp; Muscanell, 2013).  </w:t>
      </w:r>
    </w:p>
    <w:p w14:paraId="188CEA18" w14:textId="77777777" w:rsidR="00B54738" w:rsidRPr="002A04EC" w:rsidRDefault="000D17D5" w:rsidP="002A04EC">
      <w:pPr>
        <w:pStyle w:val="Body"/>
        <w:spacing w:line="480" w:lineRule="auto"/>
        <w:jc w:val="center"/>
        <w:outlineLvl w:val="0"/>
        <w:rPr>
          <w:rFonts w:eastAsia="Helvetica"/>
          <w:b/>
          <w:bCs/>
        </w:rPr>
      </w:pPr>
      <w:r w:rsidRPr="002A04EC">
        <w:rPr>
          <w:b/>
          <w:bCs/>
        </w:rPr>
        <w:t>Proposed Method</w:t>
      </w:r>
    </w:p>
    <w:p w14:paraId="612BED84" w14:textId="3D0C2494" w:rsidR="00B54738" w:rsidRPr="002A04EC" w:rsidRDefault="000D17D5" w:rsidP="002A04EC">
      <w:pPr>
        <w:pStyle w:val="Body"/>
        <w:spacing w:line="480" w:lineRule="auto"/>
        <w:ind w:firstLine="720"/>
        <w:rPr>
          <w:rFonts w:eastAsia="Helvetica"/>
        </w:rPr>
      </w:pPr>
      <w:r w:rsidRPr="002A04EC">
        <w:t xml:space="preserve">Considering that victims of </w:t>
      </w:r>
      <w:r w:rsidR="006410C3" w:rsidRPr="002A04EC">
        <w:t>IPV</w:t>
      </w:r>
      <w:r w:rsidRPr="002A04EC">
        <w:t xml:space="preserve"> find them</w:t>
      </w:r>
      <w:r w:rsidR="00F951BB" w:rsidRPr="002A04EC">
        <w:t>selves unable to detach from their</w:t>
      </w:r>
      <w:r w:rsidRPr="002A04EC">
        <w:t xml:space="preserve"> abusive relationship (Smith et al., 2013) and that 64% of the victims report higher rates of major depression and suicidal ideation (Kar</w:t>
      </w:r>
      <w:r w:rsidR="002676CC">
        <w:t xml:space="preserve">akoc et al., </w:t>
      </w:r>
      <w:r w:rsidRPr="002A04EC">
        <w:t>2014); the proposed treatment method has the intention to identify the influence of attachment</w:t>
      </w:r>
      <w:r w:rsidR="00F951BB" w:rsidRPr="002A04EC">
        <w:t xml:space="preserve"> treatment</w:t>
      </w:r>
      <w:r w:rsidRPr="002A04EC">
        <w:t xml:space="preserve"> in the victims’ readiness to leave the abusive relationship, by controlling the levels of depression and encouraging victims to choose safety.</w:t>
      </w:r>
    </w:p>
    <w:p w14:paraId="7FBD4B10" w14:textId="648D9A6B" w:rsidR="00B54738" w:rsidRPr="002A04EC" w:rsidRDefault="000D17D5" w:rsidP="002A04EC">
      <w:pPr>
        <w:pStyle w:val="Body"/>
        <w:spacing w:line="480" w:lineRule="auto"/>
        <w:ind w:firstLine="720"/>
        <w:rPr>
          <w:rFonts w:eastAsia="Helvetica"/>
        </w:rPr>
      </w:pPr>
      <w:r w:rsidRPr="002A04EC">
        <w:t xml:space="preserve">The primary purpose for this research is to investigate if treating attachment issues </w:t>
      </w:r>
      <w:r w:rsidR="008A3229" w:rsidRPr="002A04EC">
        <w:t xml:space="preserve">in female victims of IPV </w:t>
      </w:r>
      <w:r w:rsidRPr="002A04EC">
        <w:t xml:space="preserve">will lead to increasing the readiness to leave </w:t>
      </w:r>
      <w:r w:rsidR="008A3229" w:rsidRPr="002A04EC">
        <w:t>an</w:t>
      </w:r>
      <w:r w:rsidRPr="002A04EC">
        <w:t xml:space="preserve"> abusive relationship</w:t>
      </w:r>
      <w:r w:rsidR="008A3229" w:rsidRPr="002A04EC">
        <w:t xml:space="preserve"> after controlling for symptoms of depression</w:t>
      </w:r>
      <w:r w:rsidRPr="002A04EC">
        <w:t xml:space="preserve">.  The research question for this study is: Does treating attachment issues decrease symptoms of depression and increase readiness to leave </w:t>
      </w:r>
      <w:r w:rsidR="00DF13DD" w:rsidRPr="002A04EC">
        <w:t>an</w:t>
      </w:r>
      <w:r w:rsidRPr="002A04EC">
        <w:t xml:space="preserve"> abusive relationship?</w:t>
      </w:r>
      <w:r w:rsidR="007F5EB3" w:rsidRPr="002A04EC">
        <w:t xml:space="preserve">  </w:t>
      </w:r>
      <w:r w:rsidRPr="002A04EC">
        <w:t>The hypothesis for this research states</w:t>
      </w:r>
      <w:r w:rsidR="00F951BB" w:rsidRPr="002A04EC">
        <w:t xml:space="preserve"> that</w:t>
      </w:r>
      <w:r w:rsidRPr="002A04EC">
        <w:t xml:space="preserve"> </w:t>
      </w:r>
      <w:r w:rsidR="00BC2887" w:rsidRPr="002A04EC">
        <w:t xml:space="preserve">there is significant effect between high levels attachment of female victims of ongoing </w:t>
      </w:r>
      <w:r w:rsidR="006410C3" w:rsidRPr="002A04EC">
        <w:t>IPV</w:t>
      </w:r>
      <w:r w:rsidR="00BC2887" w:rsidRPr="002A04EC">
        <w:t xml:space="preserve"> and their readiness to leave the abusive relationship after controlling for their levels of depression.</w:t>
      </w:r>
    </w:p>
    <w:p w14:paraId="05D5157A" w14:textId="24BB5D24" w:rsidR="00B54738" w:rsidRPr="002A04EC" w:rsidRDefault="000D17D5" w:rsidP="002A04EC">
      <w:pPr>
        <w:pStyle w:val="Body"/>
        <w:spacing w:line="480" w:lineRule="auto"/>
        <w:ind w:firstLine="720"/>
        <w:rPr>
          <w:rFonts w:eastAsia="Helvetica"/>
        </w:rPr>
      </w:pPr>
      <w:r w:rsidRPr="002A04EC">
        <w:lastRenderedPageBreak/>
        <w:t>The null hypothesis predicts there is no significant effect of high levels</w:t>
      </w:r>
      <w:r w:rsidR="00F951BB" w:rsidRPr="002A04EC">
        <w:t xml:space="preserve"> of</w:t>
      </w:r>
      <w:r w:rsidRPr="002A04EC">
        <w:t xml:space="preserve"> attachment of female victims of ongoing </w:t>
      </w:r>
      <w:r w:rsidR="006410C3" w:rsidRPr="002A04EC">
        <w:t>IPV</w:t>
      </w:r>
      <w:r w:rsidRPr="002A04EC">
        <w:t xml:space="preserve"> on their readiness to leave the abusive relationship </w:t>
      </w:r>
      <w:r w:rsidR="00DF13DD" w:rsidRPr="002A04EC">
        <w:t xml:space="preserve">after </w:t>
      </w:r>
      <w:r w:rsidRPr="002A04EC">
        <w:t xml:space="preserve">controlling </w:t>
      </w:r>
      <w:r w:rsidR="007F5EB3" w:rsidRPr="002A04EC">
        <w:t xml:space="preserve">for their levels of depression.  </w:t>
      </w:r>
      <w:r w:rsidRPr="002A04EC">
        <w:t xml:space="preserve">The alternative hypothesis predicts that after controlling for depression, there is a significant effect of the high levels of attachment of female victims of ongoing </w:t>
      </w:r>
      <w:r w:rsidR="006410C3" w:rsidRPr="002A04EC">
        <w:t>IPV</w:t>
      </w:r>
      <w:r w:rsidRPr="002A04EC">
        <w:t xml:space="preserve"> on their readiness to leave the abusive relationship. </w:t>
      </w:r>
    </w:p>
    <w:p w14:paraId="7DEF9919" w14:textId="3114D336" w:rsidR="00B54738" w:rsidRPr="002A04EC" w:rsidRDefault="000D17D5" w:rsidP="002A04EC">
      <w:pPr>
        <w:pStyle w:val="Body"/>
        <w:spacing w:line="480" w:lineRule="auto"/>
        <w:ind w:firstLine="720"/>
        <w:rPr>
          <w:rFonts w:eastAsia="Helvetica"/>
        </w:rPr>
      </w:pPr>
      <w:r w:rsidRPr="002A04EC">
        <w:t>The proposed study has the potential to provide information about the influence and possible benefits of addressing and implementing attachment</w:t>
      </w:r>
      <w:r w:rsidR="00DF13DD" w:rsidRPr="002A04EC">
        <w:t>-based relationship</w:t>
      </w:r>
      <w:r w:rsidRPr="002A04EC">
        <w:t xml:space="preserve"> issues in their </w:t>
      </w:r>
      <w:r w:rsidR="00DF13DD" w:rsidRPr="002A04EC">
        <w:t>traditional</w:t>
      </w:r>
      <w:r w:rsidRPr="002A04EC">
        <w:t xml:space="preserve"> psychotherapeutic treatment for domestic violence.  An additional potential benefit is the possible positive influence of addressing attachment issues may control for symptoms of depression and in turn influencing the victims’ decision</w:t>
      </w:r>
      <w:r w:rsidR="00DF13DD" w:rsidRPr="002A04EC">
        <w:t>’s</w:t>
      </w:r>
      <w:r w:rsidRPr="002A04EC">
        <w:t xml:space="preserve"> and readiness to leave the abusive relationship preventing future violence</w:t>
      </w:r>
      <w:r w:rsidR="00DF13DD" w:rsidRPr="002A04EC">
        <w:t>.</w:t>
      </w:r>
    </w:p>
    <w:p w14:paraId="5A5BB217" w14:textId="06F793BD" w:rsidR="00B54738" w:rsidRPr="002A04EC" w:rsidRDefault="000D17D5" w:rsidP="002A04EC">
      <w:pPr>
        <w:pStyle w:val="Body"/>
        <w:spacing w:line="480" w:lineRule="auto"/>
        <w:outlineLvl w:val="0"/>
        <w:rPr>
          <w:rFonts w:eastAsia="Helvetica"/>
          <w:b/>
          <w:bCs/>
        </w:rPr>
      </w:pPr>
      <w:r w:rsidRPr="002A04EC">
        <w:rPr>
          <w:b/>
          <w:bCs/>
        </w:rPr>
        <w:t>Participants</w:t>
      </w:r>
    </w:p>
    <w:p w14:paraId="4B693A3E" w14:textId="12713FCC" w:rsidR="0063752B" w:rsidRPr="002A04EC" w:rsidRDefault="000D17D5" w:rsidP="002A04EC">
      <w:pPr>
        <w:pStyle w:val="Body"/>
        <w:spacing w:line="480" w:lineRule="auto"/>
        <w:ind w:firstLine="720"/>
      </w:pPr>
      <w:r w:rsidRPr="002A04EC">
        <w:t xml:space="preserve">Participants for this study will be recruited from six organizations in the Dallas/Fort Worth area that only serve victims of domestic violence.  These organizations are: Irving Family Advocacy Center, SafeHaven of Tarrant County, The Family Place, Genesis Women’s Shelter and Support, Hope’s Door, and New Beginning Center.  Participants are females identified as victims of </w:t>
      </w:r>
      <w:r w:rsidR="006410C3" w:rsidRPr="002A04EC">
        <w:t>IPV</w:t>
      </w:r>
      <w:r w:rsidRPr="002A04EC">
        <w:t xml:space="preserve"> who are currently in an abusive relationship</w:t>
      </w:r>
      <w:r w:rsidR="0063752B" w:rsidRPr="002A04EC">
        <w:t>,</w:t>
      </w:r>
      <w:r w:rsidRPr="002A04EC">
        <w:t xml:space="preserve"> experiencing levels of depression between the mild and moderate clinical range and are not in the process of leaving the relationship.  </w:t>
      </w:r>
    </w:p>
    <w:p w14:paraId="5012126B" w14:textId="62EB7A52" w:rsidR="00B54738" w:rsidRPr="002A04EC" w:rsidRDefault="000D17D5" w:rsidP="002A04EC">
      <w:pPr>
        <w:pStyle w:val="Body"/>
        <w:spacing w:line="480" w:lineRule="auto"/>
        <w:ind w:firstLine="720"/>
        <w:rPr>
          <w:rFonts w:eastAsia="Helvetica"/>
        </w:rPr>
      </w:pPr>
      <w:r w:rsidRPr="002A04EC">
        <w:t xml:space="preserve">Participants are currently receiving counseling services from the organizations previously </w:t>
      </w:r>
      <w:r w:rsidR="0063752B" w:rsidRPr="002A04EC">
        <w:t>recruited</w:t>
      </w:r>
      <w:r w:rsidRPr="002A04EC">
        <w:t xml:space="preserve">.  The age of the participants are between 21 and 55 from the following ethnic groups: Caucasian, African American, and Hispanic.  It is estimated that each organization may recruit an average of 10 to 15 participants, making the total average size of the sample between 60 to 90.   </w:t>
      </w:r>
    </w:p>
    <w:p w14:paraId="605974F3" w14:textId="77777777" w:rsidR="00B54738" w:rsidRPr="002A04EC" w:rsidRDefault="000D17D5" w:rsidP="002A04EC">
      <w:pPr>
        <w:pStyle w:val="Body"/>
        <w:spacing w:line="480" w:lineRule="auto"/>
        <w:ind w:firstLine="720"/>
        <w:rPr>
          <w:rFonts w:eastAsia="Helvetica"/>
        </w:rPr>
      </w:pPr>
      <w:r w:rsidRPr="002A04EC">
        <w:lastRenderedPageBreak/>
        <w:t xml:space="preserve">Each organization currently provides services free of charge that include individual and group counseling, children’s counseling, case management, advocacy services and shelter.  Participants will be selected from those who are currently participating in group and individual counseling.   Participants who volunteer to participate in the study will be offered a $25 gift card from the local grocery store and the opportunity to have legal services fees reduced by 50%. </w:t>
      </w:r>
    </w:p>
    <w:p w14:paraId="1EEFD3E0" w14:textId="7EC0929F" w:rsidR="00B54738" w:rsidRPr="002A04EC" w:rsidRDefault="000D17D5" w:rsidP="002A04EC">
      <w:pPr>
        <w:pStyle w:val="Body"/>
        <w:spacing w:line="480" w:lineRule="auto"/>
        <w:ind w:firstLine="720"/>
        <w:rPr>
          <w:rFonts w:eastAsia="Helvetica"/>
        </w:rPr>
      </w:pPr>
      <w:r w:rsidRPr="002A04EC">
        <w:t xml:space="preserve">Participants will be recruited by verbal invitation from their counselor with the indication that any potential participation will be anonymous and voluntary.  Those who volunteer to participate in this study will receive an invitation packet that includes a written invitation, a detailed description of the study explaining its risks, benefits, and contributions; and an informed consent.  </w:t>
      </w:r>
    </w:p>
    <w:p w14:paraId="71A00134" w14:textId="77777777" w:rsidR="00B54738" w:rsidRPr="002A04EC" w:rsidRDefault="000D17D5" w:rsidP="002A04EC">
      <w:pPr>
        <w:pStyle w:val="Body"/>
        <w:spacing w:line="480" w:lineRule="auto"/>
        <w:outlineLvl w:val="0"/>
        <w:rPr>
          <w:rFonts w:eastAsia="Helvetica"/>
          <w:b/>
        </w:rPr>
      </w:pPr>
      <w:r w:rsidRPr="002A04EC">
        <w:rPr>
          <w:b/>
        </w:rPr>
        <w:t>Design</w:t>
      </w:r>
    </w:p>
    <w:p w14:paraId="47355084" w14:textId="3CC5E11D" w:rsidR="00B54738" w:rsidRPr="002A04EC" w:rsidRDefault="000D17D5" w:rsidP="002A04EC">
      <w:pPr>
        <w:pStyle w:val="Body"/>
        <w:spacing w:line="480" w:lineRule="auto"/>
        <w:ind w:firstLine="720"/>
        <w:rPr>
          <w:rFonts w:eastAsia="Helvetica"/>
        </w:rPr>
      </w:pPr>
      <w:r w:rsidRPr="002A04EC">
        <w:t xml:space="preserve">The research design selected for this study is quantitative descriptive because it can describe the possible relationship between the chosen variables (Heppner, Wampold, Owen, Thompson, &amp; Wang, 2015, p.286).   A variable-centered research helps examine the relationship between the variables of attachment and readiness to stay in an abusive relationship (Heppner et al., 2015, p.287).  The chosen design is a quasi-experimental study with nonequivalent group design to find if attachment influences the causal relationship </w:t>
      </w:r>
      <w:r w:rsidR="003C1055" w:rsidRPr="002A04EC">
        <w:t>of</w:t>
      </w:r>
      <w:r w:rsidRPr="002A04EC">
        <w:t xml:space="preserve"> readiness to leave an abusive relationship after controlling for the effects of depressive symptoms (Warner, 2013, pp. 688-689).  </w:t>
      </w:r>
    </w:p>
    <w:p w14:paraId="635EBFBA" w14:textId="27E86E16" w:rsidR="00B54738" w:rsidRPr="002A04EC" w:rsidRDefault="0081433B" w:rsidP="002A04EC">
      <w:pPr>
        <w:pStyle w:val="Body"/>
        <w:spacing w:line="480" w:lineRule="auto"/>
        <w:rPr>
          <w:rFonts w:eastAsia="Helvetica"/>
          <w:b/>
        </w:rPr>
      </w:pPr>
      <w:r w:rsidRPr="002A04EC">
        <w:rPr>
          <w:b/>
        </w:rPr>
        <w:t>Procedure</w:t>
      </w:r>
    </w:p>
    <w:p w14:paraId="63DE4A00" w14:textId="1AD41BD5" w:rsidR="00B54738" w:rsidRPr="002A04EC" w:rsidRDefault="000D17D5" w:rsidP="002A04EC">
      <w:pPr>
        <w:pStyle w:val="Body"/>
        <w:spacing w:line="480" w:lineRule="auto"/>
        <w:ind w:firstLine="720"/>
        <w:rPr>
          <w:rFonts w:eastAsia="Helvetica"/>
        </w:rPr>
      </w:pPr>
      <w:r w:rsidRPr="002A04EC">
        <w:t>The researcher will obtain authorization from the director of clinical services of each organization to conduct the research.</w:t>
      </w:r>
      <w:r w:rsidR="001C2468" w:rsidRPr="002A04EC">
        <w:t xml:space="preserve"> </w:t>
      </w:r>
      <w:r w:rsidRPr="002A04EC">
        <w:t xml:space="preserve"> Each participating organization will assign one of their counselors as a site coordinator who will have the responsibility to ensure the procedure is </w:t>
      </w:r>
      <w:r w:rsidRPr="002A04EC">
        <w:lastRenderedPageBreak/>
        <w:t xml:space="preserve">conducted according to the study’s requirements and ethical standards.   The researcher will deliver to each site coordinator a </w:t>
      </w:r>
      <w:r w:rsidRPr="002A04EC">
        <w:rPr>
          <w:i/>
          <w:iCs/>
        </w:rPr>
        <w:t>study package</w:t>
      </w:r>
      <w:r w:rsidRPr="002A04EC">
        <w:t xml:space="preserve"> containing 30 of each surveys, questionnaires, and inventories to be completed.  A sealed collection box will also be provided in the </w:t>
      </w:r>
      <w:r w:rsidRPr="002A04EC">
        <w:rPr>
          <w:i/>
          <w:iCs/>
        </w:rPr>
        <w:t>study package</w:t>
      </w:r>
      <w:r w:rsidRPr="002A04EC">
        <w:t xml:space="preserve"> so that participants can deposit their surveys, questionnaires, and inventories in a sealed envelope once they have been completed.  </w:t>
      </w:r>
    </w:p>
    <w:p w14:paraId="74680DC8" w14:textId="28538418" w:rsidR="007F4E8B" w:rsidRPr="002A04EC" w:rsidRDefault="000D17D5" w:rsidP="002A04EC">
      <w:pPr>
        <w:pStyle w:val="Body"/>
        <w:spacing w:line="480" w:lineRule="auto"/>
        <w:ind w:firstLine="720"/>
      </w:pPr>
      <w:r w:rsidRPr="002A04EC">
        <w:t>Participants will be assigned randomly to two different groups; Group A and Group B.  Both groups will be administered a pre-test of a Beck Depression Inventory (BDI), The Experiences in</w:t>
      </w:r>
      <w:r w:rsidR="0062702D" w:rsidRPr="002A04EC">
        <w:t xml:space="preserve"> Close Relationship Scale-Short</w:t>
      </w:r>
      <w:r w:rsidRPr="002A04EC">
        <w:t xml:space="preserve"> Form (ECR-RS), and The Decision To Leave Scale (DLS).  Group A, a will receive 12 weeks of </w:t>
      </w:r>
      <w:r w:rsidR="0062702D" w:rsidRPr="002A04EC">
        <w:t>traditional</w:t>
      </w:r>
      <w:r w:rsidRPr="002A04EC">
        <w:t xml:space="preserve"> non-directive support group psychotherapy where no treatment is </w:t>
      </w:r>
      <w:r w:rsidR="0059050B" w:rsidRPr="002A04EC">
        <w:t>implemented</w:t>
      </w:r>
      <w:r w:rsidRPr="002A04EC">
        <w:t xml:space="preserve">.  </w:t>
      </w:r>
    </w:p>
    <w:p w14:paraId="6BD5A81C" w14:textId="77777777" w:rsidR="0081433B" w:rsidRPr="002A04EC" w:rsidRDefault="000D17D5" w:rsidP="002A04EC">
      <w:pPr>
        <w:pStyle w:val="Body"/>
        <w:spacing w:line="480" w:lineRule="auto"/>
        <w:ind w:firstLine="720"/>
        <w:rPr>
          <w:rFonts w:eastAsia="Helvetica"/>
        </w:rPr>
      </w:pPr>
      <w:r w:rsidRPr="002A04EC">
        <w:t xml:space="preserve">Group B, will receive a 12 weeks structured group psychotherapeutic treatment intervention, where treatment will implement attachment-based/relational curriculum in addition to the traditional psychoeducational information for domestic violence dynamics, risk and effects.  At the end of the 12 weeks, each participant will receive a post-test of the BDI, ECR-RS, and DLS.  Once all the surveys have been completed and placed in the sealed box; the site coordinator will notify the researcher to </w:t>
      </w:r>
      <w:r w:rsidR="0062702D" w:rsidRPr="002A04EC">
        <w:t>collect the box</w:t>
      </w:r>
      <w:r w:rsidRPr="002A04EC">
        <w:t xml:space="preserve"> personally.</w:t>
      </w:r>
    </w:p>
    <w:p w14:paraId="6F328FEC" w14:textId="7E9F2EC2" w:rsidR="00B54738" w:rsidRPr="002A04EC" w:rsidRDefault="000D17D5" w:rsidP="002A04EC">
      <w:pPr>
        <w:pStyle w:val="Body"/>
        <w:spacing w:line="480" w:lineRule="auto"/>
        <w:rPr>
          <w:rFonts w:eastAsia="Helvetica"/>
        </w:rPr>
      </w:pPr>
      <w:r w:rsidRPr="002A04EC">
        <w:rPr>
          <w:b/>
        </w:rPr>
        <w:t>Measures</w:t>
      </w:r>
    </w:p>
    <w:p w14:paraId="7D31D4CB" w14:textId="1C241815" w:rsidR="00B54738" w:rsidRPr="002A04EC" w:rsidRDefault="000D17D5" w:rsidP="002A04EC">
      <w:pPr>
        <w:pStyle w:val="Body"/>
        <w:spacing w:line="480" w:lineRule="auto"/>
        <w:ind w:firstLine="720"/>
      </w:pPr>
      <w:r w:rsidRPr="002A04EC">
        <w:rPr>
          <w:rFonts w:eastAsia="Arial Unicode MS"/>
        </w:rPr>
        <w:t xml:space="preserve">The measures used for this study will include The Experiences in Close Relationships Scale-Short Form (ECR-RS), The Decision to Leave Scale (DLS), and The Beck Depression Inventory (BDI).   The predictive variable of attachment style will be measured using </w:t>
      </w:r>
      <w:r w:rsidR="0062702D" w:rsidRPr="002A04EC">
        <w:rPr>
          <w:rFonts w:eastAsia="Arial Unicode MS"/>
        </w:rPr>
        <w:t>ECR-RS</w:t>
      </w:r>
      <w:r w:rsidRPr="002A04EC">
        <w:rPr>
          <w:rFonts w:eastAsia="Arial Unicode MS"/>
        </w:rPr>
        <w:t xml:space="preserve">, </w:t>
      </w:r>
      <w:r w:rsidR="0062702D" w:rsidRPr="002A04EC">
        <w:rPr>
          <w:rFonts w:eastAsia="Arial Unicode MS"/>
        </w:rPr>
        <w:fldChar w:fldCharType="begin" w:fldLock="1"/>
      </w:r>
      <w:r w:rsidR="00877976" w:rsidRPr="002A04EC">
        <w:rPr>
          <w:rFonts w:eastAsia="Arial Unicode MS"/>
        </w:rPr>
        <w:instrText>ADDIN CSL_CITATION { "citationItems" : [ { "id" : "ITEM-1", "itemData" : { "DOI" : "10.1080/00223890701268041", "ISBN" : "00223891", "ISSN" : "0022-3891", "PMID" : "17437384", "abstract" : "We developed a 12-item, short form of the Experiences in Close Relationship Scale (ECR; Brennan, Clark, &amp; Shaver, 1998) across 6 studies. In Study 1, we examined the reliability and factor structure of the measure. In Studies 2 and 3, we cross-validated the reliability, factor structure, and validity of the short form measure; whereas in Study 4, we examined test-retest reliability over a 1-month period. In Studies 5 and 6, we further assessed the reliability, factor structure, and validity of the short version of the ECR when administered as a stand-alone instrument. Confirmatory factor analyses indicated that 2 factors, labeled Anxiety and Avoidance, provided a good fit to the data after removing the influence of response sets. We found validity to be equivalent for the short and the original versions of the ECR across studies. Finally, the results were comparable when we embedded the short form within the original version of the ECR and when we administered it as a stand-alone measure.", "author" : [ { "dropping-particle" : "", "family" : "Wei", "given" : "Meifen", "non-dropping-particle" : "", "parse-names" : false, "suffix" : "" }, { "dropping-particle" : "", "family" : "Russell", "given" : "Daniel W", "non-dropping-particle" : "", "parse-names" : false, "suffix" : "" }, { "dropping-particle" : "", "family" : "Mallinckrodt", "given" : "Brent", "non-dropping-particle" : "", "parse-names" : false, "suffix" : "" }, { "dropping-particle" : "", "family" : "Vogel", "given" : "David L", "non-dropping-particle" : "", "parse-names" : false, "suffix" : "" } ], "container-title" : "Journal of Personality Assessment", "id" : "ITEM-1", "issue" : "2", "issued" : { "date-parts" : [ [ "2007", "3", "27" ] ] }, "page" : "187-204", "title" : "The Experiences in Close Relationship Scale (ECR)-Short Form: Reliability, Validity, and Factor Structure", "type" : "article-journal", "volume" : "88" }, "uris" : [ "http://www.mendeley.com/documents/?uuid=eb3cc181-1690-41fd-9f7f-149fa7ebf6b3" ] } ], "mendeley" : { "formattedCitation" : "(Wei, Russell, Mallinckrodt, &amp; Vogel, 2007)", "plainTextFormattedCitation" : "(Wei, Russell, Mallinckrodt, &amp; Vogel, 2007)", "previouslyFormattedCitation" : "(Wei, Russell, Mallinckrodt, &amp; Vogel, 2007)" }, "properties" : { "noteIndex" : 0 }, "schema" : "https://github.com/citation-style-language/schema/raw/master/csl-citation.json" }</w:instrText>
      </w:r>
      <w:r w:rsidR="0062702D" w:rsidRPr="002A04EC">
        <w:rPr>
          <w:rFonts w:eastAsia="Arial Unicode MS"/>
        </w:rPr>
        <w:fldChar w:fldCharType="separate"/>
      </w:r>
      <w:r w:rsidR="0062702D" w:rsidRPr="002A04EC">
        <w:rPr>
          <w:rFonts w:eastAsia="Arial Unicode MS"/>
          <w:noProof/>
        </w:rPr>
        <w:t>(Wei, Russell, Mallinckrodt, &amp; Vogel, 2007)</w:t>
      </w:r>
      <w:r w:rsidR="0062702D" w:rsidRPr="002A04EC">
        <w:rPr>
          <w:rFonts w:eastAsia="Arial Unicode MS"/>
        </w:rPr>
        <w:fldChar w:fldCharType="end"/>
      </w:r>
      <w:r w:rsidR="0062702D" w:rsidRPr="002A04EC">
        <w:rPr>
          <w:rFonts w:eastAsia="Arial Unicode MS"/>
        </w:rPr>
        <w:t>.</w:t>
      </w:r>
      <w:r w:rsidRPr="002A04EC">
        <w:rPr>
          <w:rFonts w:eastAsia="Arial Unicode MS"/>
        </w:rPr>
        <w:t xml:space="preserve">  The ECR-Short Form is a 12 item scale that measures attachment style in r</w:t>
      </w:r>
      <w:r w:rsidR="0081433B" w:rsidRPr="002A04EC">
        <w:rPr>
          <w:rFonts w:eastAsia="Arial Unicode MS"/>
        </w:rPr>
        <w:t>elationships (Wei et al., 2007).</w:t>
      </w:r>
      <w:r w:rsidRPr="002A04EC">
        <w:rPr>
          <w:rFonts w:eastAsia="Arial Unicode MS"/>
        </w:rPr>
        <w:t xml:space="preserve">  </w:t>
      </w:r>
      <w:r w:rsidR="0034119A" w:rsidRPr="002A04EC">
        <w:rPr>
          <w:rFonts w:eastAsia="Arial Unicode MS"/>
        </w:rPr>
        <w:t xml:space="preserve">The ECR-RS has a mean of internal reliability of .85 </w:t>
      </w:r>
      <w:r w:rsidR="00877976" w:rsidRPr="002A04EC">
        <w:rPr>
          <w:rFonts w:eastAsia="Arial Unicode MS"/>
        </w:rPr>
        <w:fldChar w:fldCharType="begin" w:fldLock="1"/>
      </w:r>
      <w:r w:rsidR="00877976" w:rsidRPr="002A04EC">
        <w:rPr>
          <w:rFonts w:eastAsia="Arial Unicode MS"/>
        </w:rPr>
        <w:instrText>ADDIN CSL_CITATION { "citationItems" : [ { "id" : "ITEM-1", "itemData" : { "DOI" : "10.1080/00223890701268041", "ISBN" : "00223891", "ISSN" : "0022-3891", "PMID" : "17437384", "abstract" : "We developed a 12-item, short form of the Experiences in Close Relationship Scale (ECR; Brennan, Clark, &amp; Shaver, 1998) across 6 studies. In Study 1, we examined the reliability and factor structure of the measure. In Studies 2 and 3, we cross-validated the reliability, factor structure, and validity of the short form measure; whereas in Study 4, we examined test-retest reliability over a 1-month period. In Studies 5 and 6, we further assessed the reliability, factor structure, and validity of the short version of the ECR when administered as a stand-alone instrument. Confirmatory factor analyses indicated that 2 factors, labeled Anxiety and Avoidance, provided a good fit to the data after removing the influence of response sets. We found validity to be equivalent for the short and the original versions of the ECR across studies. Finally, the results were comparable when we embedded the short form within the original version of the ECR and when we administered it as a stand-alone measure.", "author" : [ { "dropping-particle" : "", "family" : "Wei", "given" : "Meifen", "non-dropping-particle" : "", "parse-names" : false, "suffix" : "" }, { "dropping-particle" : "", "family" : "Russell", "given" : "Daniel W", "non-dropping-particle" : "", "parse-names" : false, "suffix" : "" }, { "dropping-particle" : "", "family" : "Mallinckrodt", "given" : "Brent", "non-dropping-particle" : "", "parse-names" : false, "suffix" : "" }, { "dropping-particle" : "", "family" : "Vogel", "given" : "David L", "non-dropping-particle" : "", "parse-names" : false, "suffix" : "" } ], "container-title" : "Journal of Personality Assessment", "id" : "ITEM-1", "issue" : "2", "issued" : { "date-parts" : [ [ "2007", "3", "27" ] ] }, "page" : "187-204", "title" : "The Experiences in Close Relationship Scale (ECR)-Short Form: Reliability, Validity, and Factor Structure", "type" : "article-journal", "volume" : "88" }, "uris" : [ "http://www.mendeley.com/documents/?uuid=eb3cc181-1690-41fd-9f7f-149fa7ebf6b3" ] } ], "mendeley" : { "formattedCitation" : "(Wei et al., 2007)", "plainTextFormattedCitation" : "(Wei et al., 2007)", "previouslyFormattedCitation" : "(Wei et al., 2007)" }, "properties" : { "noteIndex" : 0 }, "schema" : "https://github.com/citation-style-language/schema/raw/master/csl-citation.json" }</w:instrText>
      </w:r>
      <w:r w:rsidR="00877976" w:rsidRPr="002A04EC">
        <w:rPr>
          <w:rFonts w:eastAsia="Arial Unicode MS"/>
        </w:rPr>
        <w:fldChar w:fldCharType="separate"/>
      </w:r>
      <w:r w:rsidR="00877976" w:rsidRPr="002A04EC">
        <w:rPr>
          <w:rFonts w:eastAsia="Arial Unicode MS"/>
          <w:noProof/>
        </w:rPr>
        <w:t>(Wei et al., 2007)</w:t>
      </w:r>
      <w:r w:rsidR="00877976" w:rsidRPr="002A04EC">
        <w:rPr>
          <w:rFonts w:eastAsia="Arial Unicode MS"/>
        </w:rPr>
        <w:fldChar w:fldCharType="end"/>
      </w:r>
      <w:r w:rsidR="00877976" w:rsidRPr="002A04EC">
        <w:rPr>
          <w:rFonts w:eastAsia="Arial Unicode MS"/>
        </w:rPr>
        <w:t>.</w:t>
      </w:r>
    </w:p>
    <w:p w14:paraId="38E690BD" w14:textId="2FBCAE1A" w:rsidR="0034119A" w:rsidRPr="002A04EC" w:rsidRDefault="000D17D5" w:rsidP="002A04EC">
      <w:pPr>
        <w:pStyle w:val="Body"/>
        <w:spacing w:line="480" w:lineRule="auto"/>
        <w:ind w:firstLine="720"/>
      </w:pPr>
      <w:r w:rsidRPr="002A04EC">
        <w:rPr>
          <w:rFonts w:eastAsia="Arial Unicode MS"/>
        </w:rPr>
        <w:lastRenderedPageBreak/>
        <w:t>The outcome variable of readiness to leave an abusive relationship will be measured using Decision to Leave Scale</w:t>
      </w:r>
      <w:r w:rsidR="00877976" w:rsidRPr="002A04EC">
        <w:rPr>
          <w:rFonts w:eastAsia="Arial Unicode MS"/>
        </w:rPr>
        <w:t xml:space="preserve"> (DLS);</w:t>
      </w:r>
      <w:r w:rsidRPr="002A04EC">
        <w:rPr>
          <w:rFonts w:eastAsia="Arial Unicode MS"/>
        </w:rPr>
        <w:t xml:space="preserve"> </w:t>
      </w:r>
      <w:r w:rsidR="00877976" w:rsidRPr="002A04EC">
        <w:rPr>
          <w:rFonts w:eastAsia="Arial Unicode MS"/>
        </w:rPr>
        <w:fldChar w:fldCharType="begin" w:fldLock="1"/>
      </w:r>
      <w:r w:rsidR="00877976" w:rsidRPr="002A04EC">
        <w:rPr>
          <w:rFonts w:eastAsia="Arial Unicode MS"/>
        </w:rPr>
        <w:instrText>ADDIN CSL_CITATION { "citationItems" : [ { "id" : "ITEM-1", "itemData" : { "DOI" : "10.1111/1471-6402.00096", "ISSN" : "03616843", "abstract" : "The 30-item Decision to Leave Scale (DLS) was developed with 631 college women and 420 college women and women in shelters. Seven DLS subscales emerged for concerns in deciding to stay or leave: Fear of Loneliness, Child Care Needs, Financial Problems, Social Embarrassment, Poor Social Support, Fear of Harm, Hopes Things Change. Mean internal reliability was .73, mean test-retest reliability was .70. Discriminant validity was demonstrated by expected associations between DLS concerns and self-esteem, children, and violence. Criterion validity was demonstrated by greater DLS concerns for women in shelters than for college women. Women in violent relationships who decided to stay reported more Fear of Loneliness than women who decided to leave.", "author" : [ { "dropping-particle" : "", "family" : "Hendy", "given" : "Helen M.", "non-dropping-particle" : "", "parse-names" : false, "suffix" : "" }, { "dropping-particle" : "", "family" : "Eggen", "given" : "Doreen", "non-dropping-particle" : "", "parse-names" : false, "suffix" : "" }, { "dropping-particle" : "", "family" : "Gustitus", "given" : "Cheryl", "non-dropping-particle" : "", "parse-names" : false, "suffix" : "" }, { "dropping-particle" : "", "family" : "McLeod", "given" : "Kelli C.", "non-dropping-particle" : "", "parse-names" : false, "suffix" : "" }, { "dropping-particle" : "", "family" : "Ng", "given" : "Phillip", "non-dropping-particle" : "", "parse-names" : false, "suffix" : "" } ], "container-title" : "Psychology of Women Quarterly", "id" : "ITEM-1", "issue" : "2", "issued" : { "date-parts" : [ [ "2003" ] ] }, "page" : "162-173", "title" : "Decision to leave scale: Perceived reasons to stay in or leave violent relationships", "type" : "article-journal", "volume" : "27" }, "uris" : [ "http://www.mendeley.com/documents/?uuid=97be87e4-a814-4c95-a31c-80768a6912e3" ] } ], "mendeley" : { "formattedCitation" : "(Hendy, Eggen, Gustitus, McLeod, &amp; Ng, 2003)", "plainTextFormattedCitation" : "(Hendy, Eggen, Gustitus, McLeod, &amp; Ng, 2003)", "previouslyFormattedCitation" : "(Hendy, Eggen, Gustitus, McLeod, &amp; Ng, 2003)" }, "properties" : { "noteIndex" : 0 }, "schema" : "https://github.com/citation-style-language/schema/raw/master/csl-citation.json" }</w:instrText>
      </w:r>
      <w:r w:rsidR="00877976" w:rsidRPr="002A04EC">
        <w:rPr>
          <w:rFonts w:eastAsia="Arial Unicode MS"/>
        </w:rPr>
        <w:fldChar w:fldCharType="separate"/>
      </w:r>
      <w:r w:rsidR="00877976" w:rsidRPr="002A04EC">
        <w:rPr>
          <w:rFonts w:eastAsia="Arial Unicode MS"/>
          <w:noProof/>
        </w:rPr>
        <w:t>(Hendy, Eggen, Gustitus, McLeod, &amp; Ng, 2003)</w:t>
      </w:r>
      <w:r w:rsidR="00877976" w:rsidRPr="002A04EC">
        <w:rPr>
          <w:rFonts w:eastAsia="Arial Unicode MS"/>
        </w:rPr>
        <w:fldChar w:fldCharType="end"/>
      </w:r>
      <w:r w:rsidR="00877976" w:rsidRPr="002A04EC">
        <w:rPr>
          <w:rFonts w:eastAsia="Arial Unicode MS"/>
        </w:rPr>
        <w:t>.  The DLS</w:t>
      </w:r>
      <w:r w:rsidRPr="002A04EC">
        <w:rPr>
          <w:rFonts w:eastAsia="Arial Unicode MS"/>
        </w:rPr>
        <w:t xml:space="preserve">, is an instrument developed to help women in abusive relationships identify reasons, obstacles, or challenges perceived by them as determinant factors to leave or stay in that relationship </w:t>
      </w:r>
      <w:r w:rsidR="00877976" w:rsidRPr="002A04EC">
        <w:rPr>
          <w:rFonts w:eastAsia="Arial Unicode MS"/>
        </w:rPr>
        <w:fldChar w:fldCharType="begin" w:fldLock="1"/>
      </w:r>
      <w:r w:rsidR="00A90014" w:rsidRPr="002A04EC">
        <w:rPr>
          <w:rFonts w:eastAsia="Arial Unicode MS"/>
        </w:rPr>
        <w:instrText>ADDIN CSL_CITATION { "citationItems" : [ { "id" : "ITEM-1", "itemData" : { "DOI" : "10.1111/1471-6402.00096", "ISSN" : "03616843", "abstract" : "The 30-item Decision to Leave Scale (DLS) was developed with 631 college women and 420 college women and women in shelters. Seven DLS subscales emerged for concerns in deciding to stay or leave: Fear of Loneliness, Child Care Needs, Financial Problems, Social Embarrassment, Poor Social Support, Fear of Harm, Hopes Things Change. Mean internal reliability was .73, mean test-retest reliability was .70. Discriminant validity was demonstrated by expected associations between DLS concerns and self-esteem, children, and violence. Criterion validity was demonstrated by greater DLS concerns for women in shelters than for college women. Women in violent relationships who decided to stay reported more Fear of Loneliness than women who decided to leave.", "author" : [ { "dropping-particle" : "", "family" : "Hendy", "given" : "Helen M.", "non-dropping-particle" : "", "parse-names" : false, "suffix" : "" }, { "dropping-particle" : "", "family" : "Eggen", "given" : "Doreen", "non-dropping-particle" : "", "parse-names" : false, "suffix" : "" }, { "dropping-particle" : "", "family" : "Gustitus", "given" : "Cheryl", "non-dropping-particle" : "", "parse-names" : false, "suffix" : "" }, { "dropping-particle" : "", "family" : "McLeod", "given" : "Kelli C.", "non-dropping-particle" : "", "parse-names" : false, "suffix" : "" }, { "dropping-particle" : "", "family" : "Ng", "given" : "Phillip", "non-dropping-particle" : "", "parse-names" : false, "suffix" : "" } ], "container-title" : "Psychology of Women Quarterly", "id" : "ITEM-1", "issue" : "2", "issued" : { "date-parts" : [ [ "2003" ] ] }, "page" : "162-173", "title" : "Decision to leave scale: Perceived reasons to stay in or leave violent relationships", "type" : "article-journal", "volume" : "27" }, "uris" : [ "http://www.mendeley.com/documents/?uuid=97be87e4-a814-4c95-a31c-80768a6912e3" ] } ], "mendeley" : { "formattedCitation" : "(Hendy et al., 2003)", "plainTextFormattedCitation" : "(Hendy et al., 2003)", "previouslyFormattedCitation" : "(Hendy et al., 2003)" }, "properties" : { "noteIndex" : 0 }, "schema" : "https://github.com/citation-style-language/schema/raw/master/csl-citation.json" }</w:instrText>
      </w:r>
      <w:r w:rsidR="00877976" w:rsidRPr="002A04EC">
        <w:rPr>
          <w:rFonts w:eastAsia="Arial Unicode MS"/>
        </w:rPr>
        <w:fldChar w:fldCharType="separate"/>
      </w:r>
      <w:r w:rsidR="00877976" w:rsidRPr="002A04EC">
        <w:rPr>
          <w:rFonts w:eastAsia="Arial Unicode MS"/>
          <w:noProof/>
        </w:rPr>
        <w:t>(Hendy et al., 2003)</w:t>
      </w:r>
      <w:r w:rsidR="00877976" w:rsidRPr="002A04EC">
        <w:rPr>
          <w:rFonts w:eastAsia="Arial Unicode MS"/>
        </w:rPr>
        <w:fldChar w:fldCharType="end"/>
      </w:r>
      <w:r w:rsidR="00877976" w:rsidRPr="002A04EC">
        <w:rPr>
          <w:rFonts w:eastAsia="Arial Unicode MS"/>
        </w:rPr>
        <w:t xml:space="preserve">. </w:t>
      </w:r>
      <w:r w:rsidR="0034119A" w:rsidRPr="002A04EC">
        <w:rPr>
          <w:rFonts w:eastAsia="Arial Unicode MS"/>
        </w:rPr>
        <w:t xml:space="preserve">The DLS has a </w:t>
      </w:r>
      <w:r w:rsidR="0034119A" w:rsidRPr="002A04EC">
        <w:rPr>
          <w:color w:val="262626"/>
        </w:rPr>
        <w:t xml:space="preserve">Mean of internal reliability of .73 and mean test-retest reliability of .70 </w:t>
      </w:r>
      <w:r w:rsidR="0034119A" w:rsidRPr="002A04EC">
        <w:rPr>
          <w:color w:val="262626"/>
        </w:rPr>
        <w:fldChar w:fldCharType="begin" w:fldLock="1"/>
      </w:r>
      <w:r w:rsidR="00877976" w:rsidRPr="002A04EC">
        <w:rPr>
          <w:color w:val="262626"/>
        </w:rPr>
        <w:instrText>ADDIN CSL_CITATION { "citationItems" : [ { "id" : "ITEM-1", "itemData" : { "DOI" : "10.1111/1471-6402.00096", "ISSN" : "03616843", "abstract" : "The 30-item Decision to Leave Scale (DLS) was developed with 631 college women and 420 college women and women in shelters. Seven DLS subscales emerged for concerns in deciding to stay or leave: Fear of Loneliness, Child Care Needs, Financial Problems, Social Embarrassment, Poor Social Support, Fear of Harm, Hopes Things Change. Mean internal reliability was .73, mean test-retest reliability was .70. Discriminant validity was demonstrated by expected associations between DLS concerns and self-esteem, children, and violence. Criterion validity was demonstrated by greater DLS concerns for women in shelters than for college women. Women in violent relationships who decided to stay reported more Fear of Loneliness than women who decided to leave.", "author" : [ { "dropping-particle" : "", "family" : "Hendy", "given" : "Helen M.", "non-dropping-particle" : "", "parse-names" : false, "suffix" : "" }, { "dropping-particle" : "", "family" : "Eggen", "given" : "Doreen", "non-dropping-particle" : "", "parse-names" : false, "suffix" : "" }, { "dropping-particle" : "", "family" : "Gustitus", "given" : "Cheryl", "non-dropping-particle" : "", "parse-names" : false, "suffix" : "" }, { "dropping-particle" : "", "family" : "McLeod", "given" : "Kelli C.", "non-dropping-particle" : "", "parse-names" : false, "suffix" : "" }, { "dropping-particle" : "", "family" : "Ng", "given" : "Phillip", "non-dropping-particle" : "", "parse-names" : false, "suffix" : "" } ], "container-title" : "Psychology of Women Quarterly", "id" : "ITEM-1", "issue" : "2", "issued" : { "date-parts" : [ [ "2003" ] ] }, "page" : "162-173", "title" : "Decision to leave scale: Perceived reasons to stay in or leave violent relationships", "type" : "article-journal", "volume" : "27" }, "uris" : [ "http://www.mendeley.com/documents/?uuid=97be87e4-a814-4c95-a31c-80768a6912e3" ] } ], "mendeley" : { "formattedCitation" : "(Hendy et al., 2003)", "plainTextFormattedCitation" : "(Hendy et al., 2003)", "previouslyFormattedCitation" : "(Hendy et al., 2003)" }, "properties" : { "noteIndex" : 0 }, "schema" : "https://github.com/citation-style-language/schema/raw/master/csl-citation.json" }</w:instrText>
      </w:r>
      <w:r w:rsidR="0034119A" w:rsidRPr="002A04EC">
        <w:rPr>
          <w:color w:val="262626"/>
        </w:rPr>
        <w:fldChar w:fldCharType="separate"/>
      </w:r>
      <w:r w:rsidR="00877976" w:rsidRPr="002A04EC">
        <w:rPr>
          <w:noProof/>
          <w:color w:val="262626"/>
        </w:rPr>
        <w:t>(Hendy et al., 2003)</w:t>
      </w:r>
      <w:r w:rsidR="0034119A" w:rsidRPr="002A04EC">
        <w:rPr>
          <w:color w:val="262626"/>
        </w:rPr>
        <w:fldChar w:fldCharType="end"/>
      </w:r>
      <w:r w:rsidR="0034119A" w:rsidRPr="002A04EC">
        <w:rPr>
          <w:color w:val="262626"/>
        </w:rPr>
        <w:t>.</w:t>
      </w:r>
    </w:p>
    <w:p w14:paraId="1232ACA5" w14:textId="795D4DDB" w:rsidR="00B54738" w:rsidRPr="002A04EC" w:rsidRDefault="000D17D5" w:rsidP="002A04EC">
      <w:pPr>
        <w:pStyle w:val="Body"/>
        <w:spacing w:line="480" w:lineRule="auto"/>
        <w:ind w:firstLine="720"/>
      </w:pPr>
      <w:r w:rsidRPr="002A04EC">
        <w:rPr>
          <w:rFonts w:eastAsia="Arial Unicode MS"/>
        </w:rPr>
        <w:t xml:space="preserve">The covariate variable of depression will be measured </w:t>
      </w:r>
      <w:r w:rsidR="00B84D61" w:rsidRPr="002A04EC">
        <w:rPr>
          <w:rFonts w:eastAsia="Arial Unicode MS"/>
        </w:rPr>
        <w:t>using</w:t>
      </w:r>
      <w:r w:rsidRPr="002A04EC">
        <w:rPr>
          <w:rFonts w:eastAsia="Arial Unicode MS"/>
        </w:rPr>
        <w:t xml:space="preserve"> the Beck Depression Inventory (BDI) which measures symptoms of depression</w:t>
      </w:r>
      <w:r w:rsidR="00A90014" w:rsidRPr="002A04EC">
        <w:rPr>
          <w:rFonts w:eastAsia="Arial Unicode MS"/>
        </w:rPr>
        <w:t xml:space="preserve"> </w:t>
      </w:r>
      <w:r w:rsidR="00A90014" w:rsidRPr="002A04EC">
        <w:rPr>
          <w:rFonts w:eastAsia="Arial Unicode MS"/>
        </w:rPr>
        <w:fldChar w:fldCharType="begin" w:fldLock="1"/>
      </w:r>
      <w:r w:rsidR="002E4014" w:rsidRPr="002A04EC">
        <w:rPr>
          <w:rFonts w:eastAsia="Arial Unicode MS"/>
        </w:rPr>
        <w:instrText>ADDIN CSL_CITATION { "citationItems" : [ { "id" : "ITEM-1", "itemData" : { "DOI" : "10.1590/1516-4446-2012-1048", "ISBN" : "1516444620", "ISSN" : "15164446", "PMID" : "24402217", "abstract" : "OBJECTIVE: To review the psychometric properties of the Beck Depression Inventory-II (BDI-II) as a self-report measure of depression in a variety of settings and populations.\\n\\nMETHODS: Relevant studies of the BDI-II were retrieved through a search of electronic databases, a hand search, and contact with authors. Retained studies (k = 118) were allocated into three groups: non-clinical, psychiatric/institutionalized, and medical samples.\\n\\nRESULTS: The internal consistency was described as around 0.9 and the retest reliability ranged from 0.73 to 0.96. The correlation between BDI-II and the Beck Depression Inventory (BDI-I) was high and substantial overlap with measures of depression and anxiety was reported. The criterion-based validity showed good sensitivity and specificity for detecting depression in comparison to the adopted gold standard. However, the cutoff score to screen for depression varied according to the type of sample. Factor analysis showed a robust dimension of general depression composed by two constructs: cognitive-affective and somatic-vegetative.\\n\\nCONCLUSIONS: The BDI-II is a relevant psychometric instrument, showing high reliability, capacity to discriminate between depressed and non-depressed subjects, and improved concurrent, content, and structural validity. Based on available psychometric evidence, the BDI-II can be viewed as a cost-effective questionnaire for measuring the severity of depression, with broad applicability for research and clinical practice worldwide.", "author" : [ { "dropping-particle" : "", "family" : "Wang", "given" : "Yuan Pang", "non-dropping-particle" : "", "parse-names" : false, "suffix" : "" }, { "dropping-particle" : "", "family" : "Gorenstein", "given" : "Clarice", "non-dropping-particle" : "", "parse-names" : false, "suffix" : "" } ], "container-title" : "Revista Brasileira de Psiquiatria", "id" : "ITEM-1", "issue" : "4", "issued" : { "date-parts" : [ [ "2013" ] ] }, "page" : "416-431", "title" : "Psychometric properties of the Beck Depression Inventory-II: A comprehensive review", "type" : "article", "volume" : "35" }, "uris" : [ "http://www.mendeley.com/documents/?uuid=f67a3bbc-2d9f-4f51-93fa-c4db9b1fd441" ] } ], "mendeley" : { "formattedCitation" : "(Wang &amp; Gorenstein, 2013)", "plainTextFormattedCitation" : "(Wang &amp; Gorenstein, 2013)", "previouslyFormattedCitation" : "(Wang &amp; Gorenstein, 2013)" }, "properties" : { "noteIndex" : 0 }, "schema" : "https://github.com/citation-style-language/schema/raw/master/csl-citation.json" }</w:instrText>
      </w:r>
      <w:r w:rsidR="00A90014" w:rsidRPr="002A04EC">
        <w:rPr>
          <w:rFonts w:eastAsia="Arial Unicode MS"/>
        </w:rPr>
        <w:fldChar w:fldCharType="separate"/>
      </w:r>
      <w:r w:rsidR="00A90014" w:rsidRPr="002A04EC">
        <w:rPr>
          <w:rFonts w:eastAsia="Arial Unicode MS"/>
          <w:noProof/>
        </w:rPr>
        <w:t>(Wang &amp; Gorenstein, 2013)</w:t>
      </w:r>
      <w:r w:rsidR="00A90014" w:rsidRPr="002A04EC">
        <w:rPr>
          <w:rFonts w:eastAsia="Arial Unicode MS"/>
        </w:rPr>
        <w:fldChar w:fldCharType="end"/>
      </w:r>
      <w:r w:rsidRPr="002A04EC">
        <w:rPr>
          <w:rFonts w:eastAsia="Arial Unicode MS"/>
        </w:rPr>
        <w:t>.</w:t>
      </w:r>
      <w:r w:rsidR="00A90014" w:rsidRPr="002A04EC">
        <w:rPr>
          <w:rFonts w:eastAsia="Arial Unicode MS"/>
        </w:rPr>
        <w:t xml:space="preserve"> </w:t>
      </w:r>
      <w:r w:rsidRPr="002A04EC">
        <w:rPr>
          <w:rFonts w:eastAsia="Arial Unicode MS"/>
        </w:rPr>
        <w:t xml:space="preserve"> The BDI-II is a self-administered instrument with 21 items assessing the intensity of depressive symptoms in individuals.  According to Wang and Gorenstein (2013), the BDI-II has been shown </w:t>
      </w:r>
      <w:r w:rsidR="006527EB" w:rsidRPr="002A04EC">
        <w:rPr>
          <w:rFonts w:eastAsia="Arial Unicode MS"/>
        </w:rPr>
        <w:t>to have</w:t>
      </w:r>
      <w:r w:rsidRPr="002A04EC">
        <w:rPr>
          <w:rFonts w:eastAsia="Arial Unicode MS"/>
        </w:rPr>
        <w:t xml:space="preserve"> internal consistency and retest reliability in the range </w:t>
      </w:r>
      <w:r w:rsidR="006527EB" w:rsidRPr="002A04EC">
        <w:rPr>
          <w:rFonts w:eastAsia="Arial Unicode MS"/>
        </w:rPr>
        <w:t xml:space="preserve">of 0.73 to 0.96.  </w:t>
      </w:r>
      <w:r w:rsidRPr="002A04EC">
        <w:rPr>
          <w:rFonts w:eastAsia="Arial Unicode MS"/>
        </w:rPr>
        <w:t>The retest coefficients is reported to be 0.92 and 0.93 respect</w:t>
      </w:r>
      <w:r w:rsidR="006527EB" w:rsidRPr="002A04EC">
        <w:rPr>
          <w:rFonts w:eastAsia="Arial Unicode MS"/>
        </w:rPr>
        <w:t>ively (Wang and Gorenstein 2013</w:t>
      </w:r>
      <w:r w:rsidRPr="002A04EC">
        <w:rPr>
          <w:rFonts w:eastAsia="Arial Unicode MS"/>
        </w:rPr>
        <w:t xml:space="preserve">). </w:t>
      </w:r>
    </w:p>
    <w:p w14:paraId="3D15E885" w14:textId="77777777" w:rsidR="00B54738" w:rsidRPr="002A04EC" w:rsidRDefault="000D17D5" w:rsidP="002A04EC">
      <w:pPr>
        <w:pStyle w:val="Body"/>
        <w:spacing w:line="480" w:lineRule="auto"/>
        <w:outlineLvl w:val="0"/>
        <w:rPr>
          <w:b/>
          <w:bCs/>
        </w:rPr>
      </w:pPr>
      <w:r w:rsidRPr="002A04EC">
        <w:rPr>
          <w:b/>
          <w:bCs/>
        </w:rPr>
        <w:t>Statistical Procedure</w:t>
      </w:r>
    </w:p>
    <w:p w14:paraId="6A48B76A" w14:textId="069A7DC3" w:rsidR="00AF02B8" w:rsidRPr="002A04EC" w:rsidRDefault="000D17D5" w:rsidP="002A04EC">
      <w:pPr>
        <w:pStyle w:val="Body"/>
        <w:spacing w:line="480" w:lineRule="auto"/>
        <w:ind w:firstLine="720"/>
      </w:pPr>
      <w:r w:rsidRPr="002A04EC">
        <w:rPr>
          <w:rFonts w:eastAsia="Arial Unicode MS"/>
        </w:rPr>
        <w:t>Once data has been collected, the researcher will use the statistical method of one-way analysis of covariance (ANCOVA) to control for the</w:t>
      </w:r>
      <w:r w:rsidR="00E52315" w:rsidRPr="002A04EC">
        <w:rPr>
          <w:rFonts w:eastAsia="Arial Unicode MS"/>
        </w:rPr>
        <w:t xml:space="preserve"> covariate</w:t>
      </w:r>
      <w:r w:rsidRPr="002A04EC">
        <w:rPr>
          <w:rFonts w:eastAsia="Arial Unicode MS"/>
        </w:rPr>
        <w:t xml:space="preserve"> of depression (Heppner et al., 2015, p. 248).  The covariate of depression is considered in direct interest in this study because of its prevalence indicating that 64% of victims of </w:t>
      </w:r>
      <w:r w:rsidR="006410C3" w:rsidRPr="002A04EC">
        <w:rPr>
          <w:rFonts w:eastAsia="Arial Unicode MS"/>
        </w:rPr>
        <w:t>IPV</w:t>
      </w:r>
      <w:r w:rsidRPr="002A04EC">
        <w:rPr>
          <w:rFonts w:eastAsia="Arial Unicode MS"/>
        </w:rPr>
        <w:t xml:space="preserve"> suffer from depression (Karakoc et al., 2014) which can also </w:t>
      </w:r>
      <w:r w:rsidR="00AF02B8" w:rsidRPr="002A04EC">
        <w:rPr>
          <w:rFonts w:eastAsia="Arial Unicode MS"/>
        </w:rPr>
        <w:t>have</w:t>
      </w:r>
      <w:r w:rsidRPr="002A04EC">
        <w:rPr>
          <w:rFonts w:eastAsia="Arial Unicode MS"/>
        </w:rPr>
        <w:t xml:space="preserve"> the potential to be a confounding or interacting variable (Heppner, et al., 2015, p. 248). </w:t>
      </w:r>
    </w:p>
    <w:p w14:paraId="6593A041" w14:textId="6FD76798" w:rsidR="00B54738" w:rsidRPr="002A04EC" w:rsidRDefault="000D17D5" w:rsidP="002A04EC">
      <w:pPr>
        <w:pStyle w:val="Body"/>
        <w:spacing w:line="480" w:lineRule="auto"/>
        <w:jc w:val="center"/>
        <w:outlineLvl w:val="0"/>
        <w:rPr>
          <w:b/>
          <w:bCs/>
        </w:rPr>
      </w:pPr>
      <w:r w:rsidRPr="002A04EC">
        <w:rPr>
          <w:b/>
          <w:bCs/>
        </w:rPr>
        <w:t>Validity</w:t>
      </w:r>
    </w:p>
    <w:p w14:paraId="6EFE7E2F" w14:textId="35AE368B" w:rsidR="00B54738" w:rsidRPr="002A04EC" w:rsidRDefault="000D17D5" w:rsidP="002A04EC">
      <w:pPr>
        <w:pStyle w:val="Body"/>
        <w:spacing w:line="480" w:lineRule="auto"/>
        <w:outlineLvl w:val="0"/>
        <w:rPr>
          <w:b/>
          <w:bCs/>
        </w:rPr>
      </w:pPr>
      <w:r w:rsidRPr="002A04EC">
        <w:rPr>
          <w:b/>
          <w:bCs/>
        </w:rPr>
        <w:t>Internal Validity</w:t>
      </w:r>
    </w:p>
    <w:p w14:paraId="738DFCEB" w14:textId="315D20D1" w:rsidR="00B54738" w:rsidRPr="002A04EC" w:rsidRDefault="000D17D5" w:rsidP="002A04EC">
      <w:pPr>
        <w:pStyle w:val="Body"/>
        <w:spacing w:line="480" w:lineRule="auto"/>
      </w:pPr>
      <w:r w:rsidRPr="002A04EC">
        <w:rPr>
          <w:rFonts w:eastAsia="Arial Unicode MS"/>
        </w:rPr>
        <w:tab/>
        <w:t>Considering that the study is examining the attachment of the femal</w:t>
      </w:r>
      <w:r w:rsidR="002E4014" w:rsidRPr="002A04EC">
        <w:rPr>
          <w:rFonts w:eastAsia="Arial Unicode MS"/>
        </w:rPr>
        <w:t xml:space="preserve">e victim of IPV to the abuser; </w:t>
      </w:r>
      <w:r w:rsidRPr="002A04EC">
        <w:rPr>
          <w:rFonts w:eastAsia="Arial Unicode MS"/>
        </w:rPr>
        <w:t xml:space="preserve">threats to internal validity have been considered to find if the independent variable is the </w:t>
      </w:r>
      <w:r w:rsidRPr="002A04EC">
        <w:rPr>
          <w:rFonts w:eastAsia="Arial Unicode MS"/>
        </w:rPr>
        <w:lastRenderedPageBreak/>
        <w:t xml:space="preserve">cause of the dependent variable (Heppner et al., 2015, p. 146).   The ambiguous temporal precedence is not </w:t>
      </w:r>
      <w:r w:rsidR="0056387F" w:rsidRPr="002A04EC">
        <w:rPr>
          <w:rFonts w:eastAsia="Arial Unicode MS"/>
        </w:rPr>
        <w:t>foreseeable</w:t>
      </w:r>
      <w:r w:rsidRPr="002A04EC">
        <w:rPr>
          <w:rFonts w:eastAsia="Arial Unicode MS"/>
        </w:rPr>
        <w:t xml:space="preserve"> in this study because</w:t>
      </w:r>
      <w:r w:rsidR="002E05A4" w:rsidRPr="002A04EC">
        <w:rPr>
          <w:rFonts w:eastAsia="Arial Unicode MS"/>
        </w:rPr>
        <w:t xml:space="preserve"> of no risk of limitations with recollection is considered (Heppner et al. 2015, p. 149).</w:t>
      </w:r>
      <w:r w:rsidRPr="002A04EC">
        <w:rPr>
          <w:rFonts w:eastAsia="Arial Unicode MS"/>
        </w:rPr>
        <w:t xml:space="preserve"> The study is utilizing random assignment to minimize the selection threat (Heppner et al., 2015, </w:t>
      </w:r>
      <w:r w:rsidR="002E05A4" w:rsidRPr="002A04EC">
        <w:rPr>
          <w:rFonts w:eastAsia="Arial Unicode MS"/>
        </w:rPr>
        <w:t>p.149</w:t>
      </w:r>
      <w:r w:rsidRPr="002A04EC">
        <w:rPr>
          <w:rFonts w:eastAsia="Arial Unicode MS"/>
        </w:rPr>
        <w:t xml:space="preserve">).  The threat of history effect and maturation are being considered due to the risk of participants in the treatment group having a positive response to the treatment and choosing to leave the relationship prior to the completion of the study or changes in the levels of depression (Heppner et al., 2015, p.146).  </w:t>
      </w:r>
    </w:p>
    <w:p w14:paraId="35D34AAA" w14:textId="028E5F67" w:rsidR="00B54738" w:rsidRPr="002A04EC" w:rsidRDefault="000D17D5" w:rsidP="002A04EC">
      <w:pPr>
        <w:pStyle w:val="Body"/>
        <w:spacing w:line="480" w:lineRule="auto"/>
      </w:pPr>
      <w:r w:rsidRPr="002A04EC">
        <w:rPr>
          <w:rFonts w:eastAsia="Arial Unicode MS"/>
        </w:rPr>
        <w:tab/>
        <w:t>Regression is a treat to internal validity due to</w:t>
      </w:r>
      <w:r w:rsidR="00FA0B09" w:rsidRPr="002A04EC">
        <w:rPr>
          <w:rFonts w:eastAsia="Arial Unicode MS"/>
        </w:rPr>
        <w:t xml:space="preserve"> the</w:t>
      </w:r>
      <w:r w:rsidRPr="002A04EC">
        <w:rPr>
          <w:rFonts w:eastAsia="Arial Unicode MS"/>
        </w:rPr>
        <w:t xml:space="preserve"> participants chosen are experiencing symptoms of depression, this can be minimized using the control group and adjusting for regression toward the mean if necessary (Heppner et al., 2015, p. 146).   The threat of attrition will be minimized by administering a pretest to examine and address any possible risks of attrition issues (Heppner et al., 2015, p. 146).  Testing threats to internal validity is not considered due to the tests being administered only one time prior to the completion of the pre-test and post-test serving as the measure to compare groups and find out the effect and impact of treatment (Heppner et al., 2015, p. 146).</w:t>
      </w:r>
    </w:p>
    <w:p w14:paraId="1D5F31F9" w14:textId="20819251" w:rsidR="00B54738" w:rsidRPr="002A04EC" w:rsidRDefault="000D17D5" w:rsidP="002A04EC">
      <w:pPr>
        <w:pStyle w:val="Body"/>
        <w:spacing w:line="480" w:lineRule="auto"/>
      </w:pPr>
      <w:r w:rsidRPr="002A04EC">
        <w:rPr>
          <w:rFonts w:eastAsia="Arial Unicode MS"/>
        </w:rPr>
        <w:tab/>
        <w:t>Instrumentation is not considered in this study due to the instruments are not electronically administered and th</w:t>
      </w:r>
      <w:r w:rsidR="00FA0B09" w:rsidRPr="002A04EC">
        <w:rPr>
          <w:rFonts w:eastAsia="Arial Unicode MS"/>
        </w:rPr>
        <w:t>e consistency of the measures have</w:t>
      </w:r>
      <w:r w:rsidRPr="002A04EC">
        <w:rPr>
          <w:rFonts w:eastAsia="Arial Unicode MS"/>
        </w:rPr>
        <w:t xml:space="preserve"> already been established (Heppner et al., 2015, </w:t>
      </w:r>
      <w:r w:rsidR="00233872" w:rsidRPr="002A04EC">
        <w:rPr>
          <w:rFonts w:eastAsia="Arial Unicode MS"/>
        </w:rPr>
        <w:t>p.149</w:t>
      </w:r>
      <w:r w:rsidRPr="002A04EC">
        <w:rPr>
          <w:rFonts w:eastAsia="Arial Unicode MS"/>
        </w:rPr>
        <w:t xml:space="preserve">).   The additive/interactive effects will be explored by interviewing the participants prior to the beginning of the study and reduce or prevent for any potential interactions (Heppner et al., 2015, </w:t>
      </w:r>
      <w:r w:rsidR="00233872" w:rsidRPr="002A04EC">
        <w:rPr>
          <w:rFonts w:eastAsia="Arial Unicode MS"/>
        </w:rPr>
        <w:t>p.149</w:t>
      </w:r>
      <w:r w:rsidRPr="002A04EC">
        <w:rPr>
          <w:rFonts w:eastAsia="Arial Unicode MS"/>
        </w:rPr>
        <w:t>).</w:t>
      </w:r>
    </w:p>
    <w:p w14:paraId="680CEBFB" w14:textId="77777777" w:rsidR="00B54738" w:rsidRPr="002A04EC" w:rsidRDefault="000D17D5" w:rsidP="002A04EC">
      <w:pPr>
        <w:pStyle w:val="Body"/>
        <w:spacing w:line="480" w:lineRule="auto"/>
        <w:outlineLvl w:val="0"/>
        <w:rPr>
          <w:b/>
          <w:bCs/>
        </w:rPr>
      </w:pPr>
      <w:r w:rsidRPr="002A04EC">
        <w:rPr>
          <w:b/>
          <w:bCs/>
        </w:rPr>
        <w:t>External Validity</w:t>
      </w:r>
    </w:p>
    <w:p w14:paraId="28B637FD" w14:textId="0F22CDE7" w:rsidR="00146923" w:rsidRPr="002A04EC" w:rsidRDefault="000D17D5" w:rsidP="002A04EC">
      <w:pPr>
        <w:pStyle w:val="Body"/>
        <w:spacing w:line="480" w:lineRule="auto"/>
        <w:ind w:firstLine="720"/>
        <w:rPr>
          <w:rFonts w:eastAsia="Arial Unicode MS"/>
        </w:rPr>
      </w:pPr>
      <w:r w:rsidRPr="002A04EC">
        <w:rPr>
          <w:rFonts w:eastAsia="Arial Unicode MS"/>
        </w:rPr>
        <w:t xml:space="preserve">The external validity issues are associated to the degree </w:t>
      </w:r>
      <w:r w:rsidR="00233872" w:rsidRPr="002A04EC">
        <w:rPr>
          <w:rFonts w:eastAsia="Arial Unicode MS"/>
        </w:rPr>
        <w:t xml:space="preserve">of the causal relationship </w:t>
      </w:r>
      <w:r w:rsidRPr="002A04EC">
        <w:rPr>
          <w:rFonts w:eastAsia="Arial Unicode MS"/>
        </w:rPr>
        <w:t xml:space="preserve">across units, treatments, outcomes and settings </w:t>
      </w:r>
      <w:r w:rsidR="00233872" w:rsidRPr="002A04EC">
        <w:rPr>
          <w:rFonts w:eastAsia="Arial Unicode MS"/>
        </w:rPr>
        <w:t xml:space="preserve">is generalizable </w:t>
      </w:r>
      <w:r w:rsidRPr="002A04EC">
        <w:rPr>
          <w:rFonts w:eastAsia="Arial Unicode MS"/>
        </w:rPr>
        <w:t xml:space="preserve">(Heppner et al. 2015, p. 141).  This </w:t>
      </w:r>
      <w:r w:rsidRPr="002A04EC">
        <w:rPr>
          <w:rFonts w:eastAsia="Arial Unicode MS"/>
        </w:rPr>
        <w:lastRenderedPageBreak/>
        <w:t xml:space="preserve">issue has been addressed by attempting to minimize the risks in each case with the following considerations.   The </w:t>
      </w:r>
      <w:r w:rsidR="0040656C" w:rsidRPr="002A04EC">
        <w:rPr>
          <w:rFonts w:eastAsia="Arial Unicode MS"/>
        </w:rPr>
        <w:t xml:space="preserve">heterogeneity of </w:t>
      </w:r>
      <w:r w:rsidRPr="002A04EC">
        <w:rPr>
          <w:rFonts w:eastAsia="Arial Unicode MS"/>
        </w:rPr>
        <w:t xml:space="preserve">units type of validity will consider participants of female gender, </w:t>
      </w:r>
      <w:r w:rsidR="00FA0B09" w:rsidRPr="002A04EC">
        <w:rPr>
          <w:rFonts w:eastAsia="Arial Unicode MS"/>
        </w:rPr>
        <w:t xml:space="preserve">and diverse </w:t>
      </w:r>
      <w:r w:rsidRPr="002A04EC">
        <w:rPr>
          <w:rFonts w:eastAsia="Arial Unicode MS"/>
        </w:rPr>
        <w:t xml:space="preserve">race and ethnicity due </w:t>
      </w:r>
      <w:r w:rsidR="00FA0B09" w:rsidRPr="002A04EC">
        <w:rPr>
          <w:rFonts w:eastAsia="Arial Unicode MS"/>
        </w:rPr>
        <w:t xml:space="preserve">to </w:t>
      </w:r>
      <w:r w:rsidRPr="002A04EC">
        <w:rPr>
          <w:rFonts w:eastAsia="Arial Unicode MS"/>
        </w:rPr>
        <w:t xml:space="preserve">being </w:t>
      </w:r>
      <w:r w:rsidR="00FA0B09" w:rsidRPr="002A04EC">
        <w:rPr>
          <w:rFonts w:eastAsia="Arial Unicode MS"/>
        </w:rPr>
        <w:t>Caucasian</w:t>
      </w:r>
      <w:r w:rsidRPr="002A04EC">
        <w:rPr>
          <w:rFonts w:eastAsia="Arial Unicode MS"/>
        </w:rPr>
        <w:t xml:space="preserve">, </w:t>
      </w:r>
      <w:r w:rsidR="00FA0B09" w:rsidRPr="002A04EC">
        <w:rPr>
          <w:rFonts w:eastAsia="Arial Unicode MS"/>
        </w:rPr>
        <w:t>African</w:t>
      </w:r>
      <w:r w:rsidRPr="002A04EC">
        <w:rPr>
          <w:rFonts w:eastAsia="Arial Unicode MS"/>
        </w:rPr>
        <w:t xml:space="preserve"> </w:t>
      </w:r>
      <w:r w:rsidR="00FA0B09" w:rsidRPr="002A04EC">
        <w:rPr>
          <w:rFonts w:eastAsia="Arial Unicode MS"/>
        </w:rPr>
        <w:t>American</w:t>
      </w:r>
      <w:r w:rsidRPr="002A04EC">
        <w:rPr>
          <w:rFonts w:eastAsia="Arial Unicode MS"/>
        </w:rPr>
        <w:t xml:space="preserve"> and </w:t>
      </w:r>
      <w:r w:rsidR="00FA0B09" w:rsidRPr="002A04EC">
        <w:rPr>
          <w:rFonts w:eastAsia="Arial Unicode MS"/>
        </w:rPr>
        <w:t>Hispanics</w:t>
      </w:r>
      <w:r w:rsidRPr="002A04EC">
        <w:rPr>
          <w:rFonts w:eastAsia="Arial Unicode MS"/>
        </w:rPr>
        <w:t xml:space="preserve"> </w:t>
      </w:r>
      <w:r w:rsidR="00233872" w:rsidRPr="002A04EC">
        <w:rPr>
          <w:rFonts w:eastAsia="Arial Unicode MS"/>
        </w:rPr>
        <w:t xml:space="preserve">(Heppner et al. 2015, p. 143).  </w:t>
      </w:r>
      <w:r w:rsidRPr="002A04EC">
        <w:rPr>
          <w:rFonts w:eastAsia="Arial Unicode MS"/>
        </w:rPr>
        <w:t>However, educational background is not being considered (</w:t>
      </w:r>
      <w:r w:rsidR="00FA0B09" w:rsidRPr="002A04EC">
        <w:rPr>
          <w:rFonts w:eastAsia="Arial Unicode MS"/>
        </w:rPr>
        <w:t xml:space="preserve">Heppner et al. 2015, </w:t>
      </w:r>
      <w:r w:rsidRPr="002A04EC">
        <w:rPr>
          <w:rFonts w:eastAsia="Arial Unicode MS"/>
        </w:rPr>
        <w:t xml:space="preserve">p.161).  The treatment conditions will be structured by training the counselors assigned to the treatment group with the specificities of the curriculum to ensure there is no risk of threats to external validity (Heppner et al., 2015, p. 161).  </w:t>
      </w:r>
    </w:p>
    <w:p w14:paraId="0CC15E0F" w14:textId="41369BCE" w:rsidR="00B54738" w:rsidRPr="002A04EC" w:rsidRDefault="000D17D5" w:rsidP="002A04EC">
      <w:pPr>
        <w:pStyle w:val="Body"/>
        <w:spacing w:line="480" w:lineRule="auto"/>
        <w:ind w:firstLine="720"/>
      </w:pPr>
      <w:r w:rsidRPr="002A04EC">
        <w:rPr>
          <w:rFonts w:eastAsia="Arial Unicode MS"/>
        </w:rPr>
        <w:t>The counselors assigned to the control group will not receive training due to the group will not receive treatment and the dynamics of the group will only be supportive.  The outcomes will be measured by three specific instruments, the BDI, ECR-RS, and DLS.   The setting for the study will only be agencies that serve victims of domestic violence</w:t>
      </w:r>
      <w:r w:rsidR="007D4B97" w:rsidRPr="002A04EC">
        <w:rPr>
          <w:rFonts w:eastAsia="Arial Unicode MS"/>
        </w:rPr>
        <w:t xml:space="preserve"> exclusively</w:t>
      </w:r>
      <w:r w:rsidRPr="002A04EC">
        <w:rPr>
          <w:rFonts w:eastAsia="Arial Unicode MS"/>
        </w:rPr>
        <w:t xml:space="preserve"> (Heppner et al., 2015, p. 161).  </w:t>
      </w:r>
    </w:p>
    <w:p w14:paraId="71422177" w14:textId="1E150723" w:rsidR="00B54738" w:rsidRPr="002A04EC" w:rsidRDefault="000D17D5" w:rsidP="002A04EC">
      <w:pPr>
        <w:pStyle w:val="Body"/>
        <w:spacing w:line="480" w:lineRule="auto"/>
        <w:rPr>
          <w:b/>
          <w:bCs/>
        </w:rPr>
      </w:pPr>
      <w:r w:rsidRPr="002A04EC">
        <w:rPr>
          <w:b/>
          <w:bCs/>
        </w:rPr>
        <w:t xml:space="preserve">Statistical </w:t>
      </w:r>
      <w:r w:rsidR="0081433B" w:rsidRPr="002A04EC">
        <w:rPr>
          <w:b/>
          <w:bCs/>
        </w:rPr>
        <w:t xml:space="preserve">Validity </w:t>
      </w:r>
    </w:p>
    <w:p w14:paraId="6F11EB40" w14:textId="27BF93BF" w:rsidR="00B54738" w:rsidRPr="002A04EC" w:rsidRDefault="000D17D5" w:rsidP="002A04EC">
      <w:pPr>
        <w:pStyle w:val="Body"/>
        <w:spacing w:line="480" w:lineRule="auto"/>
        <w:ind w:firstLine="720"/>
        <w:rPr>
          <w:rFonts w:eastAsia="Arial Unicode MS"/>
        </w:rPr>
      </w:pPr>
      <w:r w:rsidRPr="002A04EC">
        <w:rPr>
          <w:rFonts w:eastAsia="Arial Unicode MS"/>
        </w:rPr>
        <w:t xml:space="preserve">Threats to statistical validity have been taken into consideration in an attempt to increase the confidence </w:t>
      </w:r>
      <w:r w:rsidR="00BB7756" w:rsidRPr="002A04EC">
        <w:rPr>
          <w:rFonts w:eastAsia="Arial Unicode MS"/>
        </w:rPr>
        <w:t xml:space="preserve">of </w:t>
      </w:r>
      <w:r w:rsidRPr="002A04EC">
        <w:rPr>
          <w:rFonts w:eastAsia="Arial Unicode MS"/>
        </w:rPr>
        <w:t>the result and conclusion of the study that there is a true relationship between the variables (Heppner et al., 2015, p.143).  The threats to statistical validity will be address</w:t>
      </w:r>
      <w:r w:rsidR="00BB7756" w:rsidRPr="002A04EC">
        <w:rPr>
          <w:rFonts w:eastAsia="Arial Unicode MS"/>
        </w:rPr>
        <w:t>ed</w:t>
      </w:r>
      <w:r w:rsidRPr="002A04EC">
        <w:rPr>
          <w:rFonts w:eastAsia="Arial Unicode MS"/>
        </w:rPr>
        <w:t xml:space="preserve"> as follows: </w:t>
      </w:r>
      <w:r w:rsidR="00BB7756" w:rsidRPr="002A04EC">
        <w:rPr>
          <w:rFonts w:eastAsia="Arial Unicode MS"/>
        </w:rPr>
        <w:t xml:space="preserve">low power statistical validity </w:t>
      </w:r>
      <w:r w:rsidRPr="002A04EC">
        <w:rPr>
          <w:rFonts w:eastAsia="Arial Unicode MS"/>
        </w:rPr>
        <w:t xml:space="preserve">and inaccurate effect size will be minimized by choosing a sample size of an average of 60 to 90 participants (Heppner et al., 2015, p.143).  The researcher will examine and ensure that assumptions of each statistical test is met (Heppner et al., 2015, p.143).  The fishing and error-rate threat is not anticipated due to the researcher’s proposed hypothesis is specific and clearly stated (Heppner et al., 2015, p.143).  The measures selected to conduct this study have been considered due to their adequate reliability and to minimize the threat of range restriction (Heppner et al., 2015, p.143).  </w:t>
      </w:r>
    </w:p>
    <w:p w14:paraId="0DE69900" w14:textId="7B93CB8B" w:rsidR="00B54738" w:rsidRPr="002A04EC" w:rsidRDefault="000D17D5" w:rsidP="002A04EC">
      <w:pPr>
        <w:pStyle w:val="Body"/>
        <w:spacing w:line="480" w:lineRule="auto"/>
        <w:ind w:firstLine="720"/>
      </w:pPr>
      <w:r w:rsidRPr="002A04EC">
        <w:rPr>
          <w:rFonts w:eastAsia="Arial Unicode MS"/>
        </w:rPr>
        <w:lastRenderedPageBreak/>
        <w:t xml:space="preserve">In order to prevent or avoid unreliability of treatment implementation, all participants will receive the same counseling services by </w:t>
      </w:r>
      <w:r w:rsidR="00E5632E" w:rsidRPr="002A04EC">
        <w:rPr>
          <w:rFonts w:eastAsia="Arial Unicode MS"/>
        </w:rPr>
        <w:t xml:space="preserve">counselors duly trained in </w:t>
      </w:r>
      <w:r w:rsidRPr="002A04EC">
        <w:rPr>
          <w:rFonts w:eastAsia="Arial Unicode MS"/>
        </w:rPr>
        <w:t xml:space="preserve">the </w:t>
      </w:r>
      <w:r w:rsidR="00E5632E" w:rsidRPr="002A04EC">
        <w:rPr>
          <w:rFonts w:eastAsia="Arial Unicode MS"/>
        </w:rPr>
        <w:t xml:space="preserve">attachment </w:t>
      </w:r>
      <w:r w:rsidRPr="002A04EC">
        <w:rPr>
          <w:rFonts w:eastAsia="Arial Unicode MS"/>
        </w:rPr>
        <w:t>tre</w:t>
      </w:r>
      <w:r w:rsidR="00E5632E" w:rsidRPr="002A04EC">
        <w:rPr>
          <w:rFonts w:eastAsia="Arial Unicode MS"/>
        </w:rPr>
        <w:t xml:space="preserve">atment to be implemented </w:t>
      </w:r>
      <w:r w:rsidRPr="002A04EC">
        <w:rPr>
          <w:rFonts w:eastAsia="Arial Unicode MS"/>
        </w:rPr>
        <w:t>(</w:t>
      </w:r>
      <w:r w:rsidR="00BB7756" w:rsidRPr="002A04EC">
        <w:rPr>
          <w:rFonts w:eastAsia="Arial Unicode MS"/>
        </w:rPr>
        <w:t>Heppner et al, 2008, p. 141).  T</w:t>
      </w:r>
      <w:r w:rsidRPr="002A04EC">
        <w:rPr>
          <w:rFonts w:eastAsia="Arial Unicode MS"/>
        </w:rPr>
        <w:t>he extraneous variance in setting is not anticipated because all participants will receive and complete their</w:t>
      </w:r>
      <w:r w:rsidR="00E5632E" w:rsidRPr="002A04EC">
        <w:rPr>
          <w:rFonts w:eastAsia="Arial Unicode MS"/>
        </w:rPr>
        <w:t xml:space="preserve"> treatment in the same setting </w:t>
      </w:r>
      <w:r w:rsidRPr="002A04EC">
        <w:rPr>
          <w:rFonts w:eastAsia="Arial Unicode MS"/>
        </w:rPr>
        <w:t xml:space="preserve">(Heppner et al, 2008, p. 141).   The sample of the study is homogenous due to all participants being female victims of IPV experiencing depressive symptoms, this will minimize the threat of heterogeneity units (Heppner et al, 2008, p. 141).  </w:t>
      </w:r>
    </w:p>
    <w:p w14:paraId="62885D14" w14:textId="77777777" w:rsidR="00B54738" w:rsidRPr="002A04EC" w:rsidRDefault="000D17D5" w:rsidP="002A04EC">
      <w:pPr>
        <w:pStyle w:val="Body"/>
        <w:spacing w:line="480" w:lineRule="auto"/>
        <w:jc w:val="center"/>
        <w:outlineLvl w:val="0"/>
        <w:rPr>
          <w:b/>
          <w:bCs/>
        </w:rPr>
      </w:pPr>
      <w:r w:rsidRPr="002A04EC">
        <w:rPr>
          <w:b/>
          <w:bCs/>
        </w:rPr>
        <w:t>Results</w:t>
      </w:r>
    </w:p>
    <w:p w14:paraId="2467BE6E" w14:textId="46F40247" w:rsidR="00B54738" w:rsidRPr="002A04EC" w:rsidRDefault="000D17D5" w:rsidP="002A04EC">
      <w:pPr>
        <w:pStyle w:val="Body"/>
        <w:spacing w:line="480" w:lineRule="auto"/>
        <w:ind w:firstLine="720"/>
      </w:pPr>
      <w:r w:rsidRPr="002A04EC">
        <w:t xml:space="preserve">The researcher anticipates to reject the </w:t>
      </w:r>
      <w:r w:rsidR="00BB7756" w:rsidRPr="002A04EC">
        <w:t xml:space="preserve">null </w:t>
      </w:r>
      <w:r w:rsidRPr="002A04EC">
        <w:t>hypothesis that states that there is no significant effect of the high</w:t>
      </w:r>
      <w:r w:rsidR="00BB7756" w:rsidRPr="002A04EC">
        <w:t xml:space="preserve"> levels of</w:t>
      </w:r>
      <w:r w:rsidRPr="002A04EC">
        <w:t xml:space="preserve"> attachment of female victims of ongoing </w:t>
      </w:r>
      <w:r w:rsidR="006410C3" w:rsidRPr="002A04EC">
        <w:t>IPV</w:t>
      </w:r>
      <w:r w:rsidRPr="002A04EC">
        <w:t xml:space="preserve"> on their readiness to leave the abusive relationship controlling for their levels of depression in favor of the alternative hypothesis stating that after controlling for depression, there is a significant effect of the high</w:t>
      </w:r>
      <w:r w:rsidR="00BB7756" w:rsidRPr="002A04EC">
        <w:t xml:space="preserve"> levels of</w:t>
      </w:r>
      <w:r w:rsidRPr="002A04EC">
        <w:t xml:space="preserve"> attachment of female victims of ongoing </w:t>
      </w:r>
      <w:r w:rsidR="006410C3" w:rsidRPr="002A04EC">
        <w:t>IPV</w:t>
      </w:r>
      <w:r w:rsidRPr="002A04EC">
        <w:t xml:space="preserve"> on their readiness to leave the abusive relationship. </w:t>
      </w:r>
    </w:p>
    <w:p w14:paraId="3AFE1DBF" w14:textId="6FF4866F" w:rsidR="00B54738" w:rsidRPr="002A04EC" w:rsidRDefault="000D17D5" w:rsidP="002A04EC">
      <w:pPr>
        <w:pStyle w:val="Body"/>
        <w:spacing w:line="480" w:lineRule="auto"/>
        <w:ind w:firstLine="720"/>
      </w:pPr>
      <w:r w:rsidRPr="002A04EC">
        <w:t>If the findings reject the null hypothesis, then the researcher may have made a type II error decision (Heppner et al., 2015, pp. 141-142).  The researcher is predicting that the outcome finds significant support of a strong relationship between high levels of attachment being a strong predictor of no readiness to leave an IPV relationship</w:t>
      </w:r>
      <w:r w:rsidR="00BB7756" w:rsidRPr="002A04EC">
        <w:t xml:space="preserve"> after controlling for depression</w:t>
      </w:r>
      <w:r w:rsidRPr="002A04EC">
        <w:t>.</w:t>
      </w:r>
    </w:p>
    <w:p w14:paraId="41C7EAC6" w14:textId="77777777" w:rsidR="00B54738" w:rsidRPr="002A04EC" w:rsidRDefault="000D17D5" w:rsidP="002A04EC">
      <w:pPr>
        <w:pStyle w:val="Body"/>
        <w:spacing w:line="480" w:lineRule="auto"/>
        <w:jc w:val="center"/>
        <w:outlineLvl w:val="0"/>
        <w:rPr>
          <w:b/>
          <w:bCs/>
        </w:rPr>
      </w:pPr>
      <w:r w:rsidRPr="002A04EC">
        <w:rPr>
          <w:b/>
          <w:bCs/>
        </w:rPr>
        <w:t>Discussion</w:t>
      </w:r>
    </w:p>
    <w:p w14:paraId="2D868539" w14:textId="40CB3496" w:rsidR="00B54738" w:rsidRPr="002A04EC" w:rsidRDefault="000D17D5" w:rsidP="002A04EC">
      <w:pPr>
        <w:pStyle w:val="Body"/>
        <w:spacing w:line="480" w:lineRule="auto"/>
        <w:ind w:firstLine="720"/>
      </w:pPr>
      <w:r w:rsidRPr="002A04EC">
        <w:t>The strength of this study is the sample size and its homogeneity by all participants being currently in an ongoing IPV relationship.  A limitation of this study is that is conducted only in the urban area of Dalla</w:t>
      </w:r>
      <w:r w:rsidR="00B87D56" w:rsidRPr="002A04EC">
        <w:t>s/Fort Worth</w:t>
      </w:r>
      <w:r w:rsidRPr="002A04EC">
        <w:t xml:space="preserve">.  It would be </w:t>
      </w:r>
      <w:r w:rsidR="00296A6E" w:rsidRPr="002A04EC">
        <w:t>necessary</w:t>
      </w:r>
      <w:r w:rsidRPr="002A04EC">
        <w:t xml:space="preserve"> to replicate the </w:t>
      </w:r>
      <w:r w:rsidR="00296A6E" w:rsidRPr="002A04EC">
        <w:t xml:space="preserve">same </w:t>
      </w:r>
      <w:r w:rsidRPr="002A04EC">
        <w:t xml:space="preserve">study in a rural </w:t>
      </w:r>
      <w:r w:rsidRPr="002A04EC">
        <w:lastRenderedPageBreak/>
        <w:t xml:space="preserve">area and </w:t>
      </w:r>
      <w:r w:rsidR="00296A6E" w:rsidRPr="002A04EC">
        <w:t>investigate</w:t>
      </w:r>
      <w:r w:rsidRPr="002A04EC">
        <w:t xml:space="preserve"> if the findings of the study </w:t>
      </w:r>
      <w:r w:rsidR="00296A6E" w:rsidRPr="002A04EC">
        <w:t>are influenced</w:t>
      </w:r>
      <w:r w:rsidRPr="002A04EC">
        <w:t xml:space="preserve"> </w:t>
      </w:r>
      <w:r w:rsidR="00296A6E" w:rsidRPr="002A04EC">
        <w:t>by</w:t>
      </w:r>
      <w:r w:rsidRPr="002A04EC">
        <w:t xml:space="preserve"> geographical </w:t>
      </w:r>
      <w:r w:rsidR="00654B2E" w:rsidRPr="002A04EC">
        <w:t>area</w:t>
      </w:r>
      <w:r w:rsidRPr="002A04EC">
        <w:t xml:space="preserve">, socio-economic status, ethnicity </w:t>
      </w:r>
      <w:r w:rsidR="00296A6E" w:rsidRPr="002A04EC">
        <w:t>or</w:t>
      </w:r>
      <w:r w:rsidR="0081433B" w:rsidRPr="002A04EC">
        <w:t xml:space="preserve"> education.  </w:t>
      </w:r>
    </w:p>
    <w:p w14:paraId="5D8CCEFC" w14:textId="4EAD35DC" w:rsidR="00B54738" w:rsidRPr="002A04EC" w:rsidRDefault="00296A6E" w:rsidP="002A04EC">
      <w:pPr>
        <w:pStyle w:val="Body"/>
        <w:spacing w:line="480" w:lineRule="auto"/>
        <w:ind w:firstLine="720"/>
      </w:pPr>
      <w:r w:rsidRPr="002A04EC">
        <w:t xml:space="preserve">No </w:t>
      </w:r>
      <w:r w:rsidR="000D17D5" w:rsidRPr="002A04EC">
        <w:t>ethical concerns</w:t>
      </w:r>
      <w:r w:rsidRPr="002A04EC">
        <w:t xml:space="preserve"> </w:t>
      </w:r>
      <w:r w:rsidR="000D17D5" w:rsidRPr="002A04EC">
        <w:t>present a risk to the study</w:t>
      </w:r>
      <w:r w:rsidRPr="002A04EC">
        <w:t xml:space="preserve"> at the moment</w:t>
      </w:r>
      <w:r w:rsidR="000D17D5" w:rsidRPr="002A04EC">
        <w:t xml:space="preserve">.  Anticipating that the outcome of the study is clinically significant, results will provide agencies and practitioners with information that will help them develop relevant </w:t>
      </w:r>
      <w:r w:rsidRPr="002A04EC">
        <w:t>and empirically based treatment curriculums</w:t>
      </w:r>
      <w:r w:rsidR="000D17D5" w:rsidRPr="002A04EC">
        <w:t xml:space="preserve"> to address issues of attachment associated with the </w:t>
      </w:r>
      <w:r w:rsidR="00654B2E" w:rsidRPr="002A04EC">
        <w:t>victims’</w:t>
      </w:r>
      <w:r w:rsidR="000D17D5" w:rsidRPr="002A04EC">
        <w:t xml:space="preserve"> </w:t>
      </w:r>
      <w:r w:rsidRPr="002A04EC">
        <w:t>readiness to leave their abusive relationship and</w:t>
      </w:r>
      <w:r w:rsidR="00654B2E" w:rsidRPr="002A04EC">
        <w:t xml:space="preserve"> their</w:t>
      </w:r>
      <w:r w:rsidRPr="002A04EC">
        <w:t xml:space="preserve"> </w:t>
      </w:r>
      <w:r w:rsidR="000D17D5" w:rsidRPr="002A04EC">
        <w:t xml:space="preserve">choice for safety.  </w:t>
      </w:r>
    </w:p>
    <w:p w14:paraId="7DED6F90" w14:textId="77777777" w:rsidR="00B54738" w:rsidRPr="002A04EC" w:rsidRDefault="000D17D5" w:rsidP="002A04EC">
      <w:pPr>
        <w:pStyle w:val="Body"/>
        <w:spacing w:line="480" w:lineRule="auto"/>
        <w:jc w:val="center"/>
        <w:outlineLvl w:val="0"/>
        <w:rPr>
          <w:b/>
          <w:bCs/>
        </w:rPr>
      </w:pPr>
      <w:r w:rsidRPr="002A04EC">
        <w:rPr>
          <w:b/>
          <w:bCs/>
        </w:rPr>
        <w:t>Suggestion for Future Research</w:t>
      </w:r>
    </w:p>
    <w:p w14:paraId="18DDD53C" w14:textId="5D720614" w:rsidR="00B54738" w:rsidRPr="002A04EC" w:rsidRDefault="000D17D5" w:rsidP="002A04EC">
      <w:pPr>
        <w:pStyle w:val="Body"/>
        <w:spacing w:line="480" w:lineRule="auto"/>
        <w:ind w:firstLine="720"/>
      </w:pPr>
      <w:r w:rsidRPr="002A04EC">
        <w:t xml:space="preserve">Future research should investigate if attachment issues associated to parents influence the victim’s level of attachment to their romantic partner and its influence </w:t>
      </w:r>
      <w:r w:rsidR="00657FAD" w:rsidRPr="002A04EC">
        <w:t>on</w:t>
      </w:r>
      <w:r w:rsidRPr="002A04EC">
        <w:t xml:space="preserve"> their readiness to leave an IPV relationship.  After victims participate in a psychotherapeutic treatment focused on strengthening their sense of self and attachment issues; a study </w:t>
      </w:r>
      <w:r w:rsidR="00657FAD" w:rsidRPr="002A04EC">
        <w:t>sho</w:t>
      </w:r>
      <w:r w:rsidR="006F383A" w:rsidRPr="002A04EC">
        <w:t>uld</w:t>
      </w:r>
      <w:r w:rsidRPr="002A04EC">
        <w:t xml:space="preserve"> be conducted to determine the influence of this specific treatment format and observe in a longitudinal study the impact of such treatment in future romantic relationship selection and therefore its influence and impact in remaining in a relationship free from IPV.  </w:t>
      </w:r>
    </w:p>
    <w:p w14:paraId="29453D57" w14:textId="77777777" w:rsidR="00CA5FCC" w:rsidRPr="002A04EC" w:rsidRDefault="00CA5FCC" w:rsidP="002A04EC">
      <w:pPr>
        <w:spacing w:line="480" w:lineRule="auto"/>
        <w:rPr>
          <w:rFonts w:eastAsia="Times New Roman"/>
          <w:color w:val="000000"/>
          <w:u w:color="000000"/>
        </w:rPr>
      </w:pPr>
      <w:r w:rsidRPr="002A04EC">
        <w:br w:type="page"/>
      </w:r>
    </w:p>
    <w:p w14:paraId="34BCB606" w14:textId="72B1C7A7" w:rsidR="00B54738" w:rsidRDefault="000D17D5" w:rsidP="002A04EC">
      <w:pPr>
        <w:pStyle w:val="Body"/>
        <w:spacing w:line="480" w:lineRule="auto"/>
        <w:jc w:val="center"/>
      </w:pPr>
      <w:r w:rsidRPr="002A04EC">
        <w:lastRenderedPageBreak/>
        <w:t>References</w:t>
      </w:r>
    </w:p>
    <w:p w14:paraId="6E9DEC53" w14:textId="54626C13" w:rsidR="003607A5" w:rsidRPr="003607A5" w:rsidRDefault="00EB1840" w:rsidP="003607A5">
      <w:pPr>
        <w:widowControl w:val="0"/>
        <w:autoSpaceDE w:val="0"/>
        <w:autoSpaceDN w:val="0"/>
        <w:adjustRightInd w:val="0"/>
        <w:spacing w:line="480" w:lineRule="auto"/>
        <w:ind w:left="480" w:hanging="480"/>
        <w:rPr>
          <w:rFonts w:eastAsia="Times New Roman"/>
          <w:noProof/>
        </w:rPr>
      </w:pPr>
      <w:r>
        <w:fldChar w:fldCharType="begin" w:fldLock="1"/>
      </w:r>
      <w:r>
        <w:instrText xml:space="preserve">ADDIN Mendeley Bibliography CSL_BIBLIOGRAPHY </w:instrText>
      </w:r>
      <w:r>
        <w:fldChar w:fldCharType="separate"/>
      </w:r>
      <w:r w:rsidR="003607A5" w:rsidRPr="003607A5">
        <w:rPr>
          <w:rFonts w:eastAsia="Times New Roman"/>
          <w:noProof/>
        </w:rPr>
        <w:t xml:space="preserve">Bell, M. E., Goodman, L. A., &amp; Dutton, M. A. (2007). The dynamics of staying and leaving: Implications for battered women’s Emotional well-being and experiences of violence at the end of a year. </w:t>
      </w:r>
      <w:r w:rsidR="003607A5" w:rsidRPr="003607A5">
        <w:rPr>
          <w:rFonts w:eastAsia="Times New Roman"/>
          <w:i/>
          <w:iCs/>
          <w:noProof/>
        </w:rPr>
        <w:t>Journal of Family Violence</w:t>
      </w:r>
      <w:r w:rsidR="003607A5" w:rsidRPr="003607A5">
        <w:rPr>
          <w:rFonts w:eastAsia="Times New Roman"/>
          <w:noProof/>
        </w:rPr>
        <w:t xml:space="preserve">, </w:t>
      </w:r>
      <w:r w:rsidR="003607A5" w:rsidRPr="003607A5">
        <w:rPr>
          <w:rFonts w:eastAsia="Times New Roman"/>
          <w:i/>
          <w:iCs/>
          <w:noProof/>
        </w:rPr>
        <w:t>22</w:t>
      </w:r>
      <w:r w:rsidR="003607A5" w:rsidRPr="003607A5">
        <w:rPr>
          <w:rFonts w:eastAsia="Times New Roman"/>
          <w:noProof/>
        </w:rPr>
        <w:t>(6), 413–428. http://doi.org/10.1007/s10896-007-9096-9</w:t>
      </w:r>
    </w:p>
    <w:p w14:paraId="3B802576" w14:textId="77777777" w:rsidR="003607A5" w:rsidRPr="003607A5" w:rsidRDefault="003607A5" w:rsidP="003607A5">
      <w:pPr>
        <w:widowControl w:val="0"/>
        <w:autoSpaceDE w:val="0"/>
        <w:autoSpaceDN w:val="0"/>
        <w:adjustRightInd w:val="0"/>
        <w:spacing w:line="480" w:lineRule="auto"/>
        <w:ind w:left="480" w:hanging="480"/>
        <w:rPr>
          <w:rFonts w:eastAsia="Times New Roman"/>
          <w:noProof/>
        </w:rPr>
      </w:pPr>
      <w:r w:rsidRPr="003607A5">
        <w:rPr>
          <w:rFonts w:eastAsia="Times New Roman"/>
          <w:noProof/>
        </w:rPr>
        <w:t xml:space="preserve">Binkley, E. (2013). Creative strategies for treating victims of domestic violence. </w:t>
      </w:r>
      <w:r w:rsidRPr="003607A5">
        <w:rPr>
          <w:rFonts w:eastAsia="Times New Roman"/>
          <w:i/>
          <w:iCs/>
          <w:noProof/>
        </w:rPr>
        <w:t>Journal of Creativity in Mental Health</w:t>
      </w:r>
      <w:r w:rsidRPr="003607A5">
        <w:rPr>
          <w:rFonts w:eastAsia="Times New Roman"/>
          <w:noProof/>
        </w:rPr>
        <w:t xml:space="preserve">, </w:t>
      </w:r>
      <w:r w:rsidRPr="003607A5">
        <w:rPr>
          <w:rFonts w:eastAsia="Times New Roman"/>
          <w:i/>
          <w:iCs/>
          <w:noProof/>
        </w:rPr>
        <w:t>8</w:t>
      </w:r>
      <w:r w:rsidRPr="003607A5">
        <w:rPr>
          <w:rFonts w:eastAsia="Times New Roman"/>
          <w:noProof/>
        </w:rPr>
        <w:t>(3), 305–313. http://doi.org/http://dx.doi.org/10.1080/15401383.2013.821932</w:t>
      </w:r>
    </w:p>
    <w:p w14:paraId="3E29FCB4" w14:textId="77777777" w:rsidR="003607A5" w:rsidRPr="003607A5" w:rsidRDefault="003607A5" w:rsidP="003607A5">
      <w:pPr>
        <w:widowControl w:val="0"/>
        <w:autoSpaceDE w:val="0"/>
        <w:autoSpaceDN w:val="0"/>
        <w:adjustRightInd w:val="0"/>
        <w:spacing w:line="480" w:lineRule="auto"/>
        <w:ind w:left="480" w:hanging="480"/>
        <w:rPr>
          <w:rFonts w:eastAsia="Times New Roman"/>
          <w:noProof/>
        </w:rPr>
      </w:pPr>
      <w:r w:rsidRPr="003607A5">
        <w:rPr>
          <w:rFonts w:eastAsia="Times New Roman"/>
          <w:noProof/>
        </w:rPr>
        <w:t xml:space="preserve">Gezen, M., &amp; Oral, E. T. (2013). Attachment styles and degree of the psychological symptoms in women staying in a shelter for battered women or in their home where they were exposed to violence. </w:t>
      </w:r>
      <w:r w:rsidRPr="003607A5">
        <w:rPr>
          <w:rFonts w:eastAsia="Times New Roman"/>
          <w:i/>
          <w:iCs/>
          <w:noProof/>
        </w:rPr>
        <w:t>Dusunen Adam</w:t>
      </w:r>
      <w:r w:rsidRPr="003607A5">
        <w:rPr>
          <w:rFonts w:eastAsia="Times New Roman"/>
          <w:noProof/>
        </w:rPr>
        <w:t xml:space="preserve">, </w:t>
      </w:r>
      <w:r w:rsidRPr="003607A5">
        <w:rPr>
          <w:rFonts w:eastAsia="Times New Roman"/>
          <w:i/>
          <w:iCs/>
          <w:noProof/>
        </w:rPr>
        <w:t>26</w:t>
      </w:r>
      <w:r w:rsidRPr="003607A5">
        <w:rPr>
          <w:rFonts w:eastAsia="Times New Roman"/>
          <w:noProof/>
        </w:rPr>
        <w:t>(1), 65–71. http://doi.org/10.5350/DAJPN2013260107</w:t>
      </w:r>
    </w:p>
    <w:p w14:paraId="6BD06140" w14:textId="77777777" w:rsidR="003607A5" w:rsidRPr="003607A5" w:rsidRDefault="003607A5" w:rsidP="003607A5">
      <w:pPr>
        <w:widowControl w:val="0"/>
        <w:autoSpaceDE w:val="0"/>
        <w:autoSpaceDN w:val="0"/>
        <w:adjustRightInd w:val="0"/>
        <w:spacing w:line="480" w:lineRule="auto"/>
        <w:ind w:left="480" w:hanging="480"/>
        <w:rPr>
          <w:rFonts w:eastAsia="Times New Roman"/>
          <w:noProof/>
        </w:rPr>
      </w:pPr>
      <w:r w:rsidRPr="003607A5">
        <w:rPr>
          <w:rFonts w:eastAsia="Times New Roman"/>
          <w:noProof/>
        </w:rPr>
        <w:t xml:space="preserve">Griffing, S., Ragin, D. F., Sage, R. E., Madry, L., Bingham, L. E., &amp; Primm, B. J. (2002). Domestic Violence Survivors’ Self-Identified Reasons for Returning to Abusive Relationships. </w:t>
      </w:r>
      <w:r w:rsidRPr="003607A5">
        <w:rPr>
          <w:rFonts w:eastAsia="Times New Roman"/>
          <w:i/>
          <w:iCs/>
          <w:noProof/>
        </w:rPr>
        <w:t>Journal of Interpersonal Violence</w:t>
      </w:r>
      <w:r w:rsidRPr="003607A5">
        <w:rPr>
          <w:rFonts w:eastAsia="Times New Roman"/>
          <w:noProof/>
        </w:rPr>
        <w:t xml:space="preserve">, </w:t>
      </w:r>
      <w:r w:rsidRPr="003607A5">
        <w:rPr>
          <w:rFonts w:eastAsia="Times New Roman"/>
          <w:i/>
          <w:iCs/>
          <w:noProof/>
        </w:rPr>
        <w:t>17</w:t>
      </w:r>
      <w:r w:rsidRPr="003607A5">
        <w:rPr>
          <w:rFonts w:eastAsia="Times New Roman"/>
          <w:noProof/>
        </w:rPr>
        <w:t>(3), 306–319. http://doi.org/10.1177/0886260502017003005</w:t>
      </w:r>
    </w:p>
    <w:p w14:paraId="342FC89D" w14:textId="77777777" w:rsidR="003607A5" w:rsidRPr="003607A5" w:rsidRDefault="003607A5" w:rsidP="003607A5">
      <w:pPr>
        <w:widowControl w:val="0"/>
        <w:autoSpaceDE w:val="0"/>
        <w:autoSpaceDN w:val="0"/>
        <w:adjustRightInd w:val="0"/>
        <w:spacing w:line="480" w:lineRule="auto"/>
        <w:ind w:left="480" w:hanging="480"/>
        <w:rPr>
          <w:rFonts w:eastAsia="Times New Roman"/>
          <w:noProof/>
        </w:rPr>
      </w:pPr>
      <w:r w:rsidRPr="003607A5">
        <w:rPr>
          <w:rFonts w:eastAsia="Times New Roman"/>
          <w:noProof/>
        </w:rPr>
        <w:t xml:space="preserve">Hazen, A. L., Connelly, C. D., Soriano, F. I., &amp; Landsverk, J. a. (2008). Intimate partner violence and psychological functioning in Latina women. </w:t>
      </w:r>
      <w:r w:rsidRPr="003607A5">
        <w:rPr>
          <w:rFonts w:eastAsia="Times New Roman"/>
          <w:i/>
          <w:iCs/>
          <w:noProof/>
        </w:rPr>
        <w:t>Health Care for Women International</w:t>
      </w:r>
      <w:r w:rsidRPr="003607A5">
        <w:rPr>
          <w:rFonts w:eastAsia="Times New Roman"/>
          <w:noProof/>
        </w:rPr>
        <w:t xml:space="preserve">, </w:t>
      </w:r>
      <w:r w:rsidRPr="003607A5">
        <w:rPr>
          <w:rFonts w:eastAsia="Times New Roman"/>
          <w:i/>
          <w:iCs/>
          <w:noProof/>
        </w:rPr>
        <w:t>29</w:t>
      </w:r>
      <w:r w:rsidRPr="003607A5">
        <w:rPr>
          <w:rFonts w:eastAsia="Times New Roman"/>
          <w:noProof/>
        </w:rPr>
        <w:t>(3), 282–299. http://doi.org/10.1080/07399330701738358</w:t>
      </w:r>
    </w:p>
    <w:p w14:paraId="28300C53" w14:textId="77777777" w:rsidR="003607A5" w:rsidRDefault="003607A5" w:rsidP="003607A5">
      <w:pPr>
        <w:widowControl w:val="0"/>
        <w:autoSpaceDE w:val="0"/>
        <w:autoSpaceDN w:val="0"/>
        <w:adjustRightInd w:val="0"/>
        <w:spacing w:line="480" w:lineRule="auto"/>
        <w:ind w:left="480" w:hanging="480"/>
        <w:rPr>
          <w:rFonts w:eastAsia="Times New Roman"/>
          <w:noProof/>
        </w:rPr>
      </w:pPr>
      <w:r w:rsidRPr="003607A5">
        <w:rPr>
          <w:rFonts w:eastAsia="Times New Roman"/>
          <w:noProof/>
        </w:rPr>
        <w:t xml:space="preserve">Hendy, H. M., Eggen, D., Gustitus, C., McLeod, K. C., &amp; Ng, P. (2003). Decision to leave scale: Perceived reasons to stay in or leave violent relationships. </w:t>
      </w:r>
      <w:r w:rsidRPr="003607A5">
        <w:rPr>
          <w:rFonts w:eastAsia="Times New Roman"/>
          <w:i/>
          <w:iCs/>
          <w:noProof/>
        </w:rPr>
        <w:t>Psychology of Women Quarterly</w:t>
      </w:r>
      <w:r w:rsidRPr="003607A5">
        <w:rPr>
          <w:rFonts w:eastAsia="Times New Roman"/>
          <w:noProof/>
        </w:rPr>
        <w:t xml:space="preserve">, </w:t>
      </w:r>
      <w:r w:rsidRPr="003607A5">
        <w:rPr>
          <w:rFonts w:eastAsia="Times New Roman"/>
          <w:i/>
          <w:iCs/>
          <w:noProof/>
        </w:rPr>
        <w:t>27</w:t>
      </w:r>
      <w:r w:rsidRPr="003607A5">
        <w:rPr>
          <w:rFonts w:eastAsia="Times New Roman"/>
          <w:noProof/>
        </w:rPr>
        <w:t>(2), 162–173. http://doi.org/10.1111/1471-6402.00096</w:t>
      </w:r>
    </w:p>
    <w:p w14:paraId="0C6D387F" w14:textId="77777777" w:rsidR="008C4C9B" w:rsidRPr="00050F3A" w:rsidRDefault="008C4C9B" w:rsidP="008C4C9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eastAsia="Times New Roman"/>
          <w:bdr w:val="none" w:sz="0" w:space="0" w:color="auto"/>
        </w:rPr>
      </w:pPr>
      <w:r>
        <w:rPr>
          <w:rFonts w:eastAsia="Times New Roman"/>
          <w:bdr w:val="none" w:sz="0" w:space="0" w:color="auto"/>
        </w:rPr>
        <w:t>Heppner, P. P., Wampold, B.E., Owen, J., Thompson, M.N.</w:t>
      </w:r>
      <w:r w:rsidRPr="009159D6">
        <w:rPr>
          <w:rFonts w:eastAsia="Times New Roman"/>
          <w:bdr w:val="none" w:sz="0" w:space="0" w:color="auto"/>
        </w:rPr>
        <w:t xml:space="preserve">, &amp; </w:t>
      </w:r>
      <w:r>
        <w:rPr>
          <w:rFonts w:eastAsia="Times New Roman"/>
          <w:bdr w:val="none" w:sz="0" w:space="0" w:color="auto"/>
        </w:rPr>
        <w:t>Wang, K.T. (2015</w:t>
      </w:r>
      <w:r w:rsidRPr="009159D6">
        <w:rPr>
          <w:rFonts w:eastAsia="Times New Roman"/>
          <w:bdr w:val="none" w:sz="0" w:space="0" w:color="auto"/>
        </w:rPr>
        <w:t xml:space="preserve">). </w:t>
      </w:r>
      <w:r w:rsidRPr="009159D6">
        <w:rPr>
          <w:rFonts w:eastAsia="Times New Roman"/>
          <w:i/>
          <w:iCs/>
          <w:bdr w:val="none" w:sz="0" w:space="0" w:color="auto"/>
        </w:rPr>
        <w:t>Research design in counseling</w:t>
      </w:r>
      <w:r>
        <w:rPr>
          <w:rFonts w:eastAsia="Times New Roman"/>
          <w:i/>
          <w:iCs/>
          <w:bdr w:val="none" w:sz="0" w:space="0" w:color="auto"/>
        </w:rPr>
        <w:t xml:space="preserve"> 4</w:t>
      </w:r>
      <w:r w:rsidRPr="0066266A">
        <w:rPr>
          <w:rFonts w:eastAsia="Times New Roman"/>
          <w:i/>
          <w:iCs/>
          <w:bdr w:val="none" w:sz="0" w:space="0" w:color="auto"/>
          <w:vertAlign w:val="superscript"/>
        </w:rPr>
        <w:t>th</w:t>
      </w:r>
      <w:r>
        <w:rPr>
          <w:rFonts w:eastAsia="Times New Roman"/>
          <w:i/>
          <w:iCs/>
          <w:bdr w:val="none" w:sz="0" w:space="0" w:color="auto"/>
        </w:rPr>
        <w:t xml:space="preserve"> edition</w:t>
      </w:r>
      <w:r w:rsidRPr="009159D6">
        <w:rPr>
          <w:rFonts w:eastAsia="Times New Roman"/>
          <w:bdr w:val="none" w:sz="0" w:space="0" w:color="auto"/>
        </w:rPr>
        <w:t xml:space="preserve">. </w:t>
      </w:r>
      <w:r>
        <w:rPr>
          <w:rFonts w:eastAsia="Times New Roman"/>
          <w:bdr w:val="none" w:sz="0" w:space="0" w:color="auto"/>
        </w:rPr>
        <w:t>Boston, MA.</w:t>
      </w:r>
      <w:r w:rsidRPr="009159D6">
        <w:rPr>
          <w:rFonts w:eastAsia="Times New Roman"/>
          <w:bdr w:val="none" w:sz="0" w:space="0" w:color="auto"/>
        </w:rPr>
        <w:t xml:space="preserve"> </w:t>
      </w:r>
      <w:r>
        <w:rPr>
          <w:rFonts w:eastAsia="Times New Roman"/>
          <w:bdr w:val="none" w:sz="0" w:space="0" w:color="auto"/>
        </w:rPr>
        <w:t>Cengage Learning</w:t>
      </w:r>
      <w:r w:rsidRPr="009159D6">
        <w:rPr>
          <w:rFonts w:eastAsia="Times New Roman"/>
          <w:bdr w:val="none" w:sz="0" w:space="0" w:color="auto"/>
        </w:rPr>
        <w:t xml:space="preserve">. </w:t>
      </w:r>
    </w:p>
    <w:p w14:paraId="551D200D" w14:textId="77777777" w:rsidR="008C4C9B" w:rsidRPr="002A04EC" w:rsidRDefault="008C4C9B" w:rsidP="008C4C9B">
      <w:pPr>
        <w:widowControl w:val="0"/>
        <w:autoSpaceDE w:val="0"/>
        <w:autoSpaceDN w:val="0"/>
        <w:adjustRightInd w:val="0"/>
        <w:spacing w:line="480" w:lineRule="auto"/>
        <w:ind w:left="720" w:hanging="720"/>
      </w:pPr>
      <w:r w:rsidRPr="002A04EC">
        <w:lastRenderedPageBreak/>
        <w:t xml:space="preserve">Karakoç, B., Gülseren, L., Çam, C.,  Gülseren, S., Tenekeci̇, N., Mete, L. (2015). </w:t>
      </w:r>
      <w:r w:rsidRPr="002A04EC">
        <w:rPr>
          <w:color w:val="000000" w:themeColor="text1"/>
        </w:rPr>
        <w:t xml:space="preserve">Prevalence of Intimate Partner Violence and Associated Factors, </w:t>
      </w:r>
      <w:r w:rsidRPr="002A04EC">
        <w:rPr>
          <w:i/>
          <w:color w:val="000000" w:themeColor="text1"/>
        </w:rPr>
        <w:t xml:space="preserve">Noro Psykyatri Arsivi. </w:t>
      </w:r>
      <w:r w:rsidRPr="002A04EC">
        <w:rPr>
          <w:color w:val="000000" w:themeColor="text1"/>
        </w:rPr>
        <w:t xml:space="preserve">(52) 324-330. </w:t>
      </w:r>
      <w:r w:rsidRPr="002A04EC">
        <w:t xml:space="preserve">DOI: 10.5152/npa.2015.7535 </w:t>
      </w:r>
    </w:p>
    <w:p w14:paraId="56558519" w14:textId="77777777" w:rsidR="003607A5" w:rsidRPr="003607A5" w:rsidRDefault="003607A5" w:rsidP="003607A5">
      <w:pPr>
        <w:widowControl w:val="0"/>
        <w:autoSpaceDE w:val="0"/>
        <w:autoSpaceDN w:val="0"/>
        <w:adjustRightInd w:val="0"/>
        <w:spacing w:line="480" w:lineRule="auto"/>
        <w:ind w:left="480" w:hanging="480"/>
        <w:rPr>
          <w:rFonts w:eastAsia="Times New Roman"/>
          <w:noProof/>
        </w:rPr>
      </w:pPr>
      <w:r w:rsidRPr="003607A5">
        <w:rPr>
          <w:rFonts w:eastAsia="Times New Roman"/>
          <w:noProof/>
        </w:rPr>
        <w:t xml:space="preserve">Kuijpers, K. F., van der Knaap, L. M., &amp; Winkel, F. W. (2012). Risk of Revictimization of Intimate Partner Violence: The Role of Attachment, Anger and Violent Behavior of the Victim. </w:t>
      </w:r>
      <w:r w:rsidRPr="003607A5">
        <w:rPr>
          <w:rFonts w:eastAsia="Times New Roman"/>
          <w:i/>
          <w:iCs/>
          <w:noProof/>
        </w:rPr>
        <w:t>Journal of Family Violence</w:t>
      </w:r>
      <w:r w:rsidRPr="003607A5">
        <w:rPr>
          <w:rFonts w:eastAsia="Times New Roman"/>
          <w:noProof/>
        </w:rPr>
        <w:t xml:space="preserve">, </w:t>
      </w:r>
      <w:r w:rsidRPr="003607A5">
        <w:rPr>
          <w:rFonts w:eastAsia="Times New Roman"/>
          <w:i/>
          <w:iCs/>
          <w:noProof/>
        </w:rPr>
        <w:t>27</w:t>
      </w:r>
      <w:r w:rsidRPr="003607A5">
        <w:rPr>
          <w:rFonts w:eastAsia="Times New Roman"/>
          <w:noProof/>
        </w:rPr>
        <w:t>(1), 33–44. http://doi.org/10.1007/s10896-011-9399-8</w:t>
      </w:r>
    </w:p>
    <w:p w14:paraId="29DFEBB9" w14:textId="77777777" w:rsidR="003607A5" w:rsidRPr="003607A5" w:rsidRDefault="003607A5" w:rsidP="003607A5">
      <w:pPr>
        <w:widowControl w:val="0"/>
        <w:autoSpaceDE w:val="0"/>
        <w:autoSpaceDN w:val="0"/>
        <w:adjustRightInd w:val="0"/>
        <w:spacing w:line="480" w:lineRule="auto"/>
        <w:ind w:left="480" w:hanging="480"/>
        <w:rPr>
          <w:rFonts w:eastAsia="Times New Roman"/>
          <w:noProof/>
        </w:rPr>
      </w:pPr>
      <w:r w:rsidRPr="003607A5">
        <w:rPr>
          <w:rFonts w:eastAsia="Times New Roman"/>
          <w:noProof/>
        </w:rPr>
        <w:t xml:space="preserve">Rhodes, K. V., Cerulli, C., Dichter, M. E., Kothari, C. L., &amp; Barg, F. K. (2010). “I didn’t want to put them through that”: The influence of children on victim decision-making in intimate partner violence cases. </w:t>
      </w:r>
      <w:r w:rsidRPr="003607A5">
        <w:rPr>
          <w:rFonts w:eastAsia="Times New Roman"/>
          <w:i/>
          <w:iCs/>
          <w:noProof/>
        </w:rPr>
        <w:t>Journal of Family Violence</w:t>
      </w:r>
      <w:r w:rsidRPr="003607A5">
        <w:rPr>
          <w:rFonts w:eastAsia="Times New Roman"/>
          <w:noProof/>
        </w:rPr>
        <w:t xml:space="preserve">, </w:t>
      </w:r>
      <w:r w:rsidRPr="003607A5">
        <w:rPr>
          <w:rFonts w:eastAsia="Times New Roman"/>
          <w:i/>
          <w:iCs/>
          <w:noProof/>
        </w:rPr>
        <w:t>25</w:t>
      </w:r>
      <w:r w:rsidRPr="003607A5">
        <w:rPr>
          <w:rFonts w:eastAsia="Times New Roman"/>
          <w:noProof/>
        </w:rPr>
        <w:t>(5), 485–493. http://doi.org/10.1007/s10896-010-9310-z</w:t>
      </w:r>
    </w:p>
    <w:p w14:paraId="0E62D14E" w14:textId="77777777" w:rsidR="003607A5" w:rsidRPr="003607A5" w:rsidRDefault="003607A5" w:rsidP="003607A5">
      <w:pPr>
        <w:widowControl w:val="0"/>
        <w:autoSpaceDE w:val="0"/>
        <w:autoSpaceDN w:val="0"/>
        <w:adjustRightInd w:val="0"/>
        <w:spacing w:line="480" w:lineRule="auto"/>
        <w:ind w:left="480" w:hanging="480"/>
        <w:rPr>
          <w:rFonts w:eastAsia="Times New Roman"/>
          <w:noProof/>
        </w:rPr>
      </w:pPr>
      <w:r w:rsidRPr="003607A5">
        <w:rPr>
          <w:rFonts w:eastAsia="Times New Roman"/>
          <w:noProof/>
        </w:rPr>
        <w:t xml:space="preserve">Riggs, S. a., &amp; Kaminski, P. (2010). Childhood Emotional Abuse, Adult Attachment, and Depression as Predictors of Relational Adjustment and Psychological Aggression. </w:t>
      </w:r>
      <w:r w:rsidRPr="003607A5">
        <w:rPr>
          <w:rFonts w:eastAsia="Times New Roman"/>
          <w:i/>
          <w:iCs/>
          <w:noProof/>
        </w:rPr>
        <w:t>Journal of Aggression, Maltreatment &amp; Trauma</w:t>
      </w:r>
      <w:r w:rsidRPr="003607A5">
        <w:rPr>
          <w:rFonts w:eastAsia="Times New Roman"/>
          <w:noProof/>
        </w:rPr>
        <w:t xml:space="preserve">, </w:t>
      </w:r>
      <w:r w:rsidRPr="003607A5">
        <w:rPr>
          <w:rFonts w:eastAsia="Times New Roman"/>
          <w:i/>
          <w:iCs/>
          <w:noProof/>
        </w:rPr>
        <w:t>19</w:t>
      </w:r>
      <w:r w:rsidRPr="003607A5">
        <w:rPr>
          <w:rFonts w:eastAsia="Times New Roman"/>
          <w:noProof/>
        </w:rPr>
        <w:t>(1), 75–104. http://doi.org/10.1080/10926770903475976</w:t>
      </w:r>
    </w:p>
    <w:p w14:paraId="0004608D" w14:textId="77777777" w:rsidR="003607A5" w:rsidRPr="003607A5" w:rsidRDefault="003607A5" w:rsidP="003607A5">
      <w:pPr>
        <w:widowControl w:val="0"/>
        <w:autoSpaceDE w:val="0"/>
        <w:autoSpaceDN w:val="0"/>
        <w:adjustRightInd w:val="0"/>
        <w:spacing w:line="480" w:lineRule="auto"/>
        <w:ind w:left="480" w:hanging="480"/>
        <w:rPr>
          <w:rFonts w:eastAsia="Times New Roman"/>
          <w:noProof/>
        </w:rPr>
      </w:pPr>
      <w:r w:rsidRPr="003607A5">
        <w:rPr>
          <w:rFonts w:eastAsia="Times New Roman"/>
          <w:noProof/>
        </w:rPr>
        <w:t xml:space="preserve">Shurman, L. a, &amp; Rodriguez, C. M. (2006). Cognitive-affective predictors of women’s readiness to end domestic violence relationships. </w:t>
      </w:r>
      <w:r w:rsidRPr="003607A5">
        <w:rPr>
          <w:rFonts w:eastAsia="Times New Roman"/>
          <w:i/>
          <w:iCs/>
          <w:noProof/>
        </w:rPr>
        <w:t>Journal of Interpersonal Violence</w:t>
      </w:r>
      <w:r w:rsidRPr="003607A5">
        <w:rPr>
          <w:rFonts w:eastAsia="Times New Roman"/>
          <w:noProof/>
        </w:rPr>
        <w:t xml:space="preserve">, </w:t>
      </w:r>
      <w:r w:rsidRPr="003607A5">
        <w:rPr>
          <w:rFonts w:eastAsia="Times New Roman"/>
          <w:i/>
          <w:iCs/>
          <w:noProof/>
        </w:rPr>
        <w:t>21</w:t>
      </w:r>
      <w:r w:rsidRPr="003607A5">
        <w:rPr>
          <w:rFonts w:eastAsia="Times New Roman"/>
          <w:noProof/>
        </w:rPr>
        <w:t>(11), 1417–1439. http://doi.org/10.1177/0886260506292993</w:t>
      </w:r>
    </w:p>
    <w:p w14:paraId="42F8B213" w14:textId="77777777" w:rsidR="003607A5" w:rsidRPr="003607A5" w:rsidRDefault="003607A5" w:rsidP="003607A5">
      <w:pPr>
        <w:widowControl w:val="0"/>
        <w:autoSpaceDE w:val="0"/>
        <w:autoSpaceDN w:val="0"/>
        <w:adjustRightInd w:val="0"/>
        <w:spacing w:line="480" w:lineRule="auto"/>
        <w:ind w:left="480" w:hanging="480"/>
        <w:rPr>
          <w:rFonts w:eastAsia="Times New Roman"/>
          <w:noProof/>
        </w:rPr>
      </w:pPr>
      <w:r w:rsidRPr="003607A5">
        <w:rPr>
          <w:rFonts w:eastAsia="Times New Roman"/>
          <w:noProof/>
        </w:rPr>
        <w:t xml:space="preserve">Smith, M., Nunley, B., &amp; Martin, E. (2013). Intimate partner violence and the meaning of love. </w:t>
      </w:r>
      <w:r w:rsidRPr="003607A5">
        <w:rPr>
          <w:rFonts w:eastAsia="Times New Roman"/>
          <w:i/>
          <w:iCs/>
          <w:noProof/>
        </w:rPr>
        <w:t>Issues in Mental Health Nursing</w:t>
      </w:r>
      <w:r w:rsidRPr="003607A5">
        <w:rPr>
          <w:rFonts w:eastAsia="Times New Roman"/>
          <w:noProof/>
        </w:rPr>
        <w:t xml:space="preserve">, </w:t>
      </w:r>
      <w:r w:rsidRPr="003607A5">
        <w:rPr>
          <w:rFonts w:eastAsia="Times New Roman"/>
          <w:i/>
          <w:iCs/>
          <w:noProof/>
        </w:rPr>
        <w:t>34</w:t>
      </w:r>
      <w:r w:rsidRPr="003607A5">
        <w:rPr>
          <w:rFonts w:eastAsia="Times New Roman"/>
          <w:noProof/>
        </w:rPr>
        <w:t>(2006), 395–401. http://doi.org/10.3109/01612840.2012.762960</w:t>
      </w:r>
    </w:p>
    <w:p w14:paraId="59D46D3A" w14:textId="77777777" w:rsidR="003607A5" w:rsidRPr="003607A5" w:rsidRDefault="003607A5" w:rsidP="003607A5">
      <w:pPr>
        <w:widowControl w:val="0"/>
        <w:autoSpaceDE w:val="0"/>
        <w:autoSpaceDN w:val="0"/>
        <w:adjustRightInd w:val="0"/>
        <w:spacing w:line="480" w:lineRule="auto"/>
        <w:ind w:left="480" w:hanging="480"/>
        <w:rPr>
          <w:rFonts w:eastAsia="Times New Roman"/>
          <w:noProof/>
        </w:rPr>
      </w:pPr>
      <w:r w:rsidRPr="003607A5">
        <w:rPr>
          <w:rFonts w:eastAsia="Times New Roman"/>
          <w:noProof/>
        </w:rPr>
        <w:t xml:space="preserve">Wang, Y. P., &amp; Gorenstein, C. (2013). Psychometric properties of the Beck Depression Inventory-II: A comprehensive review. </w:t>
      </w:r>
      <w:r w:rsidRPr="003607A5">
        <w:rPr>
          <w:rFonts w:eastAsia="Times New Roman"/>
          <w:i/>
          <w:iCs/>
          <w:noProof/>
        </w:rPr>
        <w:t>Revista Brasileira de Psiquiatria</w:t>
      </w:r>
      <w:r w:rsidRPr="003607A5">
        <w:rPr>
          <w:rFonts w:eastAsia="Times New Roman"/>
          <w:noProof/>
        </w:rPr>
        <w:t xml:space="preserve">. </w:t>
      </w:r>
      <w:r w:rsidRPr="003607A5">
        <w:rPr>
          <w:rFonts w:eastAsia="Times New Roman"/>
          <w:noProof/>
        </w:rPr>
        <w:lastRenderedPageBreak/>
        <w:t>http://doi.org/10.1590/1516-4446-2012-1048</w:t>
      </w:r>
    </w:p>
    <w:p w14:paraId="456F281B" w14:textId="77777777" w:rsidR="003607A5" w:rsidRPr="003607A5" w:rsidRDefault="003607A5" w:rsidP="003607A5">
      <w:pPr>
        <w:widowControl w:val="0"/>
        <w:autoSpaceDE w:val="0"/>
        <w:autoSpaceDN w:val="0"/>
        <w:adjustRightInd w:val="0"/>
        <w:spacing w:line="480" w:lineRule="auto"/>
        <w:ind w:left="480" w:hanging="480"/>
        <w:rPr>
          <w:noProof/>
        </w:rPr>
      </w:pPr>
      <w:r w:rsidRPr="003607A5">
        <w:rPr>
          <w:rFonts w:eastAsia="Times New Roman"/>
          <w:noProof/>
        </w:rPr>
        <w:t xml:space="preserve">Wei, M., Russell, D. W., Mallinckrodt, B., &amp; Vogel, D. L. (2007). The Experiences in Close Relationship Scale (ECR)-Short Form: Reliability, Validity, and Factor Structure. </w:t>
      </w:r>
      <w:r w:rsidRPr="003607A5">
        <w:rPr>
          <w:rFonts w:eastAsia="Times New Roman"/>
          <w:i/>
          <w:iCs/>
          <w:noProof/>
        </w:rPr>
        <w:t>Journal of Personality Assessment</w:t>
      </w:r>
      <w:r w:rsidRPr="003607A5">
        <w:rPr>
          <w:rFonts w:eastAsia="Times New Roman"/>
          <w:noProof/>
        </w:rPr>
        <w:t xml:space="preserve">, </w:t>
      </w:r>
      <w:r w:rsidRPr="003607A5">
        <w:rPr>
          <w:rFonts w:eastAsia="Times New Roman"/>
          <w:i/>
          <w:iCs/>
          <w:noProof/>
        </w:rPr>
        <w:t>88</w:t>
      </w:r>
      <w:r w:rsidRPr="003607A5">
        <w:rPr>
          <w:rFonts w:eastAsia="Times New Roman"/>
          <w:noProof/>
        </w:rPr>
        <w:t>(2), 187–204. http://doi.org/10.1080/00223890701268041</w:t>
      </w:r>
    </w:p>
    <w:p w14:paraId="65293A7B" w14:textId="08031A9F" w:rsidR="00926569" w:rsidRDefault="00EB1840" w:rsidP="003607A5">
      <w:pPr>
        <w:widowControl w:val="0"/>
        <w:autoSpaceDE w:val="0"/>
        <w:autoSpaceDN w:val="0"/>
        <w:adjustRightInd w:val="0"/>
        <w:spacing w:line="480" w:lineRule="auto"/>
        <w:ind w:left="480" w:hanging="480"/>
      </w:pPr>
      <w:r>
        <w:fldChar w:fldCharType="end"/>
      </w:r>
    </w:p>
    <w:p w14:paraId="272D709B" w14:textId="77777777" w:rsidR="00926569" w:rsidRDefault="00926569">
      <w:pPr>
        <w:rPr>
          <w:rFonts w:eastAsia="Times New Roman"/>
          <w:color w:val="000000"/>
          <w:u w:color="000000"/>
        </w:rPr>
      </w:pPr>
      <w:r>
        <w:br w:type="page"/>
      </w:r>
    </w:p>
    <w:p w14:paraId="7536FDBA" w14:textId="77777777" w:rsidR="002513F1" w:rsidRPr="007D5080" w:rsidRDefault="002513F1" w:rsidP="002513F1">
      <w:pPr>
        <w:jc w:val="center"/>
        <w:rPr>
          <w:b/>
          <w:color w:val="000000" w:themeColor="text1"/>
        </w:rPr>
      </w:pPr>
      <w:r w:rsidRPr="007D5080">
        <w:rPr>
          <w:b/>
          <w:color w:val="000000" w:themeColor="text1"/>
        </w:rPr>
        <w:lastRenderedPageBreak/>
        <w:t>Appendix A</w:t>
      </w:r>
    </w:p>
    <w:p w14:paraId="59B0B7FD" w14:textId="77777777" w:rsidR="002513F1" w:rsidRPr="007D5080" w:rsidRDefault="002513F1" w:rsidP="002513F1">
      <w:pPr>
        <w:rPr>
          <w:color w:val="000000" w:themeColor="text1"/>
        </w:rPr>
      </w:pPr>
    </w:p>
    <w:tbl>
      <w:tblPr>
        <w:tblW w:w="9345" w:type="dxa"/>
        <w:tblInd w:w="93" w:type="dxa"/>
        <w:tblLayout w:type="fixed"/>
        <w:tblLook w:val="04A0" w:firstRow="1" w:lastRow="0" w:firstColumn="1" w:lastColumn="0" w:noHBand="0" w:noVBand="1"/>
      </w:tblPr>
      <w:tblGrid>
        <w:gridCol w:w="2337"/>
        <w:gridCol w:w="2531"/>
        <w:gridCol w:w="4477"/>
      </w:tblGrid>
      <w:tr w:rsidR="002513F1" w:rsidRPr="007D5080" w14:paraId="3CC57FB6" w14:textId="77777777" w:rsidTr="00E355C5">
        <w:trPr>
          <w:trHeight w:val="531"/>
        </w:trPr>
        <w:tc>
          <w:tcPr>
            <w:tcW w:w="2337" w:type="dxa"/>
            <w:tcBorders>
              <w:top w:val="nil"/>
              <w:left w:val="nil"/>
              <w:bottom w:val="nil"/>
              <w:right w:val="nil"/>
            </w:tcBorders>
            <w:shd w:val="clear" w:color="auto" w:fill="auto"/>
            <w:noWrap/>
            <w:vAlign w:val="center"/>
            <w:hideMark/>
          </w:tcPr>
          <w:p w14:paraId="6B8F42A5" w14:textId="77777777" w:rsidR="002513F1" w:rsidRPr="007D5080" w:rsidRDefault="002513F1" w:rsidP="00E355C5">
            <w:pPr>
              <w:rPr>
                <w:color w:val="000000" w:themeColor="text1"/>
              </w:rPr>
            </w:pPr>
            <w:r w:rsidRPr="007D5080">
              <w:rPr>
                <w:color w:val="000000" w:themeColor="text1"/>
              </w:rPr>
              <w:t>Table 1</w:t>
            </w:r>
          </w:p>
        </w:tc>
        <w:tc>
          <w:tcPr>
            <w:tcW w:w="2531" w:type="dxa"/>
            <w:tcBorders>
              <w:top w:val="nil"/>
              <w:left w:val="nil"/>
              <w:bottom w:val="nil"/>
              <w:right w:val="nil"/>
            </w:tcBorders>
            <w:shd w:val="clear" w:color="auto" w:fill="auto"/>
            <w:noWrap/>
            <w:vAlign w:val="center"/>
            <w:hideMark/>
          </w:tcPr>
          <w:p w14:paraId="71FC96B2" w14:textId="77777777" w:rsidR="002513F1" w:rsidRPr="007D5080" w:rsidRDefault="002513F1" w:rsidP="00E355C5">
            <w:pPr>
              <w:rPr>
                <w:color w:val="000000" w:themeColor="text1"/>
              </w:rPr>
            </w:pPr>
          </w:p>
        </w:tc>
        <w:tc>
          <w:tcPr>
            <w:tcW w:w="4477" w:type="dxa"/>
            <w:tcBorders>
              <w:top w:val="nil"/>
              <w:left w:val="nil"/>
              <w:bottom w:val="nil"/>
              <w:right w:val="nil"/>
            </w:tcBorders>
            <w:shd w:val="clear" w:color="auto" w:fill="auto"/>
            <w:noWrap/>
            <w:vAlign w:val="center"/>
            <w:hideMark/>
          </w:tcPr>
          <w:p w14:paraId="022E1418" w14:textId="77777777" w:rsidR="002513F1" w:rsidRPr="007D5080" w:rsidRDefault="002513F1" w:rsidP="00E355C5">
            <w:pPr>
              <w:rPr>
                <w:color w:val="000000" w:themeColor="text1"/>
              </w:rPr>
            </w:pPr>
          </w:p>
        </w:tc>
      </w:tr>
      <w:tr w:rsidR="002513F1" w:rsidRPr="007D5080" w14:paraId="3DC3A844" w14:textId="77777777" w:rsidTr="00E355C5">
        <w:trPr>
          <w:trHeight w:val="505"/>
        </w:trPr>
        <w:tc>
          <w:tcPr>
            <w:tcW w:w="4868" w:type="dxa"/>
            <w:gridSpan w:val="2"/>
            <w:tcBorders>
              <w:top w:val="nil"/>
              <w:left w:val="nil"/>
              <w:bottom w:val="single" w:sz="4" w:space="0" w:color="auto"/>
              <w:right w:val="nil"/>
            </w:tcBorders>
            <w:shd w:val="clear" w:color="auto" w:fill="auto"/>
            <w:noWrap/>
            <w:vAlign w:val="center"/>
            <w:hideMark/>
          </w:tcPr>
          <w:p w14:paraId="7FC13C49" w14:textId="77777777" w:rsidR="002513F1" w:rsidRPr="007D5080" w:rsidRDefault="002513F1" w:rsidP="00E355C5">
            <w:pPr>
              <w:rPr>
                <w:i/>
                <w:iCs/>
                <w:color w:val="000000" w:themeColor="text1"/>
              </w:rPr>
            </w:pPr>
            <w:r w:rsidRPr="007D5080">
              <w:rPr>
                <w:i/>
                <w:iCs/>
                <w:color w:val="000000" w:themeColor="text1"/>
              </w:rPr>
              <w:t>Addressing the Validity of the Proposed Measure</w:t>
            </w:r>
          </w:p>
        </w:tc>
        <w:tc>
          <w:tcPr>
            <w:tcW w:w="4477" w:type="dxa"/>
            <w:tcBorders>
              <w:top w:val="nil"/>
              <w:left w:val="nil"/>
              <w:bottom w:val="single" w:sz="4" w:space="0" w:color="auto"/>
              <w:right w:val="nil"/>
            </w:tcBorders>
            <w:shd w:val="clear" w:color="auto" w:fill="auto"/>
            <w:noWrap/>
            <w:vAlign w:val="center"/>
            <w:hideMark/>
          </w:tcPr>
          <w:p w14:paraId="3332C531" w14:textId="77777777" w:rsidR="002513F1" w:rsidRPr="007D5080" w:rsidRDefault="002513F1" w:rsidP="00E355C5">
            <w:pPr>
              <w:rPr>
                <w:color w:val="000000" w:themeColor="text1"/>
              </w:rPr>
            </w:pPr>
            <w:r w:rsidRPr="007D5080">
              <w:rPr>
                <w:color w:val="000000" w:themeColor="text1"/>
              </w:rPr>
              <w:t> </w:t>
            </w:r>
          </w:p>
        </w:tc>
      </w:tr>
      <w:tr w:rsidR="002513F1" w:rsidRPr="007D5080" w14:paraId="39CE10B4" w14:textId="77777777" w:rsidTr="00E355C5">
        <w:trPr>
          <w:trHeight w:val="505"/>
        </w:trPr>
        <w:tc>
          <w:tcPr>
            <w:tcW w:w="2337" w:type="dxa"/>
            <w:tcBorders>
              <w:top w:val="nil"/>
              <w:left w:val="nil"/>
              <w:bottom w:val="single" w:sz="4" w:space="0" w:color="auto"/>
              <w:right w:val="nil"/>
            </w:tcBorders>
            <w:shd w:val="clear" w:color="auto" w:fill="auto"/>
            <w:noWrap/>
            <w:vAlign w:val="center"/>
            <w:hideMark/>
          </w:tcPr>
          <w:p w14:paraId="161B0CC7" w14:textId="77777777" w:rsidR="002513F1" w:rsidRPr="007D5080" w:rsidRDefault="002513F1" w:rsidP="00E355C5">
            <w:pPr>
              <w:rPr>
                <w:color w:val="000000" w:themeColor="text1"/>
              </w:rPr>
            </w:pPr>
            <w:r w:rsidRPr="007D5080">
              <w:rPr>
                <w:color w:val="000000" w:themeColor="text1"/>
              </w:rPr>
              <w:t>Type of Validity</w:t>
            </w:r>
          </w:p>
        </w:tc>
        <w:tc>
          <w:tcPr>
            <w:tcW w:w="2531" w:type="dxa"/>
            <w:tcBorders>
              <w:top w:val="nil"/>
              <w:left w:val="nil"/>
              <w:bottom w:val="single" w:sz="4" w:space="0" w:color="auto"/>
              <w:right w:val="nil"/>
            </w:tcBorders>
            <w:shd w:val="clear" w:color="auto" w:fill="auto"/>
            <w:noWrap/>
            <w:vAlign w:val="center"/>
            <w:hideMark/>
          </w:tcPr>
          <w:p w14:paraId="26C5DA21" w14:textId="77777777" w:rsidR="002513F1" w:rsidRPr="007D5080" w:rsidRDefault="002513F1" w:rsidP="00E355C5">
            <w:pPr>
              <w:rPr>
                <w:color w:val="000000" w:themeColor="text1"/>
              </w:rPr>
            </w:pPr>
            <w:r w:rsidRPr="007D5080">
              <w:rPr>
                <w:color w:val="000000" w:themeColor="text1"/>
              </w:rPr>
              <w:t>Definition</w:t>
            </w:r>
          </w:p>
        </w:tc>
        <w:tc>
          <w:tcPr>
            <w:tcW w:w="4477" w:type="dxa"/>
            <w:tcBorders>
              <w:top w:val="nil"/>
              <w:left w:val="nil"/>
              <w:bottom w:val="single" w:sz="4" w:space="0" w:color="auto"/>
              <w:right w:val="nil"/>
            </w:tcBorders>
            <w:shd w:val="clear" w:color="auto" w:fill="auto"/>
            <w:noWrap/>
            <w:vAlign w:val="center"/>
            <w:hideMark/>
          </w:tcPr>
          <w:p w14:paraId="0F4DE16F" w14:textId="77777777" w:rsidR="002513F1" w:rsidRPr="007D5080" w:rsidRDefault="002513F1" w:rsidP="00E355C5">
            <w:pPr>
              <w:rPr>
                <w:color w:val="000000" w:themeColor="text1"/>
              </w:rPr>
            </w:pPr>
            <w:r w:rsidRPr="007D5080">
              <w:rPr>
                <w:color w:val="000000" w:themeColor="text1"/>
              </w:rPr>
              <w:t>Application to Proposed Measure</w:t>
            </w:r>
          </w:p>
        </w:tc>
      </w:tr>
      <w:tr w:rsidR="002513F1" w:rsidRPr="007D5080" w14:paraId="79AA94BA" w14:textId="77777777" w:rsidTr="00E355C5">
        <w:trPr>
          <w:trHeight w:val="505"/>
        </w:trPr>
        <w:tc>
          <w:tcPr>
            <w:tcW w:w="2337" w:type="dxa"/>
            <w:tcBorders>
              <w:top w:val="nil"/>
              <w:left w:val="nil"/>
              <w:bottom w:val="nil"/>
              <w:right w:val="nil"/>
            </w:tcBorders>
            <w:shd w:val="clear" w:color="auto" w:fill="auto"/>
            <w:noWrap/>
            <w:vAlign w:val="center"/>
            <w:hideMark/>
          </w:tcPr>
          <w:p w14:paraId="316397C4" w14:textId="77777777" w:rsidR="002513F1" w:rsidRPr="007D5080" w:rsidRDefault="002513F1" w:rsidP="00E355C5">
            <w:pPr>
              <w:rPr>
                <w:color w:val="000000" w:themeColor="text1"/>
              </w:rPr>
            </w:pPr>
            <w:r w:rsidRPr="007D5080">
              <w:rPr>
                <w:color w:val="000000" w:themeColor="text1"/>
              </w:rPr>
              <w:t>Construct Validity</w:t>
            </w:r>
          </w:p>
        </w:tc>
        <w:tc>
          <w:tcPr>
            <w:tcW w:w="2531" w:type="dxa"/>
            <w:tcBorders>
              <w:top w:val="nil"/>
              <w:left w:val="nil"/>
              <w:bottom w:val="nil"/>
              <w:right w:val="nil"/>
            </w:tcBorders>
            <w:shd w:val="clear" w:color="auto" w:fill="auto"/>
            <w:noWrap/>
            <w:vAlign w:val="center"/>
            <w:hideMark/>
          </w:tcPr>
          <w:p w14:paraId="54C213E4" w14:textId="77777777" w:rsidR="002513F1" w:rsidRPr="007D5080" w:rsidRDefault="002513F1" w:rsidP="00E355C5">
            <w:pPr>
              <w:rPr>
                <w:color w:val="000000" w:themeColor="text1"/>
              </w:rPr>
            </w:pPr>
            <w:r w:rsidRPr="007D5080">
              <w:rPr>
                <w:color w:val="000000" w:themeColor="text1"/>
              </w:rPr>
              <w:t xml:space="preserve"> How well the independent and dependent variables represent the constructs they were intended to measure. </w:t>
            </w:r>
          </w:p>
        </w:tc>
        <w:tc>
          <w:tcPr>
            <w:tcW w:w="4477" w:type="dxa"/>
            <w:tcBorders>
              <w:top w:val="nil"/>
              <w:left w:val="nil"/>
              <w:bottom w:val="nil"/>
              <w:right w:val="nil"/>
            </w:tcBorders>
            <w:shd w:val="clear" w:color="auto" w:fill="auto"/>
            <w:noWrap/>
            <w:vAlign w:val="center"/>
            <w:hideMark/>
          </w:tcPr>
          <w:p w14:paraId="3481FBED" w14:textId="77777777" w:rsidR="002513F1" w:rsidRPr="007D5080" w:rsidRDefault="002513F1" w:rsidP="00E355C5">
            <w:pPr>
              <w:rPr>
                <w:color w:val="000000" w:themeColor="text1"/>
              </w:rPr>
            </w:pPr>
            <w:r w:rsidRPr="007D5080">
              <w:rPr>
                <w:color w:val="000000" w:themeColor="text1"/>
              </w:rPr>
              <w:t xml:space="preserve"> This study represents them well because the sample is drawn from a population of female victims of IPV who have been identified as such and receiving services from a domestic violence agency. </w:t>
            </w:r>
          </w:p>
        </w:tc>
      </w:tr>
      <w:tr w:rsidR="002513F1" w:rsidRPr="007D5080" w14:paraId="6B047DDD" w14:textId="77777777" w:rsidTr="00E355C5">
        <w:trPr>
          <w:trHeight w:val="505"/>
        </w:trPr>
        <w:tc>
          <w:tcPr>
            <w:tcW w:w="2337" w:type="dxa"/>
            <w:tcBorders>
              <w:top w:val="nil"/>
              <w:left w:val="nil"/>
              <w:bottom w:val="nil"/>
              <w:right w:val="nil"/>
            </w:tcBorders>
            <w:shd w:val="clear" w:color="auto" w:fill="auto"/>
            <w:noWrap/>
            <w:vAlign w:val="center"/>
            <w:hideMark/>
          </w:tcPr>
          <w:p w14:paraId="20189769" w14:textId="77777777" w:rsidR="002513F1" w:rsidRPr="007D5080" w:rsidRDefault="002513F1" w:rsidP="00E355C5">
            <w:pPr>
              <w:rPr>
                <w:color w:val="000000" w:themeColor="text1"/>
              </w:rPr>
            </w:pPr>
            <w:r w:rsidRPr="007D5080">
              <w:rPr>
                <w:color w:val="000000" w:themeColor="text1"/>
              </w:rPr>
              <w:t>Content Validity</w:t>
            </w:r>
          </w:p>
          <w:p w14:paraId="6A756A16" w14:textId="77777777" w:rsidR="002513F1" w:rsidRPr="007D5080" w:rsidRDefault="002513F1" w:rsidP="00E355C5">
            <w:pPr>
              <w:rPr>
                <w:color w:val="000000" w:themeColor="text1"/>
              </w:rPr>
            </w:pPr>
          </w:p>
        </w:tc>
        <w:tc>
          <w:tcPr>
            <w:tcW w:w="2531" w:type="dxa"/>
            <w:tcBorders>
              <w:top w:val="nil"/>
              <w:left w:val="nil"/>
              <w:bottom w:val="nil"/>
              <w:right w:val="nil"/>
            </w:tcBorders>
            <w:shd w:val="clear" w:color="auto" w:fill="auto"/>
            <w:noWrap/>
            <w:vAlign w:val="center"/>
            <w:hideMark/>
          </w:tcPr>
          <w:p w14:paraId="3573D11E" w14:textId="77777777" w:rsidR="002513F1" w:rsidRPr="007D5080" w:rsidRDefault="002513F1" w:rsidP="00E355C5">
            <w:pPr>
              <w:rPr>
                <w:color w:val="000000" w:themeColor="text1"/>
              </w:rPr>
            </w:pPr>
            <w:r w:rsidRPr="007D5080">
              <w:rPr>
                <w:color w:val="000000" w:themeColor="text1"/>
              </w:rPr>
              <w:t>The extent to which a measuring instrument covers a representative sample of the domain of behaviors to be measured</w:t>
            </w:r>
          </w:p>
        </w:tc>
        <w:tc>
          <w:tcPr>
            <w:tcW w:w="4477" w:type="dxa"/>
            <w:tcBorders>
              <w:top w:val="nil"/>
              <w:left w:val="nil"/>
              <w:bottom w:val="nil"/>
              <w:right w:val="nil"/>
            </w:tcBorders>
            <w:shd w:val="clear" w:color="auto" w:fill="auto"/>
            <w:noWrap/>
            <w:vAlign w:val="center"/>
          </w:tcPr>
          <w:p w14:paraId="372A40CB" w14:textId="77777777" w:rsidR="002513F1" w:rsidRPr="007D5080" w:rsidRDefault="002513F1" w:rsidP="00E355C5">
            <w:pPr>
              <w:rPr>
                <w:color w:val="000000" w:themeColor="text1"/>
              </w:rPr>
            </w:pPr>
            <w:r w:rsidRPr="007D5080">
              <w:rPr>
                <w:color w:val="000000" w:themeColor="text1"/>
              </w:rPr>
              <w:t xml:space="preserve">The combination of both instruments represent the facets of the sample and the behaviors being measured. </w:t>
            </w:r>
          </w:p>
        </w:tc>
      </w:tr>
      <w:tr w:rsidR="002513F1" w:rsidRPr="007D5080" w14:paraId="22147B32" w14:textId="77777777" w:rsidTr="00E355C5">
        <w:trPr>
          <w:trHeight w:val="505"/>
        </w:trPr>
        <w:tc>
          <w:tcPr>
            <w:tcW w:w="2337" w:type="dxa"/>
            <w:tcBorders>
              <w:top w:val="nil"/>
              <w:left w:val="nil"/>
              <w:bottom w:val="nil"/>
              <w:right w:val="nil"/>
            </w:tcBorders>
            <w:shd w:val="clear" w:color="auto" w:fill="auto"/>
            <w:noWrap/>
            <w:vAlign w:val="center"/>
            <w:hideMark/>
          </w:tcPr>
          <w:p w14:paraId="265D8A7D" w14:textId="77777777" w:rsidR="002513F1" w:rsidRPr="007D5080" w:rsidRDefault="002513F1" w:rsidP="00E355C5">
            <w:pPr>
              <w:rPr>
                <w:color w:val="000000" w:themeColor="text1"/>
              </w:rPr>
            </w:pPr>
            <w:r w:rsidRPr="007D5080">
              <w:rPr>
                <w:color w:val="000000" w:themeColor="text1"/>
              </w:rPr>
              <w:t>Criterion Validity</w:t>
            </w:r>
          </w:p>
        </w:tc>
        <w:tc>
          <w:tcPr>
            <w:tcW w:w="2531" w:type="dxa"/>
            <w:tcBorders>
              <w:top w:val="nil"/>
              <w:left w:val="nil"/>
              <w:bottom w:val="nil"/>
              <w:right w:val="nil"/>
            </w:tcBorders>
            <w:shd w:val="clear" w:color="auto" w:fill="auto"/>
            <w:noWrap/>
            <w:vAlign w:val="center"/>
            <w:hideMark/>
          </w:tcPr>
          <w:p w14:paraId="6D9692FB" w14:textId="77777777" w:rsidR="002513F1" w:rsidRPr="007D5080" w:rsidRDefault="002513F1" w:rsidP="00E355C5">
            <w:pPr>
              <w:rPr>
                <w:color w:val="000000" w:themeColor="text1"/>
              </w:rPr>
            </w:pPr>
            <w:r w:rsidRPr="007D5080">
              <w:rPr>
                <w:color w:val="000000" w:themeColor="text1"/>
              </w:rPr>
              <w:t>The extent to which a measuring instrument accurately predicts behavior or ability in a given area</w:t>
            </w:r>
          </w:p>
        </w:tc>
        <w:tc>
          <w:tcPr>
            <w:tcW w:w="4477" w:type="dxa"/>
            <w:tcBorders>
              <w:top w:val="nil"/>
              <w:left w:val="nil"/>
              <w:bottom w:val="nil"/>
              <w:right w:val="nil"/>
            </w:tcBorders>
            <w:shd w:val="clear" w:color="auto" w:fill="auto"/>
            <w:noWrap/>
            <w:vAlign w:val="center"/>
            <w:hideMark/>
          </w:tcPr>
          <w:p w14:paraId="4491A284" w14:textId="77777777" w:rsidR="002513F1" w:rsidRPr="007D5080" w:rsidRDefault="002513F1" w:rsidP="00E355C5">
            <w:pPr>
              <w:rPr>
                <w:color w:val="000000" w:themeColor="text1"/>
              </w:rPr>
            </w:pPr>
            <w:r w:rsidRPr="007D5080">
              <w:rPr>
                <w:color w:val="000000" w:themeColor="text1"/>
              </w:rPr>
              <w:t>Both chosen instruments have high validity to measure the behavior</w:t>
            </w:r>
          </w:p>
        </w:tc>
      </w:tr>
      <w:tr w:rsidR="002513F1" w:rsidRPr="007D5080" w14:paraId="61038CC3" w14:textId="77777777" w:rsidTr="00E355C5">
        <w:trPr>
          <w:trHeight w:val="505"/>
        </w:trPr>
        <w:tc>
          <w:tcPr>
            <w:tcW w:w="2337" w:type="dxa"/>
            <w:tcBorders>
              <w:top w:val="nil"/>
              <w:left w:val="nil"/>
              <w:bottom w:val="nil"/>
              <w:right w:val="nil"/>
            </w:tcBorders>
            <w:shd w:val="clear" w:color="auto" w:fill="auto"/>
            <w:noWrap/>
            <w:vAlign w:val="center"/>
            <w:hideMark/>
          </w:tcPr>
          <w:p w14:paraId="06C6ED75" w14:textId="77777777" w:rsidR="002513F1" w:rsidRPr="007D5080" w:rsidRDefault="002513F1" w:rsidP="00E355C5">
            <w:pPr>
              <w:rPr>
                <w:color w:val="000000" w:themeColor="text1"/>
              </w:rPr>
            </w:pPr>
          </w:p>
          <w:p w14:paraId="18904F23" w14:textId="77777777" w:rsidR="002513F1" w:rsidRPr="007D5080" w:rsidRDefault="002513F1" w:rsidP="00E355C5">
            <w:pPr>
              <w:rPr>
                <w:color w:val="000000" w:themeColor="text1"/>
              </w:rPr>
            </w:pPr>
            <w:r w:rsidRPr="007D5080">
              <w:rPr>
                <w:color w:val="000000" w:themeColor="text1"/>
              </w:rPr>
              <w:t>Concurrent Validity</w:t>
            </w:r>
          </w:p>
        </w:tc>
        <w:tc>
          <w:tcPr>
            <w:tcW w:w="2531" w:type="dxa"/>
            <w:tcBorders>
              <w:top w:val="nil"/>
              <w:left w:val="nil"/>
              <w:bottom w:val="nil"/>
              <w:right w:val="nil"/>
            </w:tcBorders>
            <w:shd w:val="clear" w:color="auto" w:fill="auto"/>
            <w:noWrap/>
            <w:vAlign w:val="center"/>
            <w:hideMark/>
          </w:tcPr>
          <w:p w14:paraId="7338BCF1" w14:textId="77777777" w:rsidR="002513F1" w:rsidRPr="007D5080" w:rsidRDefault="002513F1" w:rsidP="00E355C5">
            <w:pPr>
              <w:rPr>
                <w:color w:val="000000" w:themeColor="text1"/>
              </w:rPr>
            </w:pPr>
            <w:r w:rsidRPr="007D5080">
              <w:rPr>
                <w:color w:val="000000" w:themeColor="text1"/>
              </w:rPr>
              <w:t>Measures the ability of the test to estimate present performance</w:t>
            </w:r>
          </w:p>
        </w:tc>
        <w:tc>
          <w:tcPr>
            <w:tcW w:w="4477" w:type="dxa"/>
            <w:tcBorders>
              <w:top w:val="nil"/>
              <w:left w:val="nil"/>
              <w:bottom w:val="nil"/>
              <w:right w:val="nil"/>
            </w:tcBorders>
            <w:shd w:val="clear" w:color="auto" w:fill="auto"/>
            <w:noWrap/>
            <w:vAlign w:val="center"/>
            <w:hideMark/>
          </w:tcPr>
          <w:p w14:paraId="62B55179" w14:textId="77777777" w:rsidR="002513F1" w:rsidRPr="007D5080" w:rsidRDefault="002513F1" w:rsidP="00E355C5">
            <w:pPr>
              <w:rPr>
                <w:color w:val="000000" w:themeColor="text1"/>
              </w:rPr>
            </w:pPr>
            <w:r w:rsidRPr="007D5080">
              <w:rPr>
                <w:color w:val="000000" w:themeColor="text1"/>
              </w:rPr>
              <w:t>Both chosen instruments have high validity and reliability at measuring present performance in this study.</w:t>
            </w:r>
          </w:p>
        </w:tc>
      </w:tr>
      <w:tr w:rsidR="002513F1" w:rsidRPr="007D5080" w14:paraId="74DF3CF4" w14:textId="77777777" w:rsidTr="00E355C5">
        <w:trPr>
          <w:trHeight w:val="505"/>
        </w:trPr>
        <w:tc>
          <w:tcPr>
            <w:tcW w:w="2337" w:type="dxa"/>
            <w:tcBorders>
              <w:top w:val="nil"/>
              <w:left w:val="nil"/>
              <w:bottom w:val="nil"/>
              <w:right w:val="nil"/>
            </w:tcBorders>
            <w:shd w:val="clear" w:color="auto" w:fill="auto"/>
            <w:noWrap/>
            <w:vAlign w:val="center"/>
            <w:hideMark/>
          </w:tcPr>
          <w:p w14:paraId="603BEDB4" w14:textId="77777777" w:rsidR="002513F1" w:rsidRPr="007D5080" w:rsidRDefault="002513F1" w:rsidP="00E355C5">
            <w:pPr>
              <w:rPr>
                <w:color w:val="000000" w:themeColor="text1"/>
              </w:rPr>
            </w:pPr>
          </w:p>
          <w:p w14:paraId="761AFC90" w14:textId="77777777" w:rsidR="002513F1" w:rsidRPr="007D5080" w:rsidRDefault="002513F1" w:rsidP="00E355C5">
            <w:pPr>
              <w:rPr>
                <w:color w:val="000000" w:themeColor="text1"/>
              </w:rPr>
            </w:pPr>
            <w:r w:rsidRPr="007D5080">
              <w:rPr>
                <w:color w:val="000000" w:themeColor="text1"/>
              </w:rPr>
              <w:t>Predictive Validity</w:t>
            </w:r>
          </w:p>
        </w:tc>
        <w:tc>
          <w:tcPr>
            <w:tcW w:w="2531" w:type="dxa"/>
            <w:tcBorders>
              <w:top w:val="nil"/>
              <w:left w:val="nil"/>
              <w:bottom w:val="nil"/>
              <w:right w:val="nil"/>
            </w:tcBorders>
            <w:shd w:val="clear" w:color="auto" w:fill="auto"/>
            <w:noWrap/>
            <w:vAlign w:val="center"/>
            <w:hideMark/>
          </w:tcPr>
          <w:p w14:paraId="045808EB" w14:textId="77777777" w:rsidR="002513F1" w:rsidRPr="007D5080" w:rsidRDefault="002513F1" w:rsidP="00E355C5">
            <w:pPr>
              <w:rPr>
                <w:color w:val="000000" w:themeColor="text1"/>
              </w:rPr>
            </w:pPr>
            <w:r w:rsidRPr="007D5080">
              <w:rPr>
                <w:color w:val="000000" w:themeColor="text1"/>
              </w:rPr>
              <w:t>Measures the ability of the test to predict future performance</w:t>
            </w:r>
          </w:p>
        </w:tc>
        <w:tc>
          <w:tcPr>
            <w:tcW w:w="4477" w:type="dxa"/>
            <w:tcBorders>
              <w:top w:val="nil"/>
              <w:left w:val="nil"/>
              <w:bottom w:val="nil"/>
              <w:right w:val="nil"/>
            </w:tcBorders>
            <w:shd w:val="clear" w:color="auto" w:fill="auto"/>
            <w:noWrap/>
            <w:vAlign w:val="center"/>
            <w:hideMark/>
          </w:tcPr>
          <w:p w14:paraId="405AC25D" w14:textId="77777777" w:rsidR="002513F1" w:rsidRPr="007D5080" w:rsidRDefault="002513F1" w:rsidP="00E355C5">
            <w:pPr>
              <w:rPr>
                <w:color w:val="000000" w:themeColor="text1"/>
              </w:rPr>
            </w:pPr>
            <w:r w:rsidRPr="007D5080">
              <w:rPr>
                <w:color w:val="000000" w:themeColor="text1"/>
              </w:rPr>
              <w:t xml:space="preserve">The measure DLS will measure if participants in the group who remains in an abusive relationship is likely to leave the relationship or not. </w:t>
            </w:r>
          </w:p>
        </w:tc>
      </w:tr>
      <w:tr w:rsidR="002513F1" w:rsidRPr="007D5080" w14:paraId="74361DA8" w14:textId="77777777" w:rsidTr="00E355C5">
        <w:trPr>
          <w:trHeight w:val="505"/>
        </w:trPr>
        <w:tc>
          <w:tcPr>
            <w:tcW w:w="2337" w:type="dxa"/>
            <w:tcBorders>
              <w:top w:val="nil"/>
              <w:left w:val="nil"/>
              <w:bottom w:val="nil"/>
              <w:right w:val="nil"/>
            </w:tcBorders>
            <w:shd w:val="clear" w:color="auto" w:fill="auto"/>
            <w:noWrap/>
            <w:vAlign w:val="center"/>
            <w:hideMark/>
          </w:tcPr>
          <w:p w14:paraId="33324E4F" w14:textId="77777777" w:rsidR="002513F1" w:rsidRPr="007D5080" w:rsidRDefault="002513F1" w:rsidP="00E355C5">
            <w:pPr>
              <w:rPr>
                <w:color w:val="000000" w:themeColor="text1"/>
              </w:rPr>
            </w:pPr>
          </w:p>
          <w:p w14:paraId="2BF2F54E" w14:textId="77777777" w:rsidR="002513F1" w:rsidRPr="007D5080" w:rsidRDefault="002513F1" w:rsidP="00E355C5">
            <w:pPr>
              <w:rPr>
                <w:color w:val="000000" w:themeColor="text1"/>
              </w:rPr>
            </w:pPr>
            <w:r w:rsidRPr="007D5080">
              <w:rPr>
                <w:color w:val="000000" w:themeColor="text1"/>
              </w:rPr>
              <w:t>Face Validity</w:t>
            </w:r>
          </w:p>
        </w:tc>
        <w:tc>
          <w:tcPr>
            <w:tcW w:w="2531" w:type="dxa"/>
            <w:tcBorders>
              <w:top w:val="nil"/>
              <w:left w:val="nil"/>
              <w:bottom w:val="nil"/>
              <w:right w:val="nil"/>
            </w:tcBorders>
            <w:shd w:val="clear" w:color="auto" w:fill="auto"/>
            <w:noWrap/>
            <w:vAlign w:val="center"/>
            <w:hideMark/>
          </w:tcPr>
          <w:p w14:paraId="22B98B8D" w14:textId="77777777" w:rsidR="002513F1" w:rsidRPr="007D5080" w:rsidRDefault="002513F1" w:rsidP="00E355C5">
            <w:pPr>
              <w:rPr>
                <w:color w:val="000000" w:themeColor="text1"/>
              </w:rPr>
            </w:pPr>
            <w:r w:rsidRPr="007D5080">
              <w:rPr>
                <w:color w:val="000000" w:themeColor="text1"/>
              </w:rPr>
              <w:t>The extent to which a measuring instruments appears valid on its surface</w:t>
            </w:r>
          </w:p>
        </w:tc>
        <w:tc>
          <w:tcPr>
            <w:tcW w:w="4477" w:type="dxa"/>
            <w:tcBorders>
              <w:top w:val="nil"/>
              <w:left w:val="nil"/>
              <w:bottom w:val="nil"/>
              <w:right w:val="nil"/>
            </w:tcBorders>
            <w:shd w:val="clear" w:color="auto" w:fill="auto"/>
            <w:noWrap/>
            <w:vAlign w:val="center"/>
            <w:hideMark/>
          </w:tcPr>
          <w:p w14:paraId="432B6E5F" w14:textId="77777777" w:rsidR="002513F1" w:rsidRPr="007D5080" w:rsidRDefault="002513F1" w:rsidP="00E355C5">
            <w:pPr>
              <w:rPr>
                <w:color w:val="000000" w:themeColor="text1"/>
              </w:rPr>
            </w:pPr>
            <w:r w:rsidRPr="007D5080">
              <w:rPr>
                <w:color w:val="000000" w:themeColor="text1"/>
              </w:rPr>
              <w:t>Both instruments appear valid with empirical evidence supporting their validity and reliability</w:t>
            </w:r>
          </w:p>
        </w:tc>
      </w:tr>
      <w:tr w:rsidR="002513F1" w:rsidRPr="007D5080" w14:paraId="3B362BEB" w14:textId="77777777" w:rsidTr="00E355C5">
        <w:trPr>
          <w:trHeight w:val="505"/>
        </w:trPr>
        <w:tc>
          <w:tcPr>
            <w:tcW w:w="2337" w:type="dxa"/>
            <w:tcBorders>
              <w:top w:val="nil"/>
              <w:left w:val="nil"/>
              <w:bottom w:val="nil"/>
              <w:right w:val="nil"/>
            </w:tcBorders>
            <w:shd w:val="clear" w:color="auto" w:fill="auto"/>
            <w:noWrap/>
            <w:vAlign w:val="center"/>
            <w:hideMark/>
          </w:tcPr>
          <w:p w14:paraId="5B1CAC7E" w14:textId="77777777" w:rsidR="002513F1" w:rsidRPr="007D5080" w:rsidRDefault="002513F1" w:rsidP="00E355C5">
            <w:pPr>
              <w:rPr>
                <w:color w:val="000000" w:themeColor="text1"/>
              </w:rPr>
            </w:pPr>
          </w:p>
          <w:p w14:paraId="76123E5A" w14:textId="77777777" w:rsidR="002513F1" w:rsidRPr="007D5080" w:rsidRDefault="002513F1" w:rsidP="00E355C5">
            <w:pPr>
              <w:rPr>
                <w:color w:val="000000" w:themeColor="text1"/>
              </w:rPr>
            </w:pPr>
            <w:r w:rsidRPr="007D5080">
              <w:rPr>
                <w:color w:val="000000" w:themeColor="text1"/>
              </w:rPr>
              <w:t>Convergent Validity</w:t>
            </w:r>
          </w:p>
        </w:tc>
        <w:tc>
          <w:tcPr>
            <w:tcW w:w="2531" w:type="dxa"/>
            <w:tcBorders>
              <w:top w:val="nil"/>
              <w:left w:val="nil"/>
              <w:bottom w:val="nil"/>
              <w:right w:val="nil"/>
            </w:tcBorders>
            <w:shd w:val="clear" w:color="auto" w:fill="auto"/>
            <w:noWrap/>
            <w:vAlign w:val="center"/>
            <w:hideMark/>
          </w:tcPr>
          <w:p w14:paraId="34EF0812" w14:textId="77777777" w:rsidR="002513F1" w:rsidRPr="007D5080" w:rsidRDefault="002513F1" w:rsidP="00E355C5">
            <w:pPr>
              <w:rPr>
                <w:color w:val="000000" w:themeColor="text1"/>
              </w:rPr>
            </w:pPr>
            <w:r w:rsidRPr="007D5080">
              <w:rPr>
                <w:color w:val="000000" w:themeColor="text1"/>
              </w:rPr>
              <w:t>When a measures of construct in fact is able measure that construct</w:t>
            </w:r>
          </w:p>
        </w:tc>
        <w:tc>
          <w:tcPr>
            <w:tcW w:w="4477" w:type="dxa"/>
            <w:tcBorders>
              <w:top w:val="nil"/>
              <w:left w:val="nil"/>
              <w:bottom w:val="nil"/>
              <w:right w:val="nil"/>
            </w:tcBorders>
            <w:shd w:val="clear" w:color="auto" w:fill="auto"/>
            <w:noWrap/>
            <w:vAlign w:val="center"/>
            <w:hideMark/>
          </w:tcPr>
          <w:p w14:paraId="51155A4D" w14:textId="77777777" w:rsidR="002513F1" w:rsidRPr="007D5080" w:rsidRDefault="002513F1" w:rsidP="00E355C5">
            <w:pPr>
              <w:rPr>
                <w:color w:val="000000" w:themeColor="text1"/>
              </w:rPr>
            </w:pPr>
            <w:r w:rsidRPr="007D5080">
              <w:rPr>
                <w:color w:val="000000" w:themeColor="text1"/>
              </w:rPr>
              <w:t>The ECR-short form is proposed due to convergent validity at measuring attachment levels in relationships</w:t>
            </w:r>
          </w:p>
        </w:tc>
      </w:tr>
      <w:tr w:rsidR="002513F1" w:rsidRPr="007D5080" w14:paraId="77A9FFF7" w14:textId="77777777" w:rsidTr="00E355C5">
        <w:trPr>
          <w:trHeight w:val="505"/>
        </w:trPr>
        <w:tc>
          <w:tcPr>
            <w:tcW w:w="2337" w:type="dxa"/>
            <w:tcBorders>
              <w:top w:val="nil"/>
              <w:left w:val="nil"/>
              <w:bottom w:val="single" w:sz="4" w:space="0" w:color="auto"/>
              <w:right w:val="nil"/>
            </w:tcBorders>
            <w:shd w:val="clear" w:color="auto" w:fill="auto"/>
            <w:noWrap/>
            <w:vAlign w:val="center"/>
            <w:hideMark/>
          </w:tcPr>
          <w:p w14:paraId="283F9816" w14:textId="77777777" w:rsidR="002513F1" w:rsidRPr="007D5080" w:rsidRDefault="002513F1" w:rsidP="00E355C5">
            <w:pPr>
              <w:rPr>
                <w:color w:val="000000" w:themeColor="text1"/>
              </w:rPr>
            </w:pPr>
          </w:p>
          <w:p w14:paraId="2ABA42EF" w14:textId="77777777" w:rsidR="002513F1" w:rsidRPr="007D5080" w:rsidRDefault="002513F1" w:rsidP="00E355C5">
            <w:pPr>
              <w:rPr>
                <w:color w:val="000000" w:themeColor="text1"/>
              </w:rPr>
            </w:pPr>
            <w:r w:rsidRPr="007D5080">
              <w:rPr>
                <w:color w:val="000000" w:themeColor="text1"/>
              </w:rPr>
              <w:t>Discriminant Validity</w:t>
            </w:r>
          </w:p>
        </w:tc>
        <w:tc>
          <w:tcPr>
            <w:tcW w:w="2531" w:type="dxa"/>
            <w:tcBorders>
              <w:top w:val="nil"/>
              <w:left w:val="nil"/>
              <w:bottom w:val="single" w:sz="4" w:space="0" w:color="auto"/>
              <w:right w:val="nil"/>
            </w:tcBorders>
            <w:shd w:val="clear" w:color="auto" w:fill="auto"/>
            <w:noWrap/>
            <w:vAlign w:val="center"/>
            <w:hideMark/>
          </w:tcPr>
          <w:p w14:paraId="46A6947B" w14:textId="77777777" w:rsidR="002513F1" w:rsidRPr="007D5080" w:rsidRDefault="002513F1" w:rsidP="00E355C5">
            <w:pPr>
              <w:rPr>
                <w:color w:val="000000" w:themeColor="text1"/>
              </w:rPr>
            </w:pPr>
            <w:r w:rsidRPr="007D5080">
              <w:rPr>
                <w:color w:val="000000" w:themeColor="text1"/>
              </w:rPr>
              <w:t xml:space="preserve"> When the correlation of of measures of different constructs Should be smaller than correlations of measures of the same construct. </w:t>
            </w:r>
          </w:p>
        </w:tc>
        <w:tc>
          <w:tcPr>
            <w:tcW w:w="4477" w:type="dxa"/>
            <w:tcBorders>
              <w:top w:val="nil"/>
              <w:left w:val="nil"/>
              <w:bottom w:val="single" w:sz="4" w:space="0" w:color="auto"/>
              <w:right w:val="nil"/>
            </w:tcBorders>
            <w:shd w:val="clear" w:color="auto" w:fill="auto"/>
            <w:noWrap/>
            <w:vAlign w:val="center"/>
            <w:hideMark/>
          </w:tcPr>
          <w:p w14:paraId="7F9AFB5C" w14:textId="77777777" w:rsidR="002513F1" w:rsidRPr="007D5080" w:rsidRDefault="002513F1" w:rsidP="00E355C5">
            <w:pPr>
              <w:rPr>
                <w:color w:val="000000" w:themeColor="text1"/>
              </w:rPr>
            </w:pPr>
            <w:r w:rsidRPr="007D5080">
              <w:rPr>
                <w:color w:val="000000" w:themeColor="text1"/>
              </w:rPr>
              <w:t> This form of validity is not anticipated in this study.</w:t>
            </w:r>
          </w:p>
        </w:tc>
      </w:tr>
    </w:tbl>
    <w:p w14:paraId="4FCD9732" w14:textId="77777777" w:rsidR="002513F1" w:rsidRPr="007D5080" w:rsidRDefault="002513F1" w:rsidP="002513F1">
      <w:pPr>
        <w:rPr>
          <w:color w:val="000000" w:themeColor="text1"/>
        </w:rPr>
      </w:pPr>
    </w:p>
    <w:tbl>
      <w:tblPr>
        <w:tblW w:w="9535" w:type="dxa"/>
        <w:jc w:val="center"/>
        <w:tblLayout w:type="fixed"/>
        <w:tblLook w:val="04A0" w:firstRow="1" w:lastRow="0" w:firstColumn="1" w:lastColumn="0" w:noHBand="0" w:noVBand="1"/>
      </w:tblPr>
      <w:tblGrid>
        <w:gridCol w:w="1530"/>
        <w:gridCol w:w="2880"/>
        <w:gridCol w:w="5125"/>
      </w:tblGrid>
      <w:tr w:rsidR="002513F1" w:rsidRPr="00591637" w14:paraId="561F6588" w14:textId="77777777" w:rsidTr="00E355C5">
        <w:trPr>
          <w:trHeight w:val="574"/>
          <w:jc w:val="center"/>
        </w:trPr>
        <w:tc>
          <w:tcPr>
            <w:tcW w:w="1530" w:type="dxa"/>
            <w:tcBorders>
              <w:top w:val="nil"/>
              <w:left w:val="nil"/>
              <w:bottom w:val="nil"/>
              <w:right w:val="nil"/>
            </w:tcBorders>
            <w:shd w:val="clear" w:color="auto" w:fill="auto"/>
            <w:noWrap/>
            <w:vAlign w:val="center"/>
            <w:hideMark/>
          </w:tcPr>
          <w:p w14:paraId="1D2E4BBB" w14:textId="77777777" w:rsidR="002513F1" w:rsidRPr="00591637" w:rsidRDefault="002513F1" w:rsidP="00E355C5">
            <w:pPr>
              <w:rPr>
                <w:color w:val="000000" w:themeColor="text1"/>
                <w:sz w:val="20"/>
                <w:szCs w:val="20"/>
              </w:rPr>
            </w:pPr>
            <w:r w:rsidRPr="00591637">
              <w:rPr>
                <w:color w:val="000000" w:themeColor="text1"/>
                <w:sz w:val="20"/>
                <w:szCs w:val="20"/>
              </w:rPr>
              <w:lastRenderedPageBreak/>
              <w:t>Table 2</w:t>
            </w:r>
          </w:p>
        </w:tc>
        <w:tc>
          <w:tcPr>
            <w:tcW w:w="2880" w:type="dxa"/>
            <w:tcBorders>
              <w:top w:val="nil"/>
              <w:left w:val="nil"/>
              <w:bottom w:val="nil"/>
              <w:right w:val="nil"/>
            </w:tcBorders>
            <w:shd w:val="clear" w:color="auto" w:fill="auto"/>
            <w:noWrap/>
            <w:vAlign w:val="center"/>
            <w:hideMark/>
          </w:tcPr>
          <w:p w14:paraId="141C145C" w14:textId="77777777" w:rsidR="002513F1" w:rsidRPr="00591637" w:rsidRDefault="002513F1" w:rsidP="00E355C5">
            <w:pPr>
              <w:rPr>
                <w:color w:val="000000" w:themeColor="text1"/>
                <w:sz w:val="20"/>
                <w:szCs w:val="20"/>
              </w:rPr>
            </w:pPr>
          </w:p>
        </w:tc>
        <w:tc>
          <w:tcPr>
            <w:tcW w:w="5125" w:type="dxa"/>
            <w:tcBorders>
              <w:top w:val="nil"/>
              <w:left w:val="nil"/>
              <w:bottom w:val="nil"/>
              <w:right w:val="nil"/>
            </w:tcBorders>
            <w:shd w:val="clear" w:color="auto" w:fill="auto"/>
            <w:noWrap/>
            <w:vAlign w:val="center"/>
            <w:hideMark/>
          </w:tcPr>
          <w:p w14:paraId="1445D595" w14:textId="77777777" w:rsidR="002513F1" w:rsidRPr="00591637" w:rsidRDefault="002513F1" w:rsidP="00E355C5">
            <w:pPr>
              <w:rPr>
                <w:color w:val="000000" w:themeColor="text1"/>
                <w:sz w:val="20"/>
                <w:szCs w:val="20"/>
              </w:rPr>
            </w:pPr>
          </w:p>
        </w:tc>
      </w:tr>
      <w:tr w:rsidR="002513F1" w:rsidRPr="00591637" w14:paraId="030B8651" w14:textId="77777777" w:rsidTr="00E355C5">
        <w:trPr>
          <w:trHeight w:val="550"/>
          <w:jc w:val="center"/>
        </w:trPr>
        <w:tc>
          <w:tcPr>
            <w:tcW w:w="4410" w:type="dxa"/>
            <w:gridSpan w:val="2"/>
            <w:tcBorders>
              <w:top w:val="nil"/>
              <w:left w:val="nil"/>
              <w:bottom w:val="single" w:sz="8" w:space="0" w:color="auto"/>
              <w:right w:val="nil"/>
            </w:tcBorders>
            <w:shd w:val="clear" w:color="auto" w:fill="auto"/>
            <w:noWrap/>
            <w:vAlign w:val="center"/>
            <w:hideMark/>
          </w:tcPr>
          <w:p w14:paraId="0D86F949" w14:textId="77777777" w:rsidR="002513F1" w:rsidRPr="00591637" w:rsidRDefault="002513F1" w:rsidP="00E355C5">
            <w:pPr>
              <w:rPr>
                <w:i/>
                <w:iCs/>
                <w:color w:val="000000" w:themeColor="text1"/>
                <w:sz w:val="20"/>
                <w:szCs w:val="20"/>
              </w:rPr>
            </w:pPr>
            <w:r w:rsidRPr="00591637">
              <w:rPr>
                <w:i/>
                <w:iCs/>
                <w:color w:val="000000" w:themeColor="text1"/>
                <w:sz w:val="20"/>
                <w:szCs w:val="20"/>
              </w:rPr>
              <w:t>Addressing Threats to Internal Validity</w:t>
            </w:r>
          </w:p>
        </w:tc>
        <w:tc>
          <w:tcPr>
            <w:tcW w:w="5125" w:type="dxa"/>
            <w:tcBorders>
              <w:top w:val="nil"/>
              <w:left w:val="nil"/>
              <w:bottom w:val="single" w:sz="8" w:space="0" w:color="auto"/>
              <w:right w:val="nil"/>
            </w:tcBorders>
            <w:shd w:val="clear" w:color="auto" w:fill="auto"/>
            <w:noWrap/>
            <w:vAlign w:val="center"/>
            <w:hideMark/>
          </w:tcPr>
          <w:p w14:paraId="0E16280F" w14:textId="77777777" w:rsidR="002513F1" w:rsidRPr="00591637" w:rsidRDefault="002513F1" w:rsidP="00E355C5">
            <w:pPr>
              <w:rPr>
                <w:color w:val="000000" w:themeColor="text1"/>
                <w:sz w:val="20"/>
                <w:szCs w:val="20"/>
              </w:rPr>
            </w:pPr>
            <w:r w:rsidRPr="00591637">
              <w:rPr>
                <w:color w:val="000000" w:themeColor="text1"/>
                <w:sz w:val="20"/>
                <w:szCs w:val="20"/>
              </w:rPr>
              <w:t> </w:t>
            </w:r>
          </w:p>
        </w:tc>
      </w:tr>
      <w:tr w:rsidR="002513F1" w:rsidRPr="00591637" w14:paraId="3A3B5D92" w14:textId="77777777" w:rsidTr="00E355C5">
        <w:trPr>
          <w:trHeight w:val="550"/>
          <w:jc w:val="center"/>
        </w:trPr>
        <w:tc>
          <w:tcPr>
            <w:tcW w:w="1530" w:type="dxa"/>
            <w:tcBorders>
              <w:top w:val="nil"/>
              <w:left w:val="nil"/>
              <w:bottom w:val="single" w:sz="8" w:space="0" w:color="auto"/>
              <w:right w:val="nil"/>
            </w:tcBorders>
            <w:shd w:val="clear" w:color="auto" w:fill="auto"/>
            <w:noWrap/>
            <w:vAlign w:val="center"/>
            <w:hideMark/>
          </w:tcPr>
          <w:p w14:paraId="6C2C941C" w14:textId="77777777" w:rsidR="002513F1" w:rsidRPr="00591637" w:rsidRDefault="002513F1" w:rsidP="00E355C5">
            <w:pPr>
              <w:rPr>
                <w:color w:val="000000" w:themeColor="text1"/>
                <w:sz w:val="20"/>
                <w:szCs w:val="20"/>
              </w:rPr>
            </w:pPr>
            <w:r w:rsidRPr="00591637">
              <w:rPr>
                <w:color w:val="000000" w:themeColor="text1"/>
                <w:sz w:val="20"/>
                <w:szCs w:val="20"/>
              </w:rPr>
              <w:t>Type of Threat</w:t>
            </w:r>
          </w:p>
        </w:tc>
        <w:tc>
          <w:tcPr>
            <w:tcW w:w="2880" w:type="dxa"/>
            <w:tcBorders>
              <w:top w:val="nil"/>
              <w:left w:val="nil"/>
              <w:bottom w:val="single" w:sz="8" w:space="0" w:color="auto"/>
              <w:right w:val="nil"/>
            </w:tcBorders>
            <w:shd w:val="clear" w:color="auto" w:fill="auto"/>
            <w:noWrap/>
            <w:vAlign w:val="center"/>
            <w:hideMark/>
          </w:tcPr>
          <w:p w14:paraId="053AE958" w14:textId="77777777" w:rsidR="002513F1" w:rsidRPr="00591637" w:rsidRDefault="002513F1" w:rsidP="00E355C5">
            <w:pPr>
              <w:rPr>
                <w:color w:val="000000" w:themeColor="text1"/>
                <w:sz w:val="20"/>
                <w:szCs w:val="20"/>
              </w:rPr>
            </w:pPr>
            <w:r w:rsidRPr="00591637">
              <w:rPr>
                <w:color w:val="000000" w:themeColor="text1"/>
                <w:sz w:val="20"/>
                <w:szCs w:val="20"/>
              </w:rPr>
              <w:t>Definition</w:t>
            </w:r>
          </w:p>
        </w:tc>
        <w:tc>
          <w:tcPr>
            <w:tcW w:w="5125" w:type="dxa"/>
            <w:tcBorders>
              <w:top w:val="nil"/>
              <w:left w:val="nil"/>
              <w:bottom w:val="single" w:sz="8" w:space="0" w:color="auto"/>
              <w:right w:val="nil"/>
            </w:tcBorders>
            <w:shd w:val="clear" w:color="auto" w:fill="auto"/>
            <w:noWrap/>
            <w:vAlign w:val="center"/>
            <w:hideMark/>
          </w:tcPr>
          <w:p w14:paraId="4016800E" w14:textId="77777777" w:rsidR="002513F1" w:rsidRPr="00591637" w:rsidRDefault="002513F1" w:rsidP="00E355C5">
            <w:pPr>
              <w:rPr>
                <w:color w:val="000000" w:themeColor="text1"/>
                <w:sz w:val="20"/>
                <w:szCs w:val="20"/>
              </w:rPr>
            </w:pPr>
            <w:r w:rsidRPr="00591637">
              <w:rPr>
                <w:color w:val="000000" w:themeColor="text1"/>
                <w:sz w:val="20"/>
                <w:szCs w:val="20"/>
              </w:rPr>
              <w:t xml:space="preserve">How it will be Addressed </w:t>
            </w:r>
          </w:p>
        </w:tc>
      </w:tr>
      <w:tr w:rsidR="002513F1" w:rsidRPr="00591637" w14:paraId="412AB906" w14:textId="77777777" w:rsidTr="00E355C5">
        <w:trPr>
          <w:trHeight w:val="550"/>
          <w:jc w:val="center"/>
        </w:trPr>
        <w:tc>
          <w:tcPr>
            <w:tcW w:w="1530" w:type="dxa"/>
            <w:tcBorders>
              <w:top w:val="nil"/>
              <w:left w:val="nil"/>
              <w:bottom w:val="nil"/>
              <w:right w:val="nil"/>
            </w:tcBorders>
            <w:shd w:val="clear" w:color="auto" w:fill="auto"/>
            <w:noWrap/>
            <w:vAlign w:val="center"/>
            <w:hideMark/>
          </w:tcPr>
          <w:p w14:paraId="128184A1" w14:textId="77777777" w:rsidR="002513F1" w:rsidRPr="00591637" w:rsidRDefault="002513F1" w:rsidP="00E355C5">
            <w:pPr>
              <w:rPr>
                <w:color w:val="000000" w:themeColor="text1"/>
                <w:sz w:val="20"/>
                <w:szCs w:val="20"/>
              </w:rPr>
            </w:pPr>
            <w:r w:rsidRPr="00591637">
              <w:rPr>
                <w:color w:val="000000" w:themeColor="text1"/>
                <w:sz w:val="20"/>
                <w:szCs w:val="20"/>
              </w:rPr>
              <w:t>History</w:t>
            </w:r>
          </w:p>
        </w:tc>
        <w:tc>
          <w:tcPr>
            <w:tcW w:w="2880" w:type="dxa"/>
            <w:tcBorders>
              <w:top w:val="nil"/>
              <w:left w:val="nil"/>
              <w:bottom w:val="nil"/>
              <w:right w:val="nil"/>
            </w:tcBorders>
            <w:shd w:val="clear" w:color="auto" w:fill="auto"/>
            <w:noWrap/>
            <w:vAlign w:val="center"/>
            <w:hideMark/>
          </w:tcPr>
          <w:p w14:paraId="0DC9DF1F" w14:textId="77777777" w:rsidR="002513F1" w:rsidRPr="00591637" w:rsidRDefault="002513F1" w:rsidP="00E355C5">
            <w:pPr>
              <w:rPr>
                <w:color w:val="000000" w:themeColor="text1"/>
                <w:sz w:val="20"/>
                <w:szCs w:val="20"/>
              </w:rPr>
            </w:pPr>
            <w:r w:rsidRPr="00591637">
              <w:rPr>
                <w:color w:val="000000" w:themeColor="text1"/>
                <w:sz w:val="20"/>
                <w:szCs w:val="20"/>
              </w:rPr>
              <w:t>An event that transpires during the time when the treatment is administered and may affect observations</w:t>
            </w:r>
          </w:p>
        </w:tc>
        <w:tc>
          <w:tcPr>
            <w:tcW w:w="5125" w:type="dxa"/>
            <w:tcBorders>
              <w:top w:val="nil"/>
              <w:left w:val="nil"/>
              <w:bottom w:val="nil"/>
              <w:right w:val="nil"/>
            </w:tcBorders>
            <w:shd w:val="clear" w:color="auto" w:fill="auto"/>
            <w:noWrap/>
            <w:vAlign w:val="center"/>
            <w:hideMark/>
          </w:tcPr>
          <w:p w14:paraId="14815872" w14:textId="77777777" w:rsidR="002513F1" w:rsidRPr="00591637" w:rsidRDefault="002513F1" w:rsidP="00E355C5">
            <w:pPr>
              <w:rPr>
                <w:color w:val="000000" w:themeColor="text1"/>
                <w:sz w:val="20"/>
                <w:szCs w:val="20"/>
              </w:rPr>
            </w:pPr>
            <w:r w:rsidRPr="00591637">
              <w:rPr>
                <w:color w:val="000000" w:themeColor="text1"/>
                <w:sz w:val="20"/>
                <w:szCs w:val="20"/>
              </w:rPr>
              <w:t xml:space="preserve">Two groups are formed for this study with equal counseling opportunities and services.  However, the likelihood of an event out of the researcher’s control may happen is always possible. </w:t>
            </w:r>
          </w:p>
        </w:tc>
      </w:tr>
      <w:tr w:rsidR="002513F1" w:rsidRPr="00591637" w14:paraId="3E5F2F18" w14:textId="77777777" w:rsidTr="00E355C5">
        <w:trPr>
          <w:trHeight w:val="550"/>
          <w:jc w:val="center"/>
        </w:trPr>
        <w:tc>
          <w:tcPr>
            <w:tcW w:w="1530" w:type="dxa"/>
            <w:tcBorders>
              <w:top w:val="nil"/>
              <w:left w:val="nil"/>
              <w:bottom w:val="nil"/>
              <w:right w:val="nil"/>
            </w:tcBorders>
            <w:shd w:val="clear" w:color="auto" w:fill="auto"/>
            <w:noWrap/>
            <w:vAlign w:val="center"/>
            <w:hideMark/>
          </w:tcPr>
          <w:p w14:paraId="1F08EA15" w14:textId="77777777" w:rsidR="002513F1" w:rsidRPr="00591637" w:rsidRDefault="002513F1" w:rsidP="00E355C5">
            <w:pPr>
              <w:rPr>
                <w:color w:val="000000" w:themeColor="text1"/>
                <w:sz w:val="20"/>
                <w:szCs w:val="20"/>
              </w:rPr>
            </w:pPr>
            <w:r w:rsidRPr="00591637">
              <w:rPr>
                <w:color w:val="000000" w:themeColor="text1"/>
                <w:sz w:val="20"/>
                <w:szCs w:val="20"/>
              </w:rPr>
              <w:t>Maturation</w:t>
            </w:r>
          </w:p>
        </w:tc>
        <w:tc>
          <w:tcPr>
            <w:tcW w:w="2880" w:type="dxa"/>
            <w:tcBorders>
              <w:top w:val="nil"/>
              <w:left w:val="nil"/>
              <w:bottom w:val="nil"/>
              <w:right w:val="nil"/>
            </w:tcBorders>
            <w:shd w:val="clear" w:color="auto" w:fill="auto"/>
            <w:noWrap/>
            <w:vAlign w:val="center"/>
            <w:hideMark/>
          </w:tcPr>
          <w:p w14:paraId="3408E55F" w14:textId="77777777" w:rsidR="002513F1" w:rsidRPr="00591637" w:rsidRDefault="002513F1" w:rsidP="00E355C5">
            <w:pPr>
              <w:rPr>
                <w:color w:val="000000" w:themeColor="text1"/>
                <w:sz w:val="20"/>
                <w:szCs w:val="20"/>
              </w:rPr>
            </w:pPr>
            <w:r w:rsidRPr="00591637">
              <w:rPr>
                <w:color w:val="000000" w:themeColor="text1"/>
                <w:sz w:val="20"/>
                <w:szCs w:val="20"/>
              </w:rPr>
              <w:t xml:space="preserve">Normal developmental changes in participants between pretest and posttest that might affect the results. </w:t>
            </w:r>
          </w:p>
        </w:tc>
        <w:tc>
          <w:tcPr>
            <w:tcW w:w="5125" w:type="dxa"/>
            <w:tcBorders>
              <w:top w:val="nil"/>
              <w:left w:val="nil"/>
              <w:bottom w:val="nil"/>
              <w:right w:val="nil"/>
            </w:tcBorders>
            <w:shd w:val="clear" w:color="auto" w:fill="auto"/>
            <w:noWrap/>
            <w:vAlign w:val="center"/>
            <w:hideMark/>
          </w:tcPr>
          <w:p w14:paraId="54543AC3" w14:textId="77777777" w:rsidR="002513F1" w:rsidRPr="00591637" w:rsidRDefault="002513F1" w:rsidP="00E355C5">
            <w:pPr>
              <w:rPr>
                <w:color w:val="000000" w:themeColor="text1"/>
                <w:sz w:val="20"/>
                <w:szCs w:val="20"/>
              </w:rPr>
            </w:pPr>
            <w:r w:rsidRPr="00591637">
              <w:rPr>
                <w:color w:val="000000" w:themeColor="text1"/>
                <w:sz w:val="20"/>
                <w:szCs w:val="20"/>
              </w:rPr>
              <w:t xml:space="preserve">The proposed study is not utilizing pretest/posttest. </w:t>
            </w:r>
          </w:p>
        </w:tc>
      </w:tr>
      <w:tr w:rsidR="002513F1" w:rsidRPr="00591637" w14:paraId="29D8330B" w14:textId="77777777" w:rsidTr="00E355C5">
        <w:trPr>
          <w:trHeight w:val="550"/>
          <w:jc w:val="center"/>
        </w:trPr>
        <w:tc>
          <w:tcPr>
            <w:tcW w:w="1530" w:type="dxa"/>
            <w:tcBorders>
              <w:top w:val="nil"/>
              <w:left w:val="nil"/>
              <w:bottom w:val="nil"/>
              <w:right w:val="nil"/>
            </w:tcBorders>
            <w:shd w:val="clear" w:color="auto" w:fill="auto"/>
            <w:noWrap/>
            <w:vAlign w:val="center"/>
            <w:hideMark/>
          </w:tcPr>
          <w:p w14:paraId="649E86E8" w14:textId="77777777" w:rsidR="002513F1" w:rsidRPr="00591637" w:rsidRDefault="002513F1" w:rsidP="00E355C5">
            <w:pPr>
              <w:rPr>
                <w:color w:val="000000" w:themeColor="text1"/>
                <w:sz w:val="20"/>
                <w:szCs w:val="20"/>
              </w:rPr>
            </w:pPr>
            <w:r w:rsidRPr="00591637">
              <w:rPr>
                <w:color w:val="000000" w:themeColor="text1"/>
                <w:sz w:val="20"/>
                <w:szCs w:val="20"/>
              </w:rPr>
              <w:t>Testing</w:t>
            </w:r>
          </w:p>
        </w:tc>
        <w:tc>
          <w:tcPr>
            <w:tcW w:w="2880" w:type="dxa"/>
            <w:tcBorders>
              <w:top w:val="nil"/>
              <w:left w:val="nil"/>
              <w:bottom w:val="nil"/>
              <w:right w:val="nil"/>
            </w:tcBorders>
            <w:shd w:val="clear" w:color="auto" w:fill="auto"/>
            <w:noWrap/>
            <w:vAlign w:val="center"/>
            <w:hideMark/>
          </w:tcPr>
          <w:p w14:paraId="30AA4E4B" w14:textId="77777777" w:rsidR="002513F1" w:rsidRPr="00591637" w:rsidRDefault="002513F1" w:rsidP="00E355C5">
            <w:pPr>
              <w:rPr>
                <w:i/>
                <w:color w:val="000000" w:themeColor="text1"/>
                <w:sz w:val="20"/>
                <w:szCs w:val="20"/>
              </w:rPr>
            </w:pPr>
            <w:r w:rsidRPr="00591637">
              <w:rPr>
                <w:color w:val="000000" w:themeColor="text1"/>
                <w:sz w:val="20"/>
                <w:szCs w:val="20"/>
              </w:rPr>
              <w:t>Changes in scores due to taking the test more than once</w:t>
            </w:r>
          </w:p>
        </w:tc>
        <w:tc>
          <w:tcPr>
            <w:tcW w:w="5125" w:type="dxa"/>
            <w:tcBorders>
              <w:top w:val="nil"/>
              <w:left w:val="nil"/>
              <w:bottom w:val="nil"/>
              <w:right w:val="nil"/>
            </w:tcBorders>
            <w:shd w:val="clear" w:color="auto" w:fill="auto"/>
            <w:noWrap/>
            <w:vAlign w:val="center"/>
            <w:hideMark/>
          </w:tcPr>
          <w:p w14:paraId="108A6F30" w14:textId="77777777" w:rsidR="002513F1" w:rsidRPr="00591637" w:rsidRDefault="002513F1" w:rsidP="00E355C5">
            <w:pPr>
              <w:rPr>
                <w:color w:val="000000" w:themeColor="text1"/>
                <w:sz w:val="20"/>
                <w:szCs w:val="20"/>
              </w:rPr>
            </w:pPr>
            <w:r w:rsidRPr="00591637">
              <w:rPr>
                <w:color w:val="000000" w:themeColor="text1"/>
                <w:sz w:val="20"/>
                <w:szCs w:val="20"/>
              </w:rPr>
              <w:t>It is not foreseeable that the the participants may take the test more than once due to the nature of the study does not include a pre-test/post test.</w:t>
            </w:r>
          </w:p>
        </w:tc>
      </w:tr>
      <w:tr w:rsidR="002513F1" w:rsidRPr="00591637" w14:paraId="7BC26BC0" w14:textId="77777777" w:rsidTr="00E355C5">
        <w:trPr>
          <w:trHeight w:val="550"/>
          <w:jc w:val="center"/>
        </w:trPr>
        <w:tc>
          <w:tcPr>
            <w:tcW w:w="1530" w:type="dxa"/>
            <w:tcBorders>
              <w:top w:val="nil"/>
              <w:left w:val="nil"/>
              <w:bottom w:val="nil"/>
              <w:right w:val="nil"/>
            </w:tcBorders>
            <w:shd w:val="clear" w:color="auto" w:fill="auto"/>
            <w:noWrap/>
            <w:vAlign w:val="center"/>
            <w:hideMark/>
          </w:tcPr>
          <w:p w14:paraId="662B0615" w14:textId="77777777" w:rsidR="002513F1" w:rsidRPr="00591637" w:rsidRDefault="002513F1" w:rsidP="00E355C5">
            <w:pPr>
              <w:rPr>
                <w:color w:val="000000" w:themeColor="text1"/>
                <w:sz w:val="20"/>
                <w:szCs w:val="20"/>
              </w:rPr>
            </w:pPr>
            <w:r w:rsidRPr="00591637">
              <w:rPr>
                <w:color w:val="000000" w:themeColor="text1"/>
                <w:sz w:val="20"/>
                <w:szCs w:val="20"/>
              </w:rPr>
              <w:t>Regression</w:t>
            </w:r>
          </w:p>
        </w:tc>
        <w:tc>
          <w:tcPr>
            <w:tcW w:w="2880" w:type="dxa"/>
            <w:tcBorders>
              <w:top w:val="nil"/>
              <w:left w:val="nil"/>
              <w:bottom w:val="nil"/>
              <w:right w:val="nil"/>
            </w:tcBorders>
            <w:shd w:val="clear" w:color="auto" w:fill="auto"/>
            <w:noWrap/>
            <w:vAlign w:val="center"/>
            <w:hideMark/>
          </w:tcPr>
          <w:p w14:paraId="1B9552B6" w14:textId="77777777" w:rsidR="002513F1" w:rsidRPr="00591637" w:rsidRDefault="002513F1" w:rsidP="00E355C5">
            <w:pPr>
              <w:rPr>
                <w:color w:val="000000" w:themeColor="text1"/>
                <w:sz w:val="20"/>
                <w:szCs w:val="20"/>
              </w:rPr>
            </w:pPr>
            <w:r w:rsidRPr="00591637">
              <w:rPr>
                <w:color w:val="000000" w:themeColor="text1"/>
                <w:sz w:val="20"/>
                <w:szCs w:val="20"/>
              </w:rPr>
              <w:t>Changes in scores due to the participants who score low on the pretest will score higher on the posttest</w:t>
            </w:r>
          </w:p>
        </w:tc>
        <w:tc>
          <w:tcPr>
            <w:tcW w:w="5125" w:type="dxa"/>
            <w:tcBorders>
              <w:top w:val="nil"/>
              <w:left w:val="nil"/>
              <w:bottom w:val="nil"/>
              <w:right w:val="nil"/>
            </w:tcBorders>
            <w:shd w:val="clear" w:color="auto" w:fill="auto"/>
            <w:noWrap/>
            <w:vAlign w:val="center"/>
            <w:hideMark/>
          </w:tcPr>
          <w:p w14:paraId="4A92C5FE" w14:textId="77777777" w:rsidR="002513F1" w:rsidRPr="00591637" w:rsidRDefault="002513F1" w:rsidP="00E355C5">
            <w:pPr>
              <w:rPr>
                <w:color w:val="000000" w:themeColor="text1"/>
                <w:sz w:val="20"/>
                <w:szCs w:val="20"/>
              </w:rPr>
            </w:pPr>
            <w:r w:rsidRPr="00591637">
              <w:rPr>
                <w:color w:val="000000" w:themeColor="text1"/>
                <w:sz w:val="20"/>
                <w:szCs w:val="20"/>
              </w:rPr>
              <w:t>This study is not utilizing pretest/posttest.</w:t>
            </w:r>
          </w:p>
        </w:tc>
      </w:tr>
      <w:tr w:rsidR="002513F1" w:rsidRPr="00591637" w14:paraId="33404F7E" w14:textId="77777777" w:rsidTr="00E355C5">
        <w:trPr>
          <w:trHeight w:val="550"/>
          <w:jc w:val="center"/>
        </w:trPr>
        <w:tc>
          <w:tcPr>
            <w:tcW w:w="1530" w:type="dxa"/>
            <w:tcBorders>
              <w:top w:val="nil"/>
              <w:left w:val="nil"/>
              <w:bottom w:val="nil"/>
              <w:right w:val="nil"/>
            </w:tcBorders>
            <w:shd w:val="clear" w:color="auto" w:fill="auto"/>
            <w:noWrap/>
            <w:vAlign w:val="center"/>
            <w:hideMark/>
          </w:tcPr>
          <w:p w14:paraId="6CAC93B7" w14:textId="77777777" w:rsidR="002513F1" w:rsidRPr="00591637" w:rsidRDefault="002513F1" w:rsidP="00E355C5">
            <w:pPr>
              <w:rPr>
                <w:color w:val="000000" w:themeColor="text1"/>
                <w:sz w:val="20"/>
                <w:szCs w:val="20"/>
              </w:rPr>
            </w:pPr>
            <w:r w:rsidRPr="00591637">
              <w:rPr>
                <w:color w:val="000000" w:themeColor="text1"/>
                <w:sz w:val="20"/>
                <w:szCs w:val="20"/>
              </w:rPr>
              <w:t>Selection Bias</w:t>
            </w:r>
          </w:p>
        </w:tc>
        <w:tc>
          <w:tcPr>
            <w:tcW w:w="2880" w:type="dxa"/>
            <w:tcBorders>
              <w:top w:val="nil"/>
              <w:left w:val="nil"/>
              <w:bottom w:val="nil"/>
              <w:right w:val="nil"/>
            </w:tcBorders>
            <w:shd w:val="clear" w:color="auto" w:fill="auto"/>
            <w:noWrap/>
            <w:vAlign w:val="center"/>
            <w:hideMark/>
          </w:tcPr>
          <w:p w14:paraId="33ABD422" w14:textId="77777777" w:rsidR="002513F1" w:rsidRPr="00591637" w:rsidRDefault="002513F1" w:rsidP="00E355C5">
            <w:pPr>
              <w:rPr>
                <w:color w:val="000000" w:themeColor="text1"/>
                <w:sz w:val="20"/>
                <w:szCs w:val="20"/>
              </w:rPr>
            </w:pPr>
            <w:r w:rsidRPr="00591637">
              <w:rPr>
                <w:color w:val="000000" w:themeColor="text1"/>
                <w:sz w:val="20"/>
                <w:szCs w:val="20"/>
              </w:rPr>
              <w:t xml:space="preserve">Differences between groups that exist before implementation of the treatment. </w:t>
            </w:r>
          </w:p>
        </w:tc>
        <w:tc>
          <w:tcPr>
            <w:tcW w:w="5125" w:type="dxa"/>
            <w:tcBorders>
              <w:top w:val="nil"/>
              <w:left w:val="nil"/>
              <w:bottom w:val="nil"/>
              <w:right w:val="nil"/>
            </w:tcBorders>
            <w:shd w:val="clear" w:color="auto" w:fill="auto"/>
            <w:noWrap/>
            <w:vAlign w:val="center"/>
            <w:hideMark/>
          </w:tcPr>
          <w:p w14:paraId="61F5F18B" w14:textId="77777777" w:rsidR="002513F1" w:rsidRPr="00591637" w:rsidRDefault="002513F1" w:rsidP="00E355C5">
            <w:pPr>
              <w:rPr>
                <w:color w:val="000000" w:themeColor="text1"/>
                <w:sz w:val="20"/>
                <w:szCs w:val="20"/>
              </w:rPr>
            </w:pPr>
            <w:r w:rsidRPr="00591637">
              <w:rPr>
                <w:color w:val="000000" w:themeColor="text1"/>
                <w:sz w:val="20"/>
                <w:szCs w:val="20"/>
              </w:rPr>
              <w:t xml:space="preserve">This study has formed two groups within the same sample population to determine correlation between variables. </w:t>
            </w:r>
          </w:p>
        </w:tc>
      </w:tr>
      <w:tr w:rsidR="002513F1" w:rsidRPr="00591637" w14:paraId="6C66A82B" w14:textId="77777777" w:rsidTr="00E355C5">
        <w:trPr>
          <w:trHeight w:val="550"/>
          <w:jc w:val="center"/>
        </w:trPr>
        <w:tc>
          <w:tcPr>
            <w:tcW w:w="1530" w:type="dxa"/>
            <w:tcBorders>
              <w:top w:val="nil"/>
              <w:left w:val="nil"/>
              <w:bottom w:val="nil"/>
              <w:right w:val="nil"/>
            </w:tcBorders>
            <w:shd w:val="clear" w:color="auto" w:fill="auto"/>
            <w:noWrap/>
            <w:vAlign w:val="center"/>
            <w:hideMark/>
          </w:tcPr>
          <w:p w14:paraId="45366120" w14:textId="77777777" w:rsidR="002513F1" w:rsidRPr="00591637" w:rsidRDefault="002513F1" w:rsidP="00E355C5">
            <w:pPr>
              <w:rPr>
                <w:color w:val="000000" w:themeColor="text1"/>
                <w:sz w:val="20"/>
                <w:szCs w:val="20"/>
              </w:rPr>
            </w:pPr>
            <w:r w:rsidRPr="00591637">
              <w:rPr>
                <w:color w:val="000000" w:themeColor="text1"/>
                <w:sz w:val="20"/>
                <w:szCs w:val="20"/>
              </w:rPr>
              <w:t>Contamination</w:t>
            </w:r>
          </w:p>
        </w:tc>
        <w:tc>
          <w:tcPr>
            <w:tcW w:w="2880" w:type="dxa"/>
            <w:tcBorders>
              <w:top w:val="nil"/>
              <w:left w:val="nil"/>
              <w:bottom w:val="nil"/>
              <w:right w:val="nil"/>
            </w:tcBorders>
            <w:shd w:val="clear" w:color="auto" w:fill="auto"/>
            <w:noWrap/>
            <w:vAlign w:val="center"/>
            <w:hideMark/>
          </w:tcPr>
          <w:p w14:paraId="5238E5FC" w14:textId="77777777" w:rsidR="002513F1" w:rsidRPr="00591637" w:rsidRDefault="002513F1" w:rsidP="00E355C5">
            <w:pPr>
              <w:rPr>
                <w:color w:val="000000" w:themeColor="text1"/>
                <w:sz w:val="20"/>
                <w:szCs w:val="20"/>
              </w:rPr>
            </w:pPr>
            <w:r w:rsidRPr="00591637">
              <w:rPr>
                <w:color w:val="000000" w:themeColor="text1"/>
                <w:sz w:val="20"/>
                <w:szCs w:val="20"/>
              </w:rPr>
              <w:t>occurs when information about the experiment is communicated between groups of participants, which may lead to resentment, rivalry, or diffusion of treatment</w:t>
            </w:r>
          </w:p>
        </w:tc>
        <w:tc>
          <w:tcPr>
            <w:tcW w:w="5125" w:type="dxa"/>
            <w:tcBorders>
              <w:top w:val="nil"/>
              <w:left w:val="nil"/>
              <w:bottom w:val="nil"/>
              <w:right w:val="nil"/>
            </w:tcBorders>
            <w:shd w:val="clear" w:color="auto" w:fill="auto"/>
            <w:noWrap/>
            <w:vAlign w:val="center"/>
            <w:hideMark/>
          </w:tcPr>
          <w:p w14:paraId="6BDBDAD2" w14:textId="77777777" w:rsidR="002513F1" w:rsidRPr="00591637" w:rsidRDefault="002513F1" w:rsidP="00E355C5">
            <w:pPr>
              <w:rPr>
                <w:color w:val="000000" w:themeColor="text1"/>
                <w:sz w:val="20"/>
                <w:szCs w:val="20"/>
              </w:rPr>
            </w:pPr>
            <w:r w:rsidRPr="00591637">
              <w:rPr>
                <w:color w:val="000000" w:themeColor="text1"/>
                <w:sz w:val="20"/>
                <w:szCs w:val="20"/>
              </w:rPr>
              <w:t xml:space="preserve">Contamination is a threat if both groups communicate to each other about their experience responding to measures due to the possible influence of leaving or remaining in the abusive relationship.  This threat will be prevented by individually administering the tests to participants and providing instructions about not sharing information with other participants during the course of the study. </w:t>
            </w:r>
          </w:p>
        </w:tc>
      </w:tr>
      <w:tr w:rsidR="002513F1" w:rsidRPr="00591637" w14:paraId="6E4A8704" w14:textId="77777777" w:rsidTr="00E355C5">
        <w:trPr>
          <w:trHeight w:val="550"/>
          <w:jc w:val="center"/>
        </w:trPr>
        <w:tc>
          <w:tcPr>
            <w:tcW w:w="1530" w:type="dxa"/>
            <w:tcBorders>
              <w:top w:val="nil"/>
              <w:left w:val="nil"/>
              <w:bottom w:val="nil"/>
              <w:right w:val="nil"/>
            </w:tcBorders>
            <w:shd w:val="clear" w:color="auto" w:fill="auto"/>
            <w:noWrap/>
            <w:vAlign w:val="center"/>
            <w:hideMark/>
          </w:tcPr>
          <w:p w14:paraId="394E5975" w14:textId="77777777" w:rsidR="002513F1" w:rsidRPr="00591637" w:rsidRDefault="002513F1" w:rsidP="00E355C5">
            <w:pPr>
              <w:rPr>
                <w:color w:val="000000" w:themeColor="text1"/>
                <w:sz w:val="20"/>
                <w:szCs w:val="20"/>
              </w:rPr>
            </w:pPr>
            <w:r w:rsidRPr="00591637">
              <w:rPr>
                <w:color w:val="000000" w:themeColor="text1"/>
                <w:sz w:val="20"/>
                <w:szCs w:val="20"/>
              </w:rPr>
              <w:t>Attrition</w:t>
            </w:r>
          </w:p>
        </w:tc>
        <w:tc>
          <w:tcPr>
            <w:tcW w:w="2880" w:type="dxa"/>
            <w:tcBorders>
              <w:top w:val="nil"/>
              <w:left w:val="nil"/>
              <w:bottom w:val="nil"/>
              <w:right w:val="nil"/>
            </w:tcBorders>
            <w:shd w:val="clear" w:color="auto" w:fill="auto"/>
            <w:noWrap/>
            <w:vAlign w:val="center"/>
            <w:hideMark/>
          </w:tcPr>
          <w:p w14:paraId="0DCA9D45" w14:textId="77777777" w:rsidR="002513F1" w:rsidRPr="00591637" w:rsidRDefault="002513F1" w:rsidP="00E355C5">
            <w:pPr>
              <w:rPr>
                <w:color w:val="000000" w:themeColor="text1"/>
                <w:sz w:val="20"/>
                <w:szCs w:val="20"/>
              </w:rPr>
            </w:pPr>
            <w:r w:rsidRPr="00591637">
              <w:rPr>
                <w:color w:val="000000" w:themeColor="text1"/>
                <w:sz w:val="20"/>
                <w:szCs w:val="20"/>
              </w:rPr>
              <w:t xml:space="preserve">The effect of participants dropping out of a study </w:t>
            </w:r>
          </w:p>
        </w:tc>
        <w:tc>
          <w:tcPr>
            <w:tcW w:w="5125" w:type="dxa"/>
            <w:tcBorders>
              <w:top w:val="nil"/>
              <w:left w:val="nil"/>
              <w:bottom w:val="nil"/>
              <w:right w:val="nil"/>
            </w:tcBorders>
            <w:shd w:val="clear" w:color="auto" w:fill="auto"/>
            <w:noWrap/>
            <w:vAlign w:val="center"/>
            <w:hideMark/>
          </w:tcPr>
          <w:p w14:paraId="310029A6" w14:textId="77777777" w:rsidR="002513F1" w:rsidRPr="00591637" w:rsidRDefault="002513F1" w:rsidP="00E355C5">
            <w:pPr>
              <w:rPr>
                <w:color w:val="000000" w:themeColor="text1"/>
                <w:sz w:val="20"/>
                <w:szCs w:val="20"/>
              </w:rPr>
            </w:pPr>
          </w:p>
        </w:tc>
      </w:tr>
      <w:tr w:rsidR="002513F1" w:rsidRPr="00591637" w14:paraId="44D64E62" w14:textId="77777777" w:rsidTr="00E355C5">
        <w:trPr>
          <w:trHeight w:val="550"/>
          <w:jc w:val="center"/>
        </w:trPr>
        <w:tc>
          <w:tcPr>
            <w:tcW w:w="1530" w:type="dxa"/>
            <w:tcBorders>
              <w:top w:val="nil"/>
              <w:left w:val="nil"/>
              <w:bottom w:val="nil"/>
              <w:right w:val="nil"/>
            </w:tcBorders>
            <w:shd w:val="clear" w:color="auto" w:fill="auto"/>
            <w:noWrap/>
            <w:vAlign w:val="center"/>
            <w:hideMark/>
          </w:tcPr>
          <w:p w14:paraId="3C2A89C2" w14:textId="77777777" w:rsidR="002513F1" w:rsidRPr="00591637" w:rsidRDefault="002513F1" w:rsidP="00E355C5">
            <w:pPr>
              <w:rPr>
                <w:color w:val="000000" w:themeColor="text1"/>
                <w:sz w:val="20"/>
                <w:szCs w:val="20"/>
              </w:rPr>
            </w:pPr>
            <w:r w:rsidRPr="00591637">
              <w:rPr>
                <w:color w:val="000000" w:themeColor="text1"/>
                <w:sz w:val="20"/>
                <w:szCs w:val="20"/>
              </w:rPr>
              <w:t>Instrumentation</w:t>
            </w:r>
          </w:p>
          <w:p w14:paraId="46F3A122" w14:textId="77777777" w:rsidR="002513F1" w:rsidRPr="00591637" w:rsidRDefault="002513F1" w:rsidP="00E355C5">
            <w:pPr>
              <w:rPr>
                <w:color w:val="000000" w:themeColor="text1"/>
                <w:sz w:val="20"/>
                <w:szCs w:val="20"/>
              </w:rPr>
            </w:pPr>
          </w:p>
        </w:tc>
        <w:tc>
          <w:tcPr>
            <w:tcW w:w="2880" w:type="dxa"/>
            <w:tcBorders>
              <w:top w:val="nil"/>
              <w:left w:val="nil"/>
              <w:bottom w:val="nil"/>
              <w:right w:val="nil"/>
            </w:tcBorders>
            <w:shd w:val="clear" w:color="auto" w:fill="auto"/>
            <w:noWrap/>
            <w:vAlign w:val="center"/>
            <w:hideMark/>
          </w:tcPr>
          <w:p w14:paraId="0B795E09" w14:textId="77777777" w:rsidR="002513F1" w:rsidRPr="00591637" w:rsidRDefault="002513F1" w:rsidP="00E355C5">
            <w:pPr>
              <w:rPr>
                <w:color w:val="000000" w:themeColor="text1"/>
                <w:sz w:val="20"/>
                <w:szCs w:val="20"/>
              </w:rPr>
            </w:pPr>
            <w:r w:rsidRPr="00591637">
              <w:rPr>
                <w:color w:val="000000" w:themeColor="text1"/>
                <w:sz w:val="20"/>
                <w:szCs w:val="20"/>
              </w:rPr>
              <w:t>Changes in the measuring device or procedure over the course of the study</w:t>
            </w:r>
          </w:p>
        </w:tc>
        <w:tc>
          <w:tcPr>
            <w:tcW w:w="5125" w:type="dxa"/>
            <w:tcBorders>
              <w:top w:val="nil"/>
              <w:left w:val="nil"/>
              <w:bottom w:val="nil"/>
              <w:right w:val="nil"/>
            </w:tcBorders>
            <w:shd w:val="clear" w:color="auto" w:fill="auto"/>
            <w:noWrap/>
            <w:vAlign w:val="center"/>
            <w:hideMark/>
          </w:tcPr>
          <w:p w14:paraId="4A193A17" w14:textId="77777777" w:rsidR="002513F1" w:rsidRPr="00591637" w:rsidRDefault="002513F1" w:rsidP="00E355C5">
            <w:pPr>
              <w:rPr>
                <w:color w:val="000000" w:themeColor="text1"/>
                <w:sz w:val="20"/>
                <w:szCs w:val="20"/>
              </w:rPr>
            </w:pPr>
            <w:r w:rsidRPr="00591637">
              <w:rPr>
                <w:color w:val="000000" w:themeColor="text1"/>
                <w:sz w:val="20"/>
                <w:szCs w:val="20"/>
              </w:rPr>
              <w:t xml:space="preserve">There is no utilization of pretest/post test. The researcher will be the one coding and managing data to avoid instrumentation threat of validity. </w:t>
            </w:r>
          </w:p>
        </w:tc>
      </w:tr>
      <w:tr w:rsidR="002513F1" w:rsidRPr="00591637" w14:paraId="2BF19068" w14:textId="77777777" w:rsidTr="00E355C5">
        <w:trPr>
          <w:trHeight w:val="550"/>
          <w:jc w:val="center"/>
        </w:trPr>
        <w:tc>
          <w:tcPr>
            <w:tcW w:w="1530" w:type="dxa"/>
            <w:tcBorders>
              <w:top w:val="nil"/>
              <w:left w:val="nil"/>
              <w:bottom w:val="nil"/>
              <w:right w:val="nil"/>
            </w:tcBorders>
            <w:shd w:val="clear" w:color="auto" w:fill="auto"/>
            <w:noWrap/>
            <w:vAlign w:val="center"/>
            <w:hideMark/>
          </w:tcPr>
          <w:p w14:paraId="6C89F11F" w14:textId="77777777" w:rsidR="002513F1" w:rsidRPr="00591637" w:rsidRDefault="002513F1" w:rsidP="00E355C5">
            <w:pPr>
              <w:rPr>
                <w:color w:val="000000" w:themeColor="text1"/>
                <w:sz w:val="20"/>
                <w:szCs w:val="20"/>
              </w:rPr>
            </w:pPr>
            <w:r w:rsidRPr="00591637">
              <w:rPr>
                <w:color w:val="000000" w:themeColor="text1"/>
                <w:sz w:val="20"/>
                <w:szCs w:val="20"/>
              </w:rPr>
              <w:t>Combination of Selection and Other Threats</w:t>
            </w:r>
          </w:p>
        </w:tc>
        <w:tc>
          <w:tcPr>
            <w:tcW w:w="2880" w:type="dxa"/>
            <w:tcBorders>
              <w:top w:val="nil"/>
              <w:left w:val="nil"/>
              <w:bottom w:val="nil"/>
              <w:right w:val="nil"/>
            </w:tcBorders>
            <w:shd w:val="clear" w:color="auto" w:fill="auto"/>
            <w:noWrap/>
            <w:vAlign w:val="center"/>
            <w:hideMark/>
          </w:tcPr>
          <w:p w14:paraId="02F42535" w14:textId="77777777" w:rsidR="002513F1" w:rsidRPr="00591637" w:rsidRDefault="002513F1" w:rsidP="00E355C5">
            <w:pPr>
              <w:rPr>
                <w:color w:val="000000" w:themeColor="text1"/>
                <w:sz w:val="20"/>
                <w:szCs w:val="20"/>
              </w:rPr>
            </w:pPr>
            <w:r w:rsidRPr="00591637">
              <w:rPr>
                <w:color w:val="000000" w:themeColor="text1"/>
                <w:sz w:val="20"/>
                <w:szCs w:val="20"/>
              </w:rPr>
              <w:t>Threats of validity across the selection of groups for one group but not the other group</w:t>
            </w:r>
          </w:p>
        </w:tc>
        <w:tc>
          <w:tcPr>
            <w:tcW w:w="5125" w:type="dxa"/>
            <w:tcBorders>
              <w:top w:val="nil"/>
              <w:left w:val="nil"/>
              <w:bottom w:val="nil"/>
              <w:right w:val="nil"/>
            </w:tcBorders>
            <w:shd w:val="clear" w:color="auto" w:fill="auto"/>
            <w:noWrap/>
            <w:vAlign w:val="center"/>
            <w:hideMark/>
          </w:tcPr>
          <w:p w14:paraId="6B4407F1" w14:textId="77777777" w:rsidR="002513F1" w:rsidRPr="00591637" w:rsidRDefault="002513F1" w:rsidP="00E355C5">
            <w:pPr>
              <w:rPr>
                <w:color w:val="000000" w:themeColor="text1"/>
                <w:sz w:val="20"/>
                <w:szCs w:val="20"/>
              </w:rPr>
            </w:pPr>
            <w:r w:rsidRPr="00591637">
              <w:rPr>
                <w:color w:val="000000" w:themeColor="text1"/>
                <w:sz w:val="20"/>
                <w:szCs w:val="20"/>
              </w:rPr>
              <w:t>This threat is not foreseeable in this research</w:t>
            </w:r>
          </w:p>
        </w:tc>
      </w:tr>
      <w:tr w:rsidR="002513F1" w:rsidRPr="00591637" w14:paraId="59C3CEDE" w14:textId="77777777" w:rsidTr="00E355C5">
        <w:trPr>
          <w:trHeight w:val="550"/>
          <w:jc w:val="center"/>
        </w:trPr>
        <w:tc>
          <w:tcPr>
            <w:tcW w:w="1530" w:type="dxa"/>
            <w:tcBorders>
              <w:top w:val="nil"/>
              <w:left w:val="nil"/>
              <w:bottom w:val="nil"/>
              <w:right w:val="nil"/>
            </w:tcBorders>
            <w:shd w:val="clear" w:color="auto" w:fill="auto"/>
            <w:noWrap/>
            <w:vAlign w:val="center"/>
            <w:hideMark/>
          </w:tcPr>
          <w:p w14:paraId="6D3DA6E4" w14:textId="77777777" w:rsidR="002513F1" w:rsidRPr="00591637" w:rsidRDefault="002513F1" w:rsidP="00E355C5">
            <w:pPr>
              <w:rPr>
                <w:color w:val="000000" w:themeColor="text1"/>
                <w:sz w:val="20"/>
                <w:szCs w:val="20"/>
              </w:rPr>
            </w:pPr>
            <w:r w:rsidRPr="00591637">
              <w:rPr>
                <w:color w:val="000000" w:themeColor="text1"/>
                <w:sz w:val="20"/>
                <w:szCs w:val="20"/>
              </w:rPr>
              <w:t>Diffusion or Imitation of Treatment</w:t>
            </w:r>
          </w:p>
        </w:tc>
        <w:tc>
          <w:tcPr>
            <w:tcW w:w="2880" w:type="dxa"/>
            <w:tcBorders>
              <w:top w:val="nil"/>
              <w:left w:val="nil"/>
              <w:bottom w:val="nil"/>
              <w:right w:val="nil"/>
            </w:tcBorders>
            <w:shd w:val="clear" w:color="auto" w:fill="auto"/>
            <w:noWrap/>
            <w:vAlign w:val="center"/>
            <w:hideMark/>
          </w:tcPr>
          <w:p w14:paraId="7138731C" w14:textId="77777777" w:rsidR="002513F1" w:rsidRPr="00591637" w:rsidRDefault="002513F1" w:rsidP="00E355C5">
            <w:pPr>
              <w:rPr>
                <w:color w:val="000000" w:themeColor="text1"/>
                <w:sz w:val="20"/>
                <w:szCs w:val="20"/>
              </w:rPr>
            </w:pPr>
          </w:p>
        </w:tc>
        <w:tc>
          <w:tcPr>
            <w:tcW w:w="5125" w:type="dxa"/>
            <w:tcBorders>
              <w:top w:val="nil"/>
              <w:left w:val="nil"/>
              <w:bottom w:val="nil"/>
              <w:right w:val="nil"/>
            </w:tcBorders>
            <w:shd w:val="clear" w:color="auto" w:fill="auto"/>
            <w:noWrap/>
            <w:vAlign w:val="center"/>
            <w:hideMark/>
          </w:tcPr>
          <w:p w14:paraId="1DA4E3CC" w14:textId="77777777" w:rsidR="002513F1" w:rsidRPr="00591637" w:rsidRDefault="002513F1" w:rsidP="00E355C5">
            <w:pPr>
              <w:rPr>
                <w:color w:val="000000" w:themeColor="text1"/>
                <w:sz w:val="20"/>
                <w:szCs w:val="20"/>
              </w:rPr>
            </w:pPr>
          </w:p>
        </w:tc>
      </w:tr>
      <w:tr w:rsidR="002513F1" w:rsidRPr="00591637" w14:paraId="690EE531" w14:textId="77777777" w:rsidTr="00E355C5">
        <w:trPr>
          <w:trHeight w:val="550"/>
          <w:jc w:val="center"/>
        </w:trPr>
        <w:tc>
          <w:tcPr>
            <w:tcW w:w="1530" w:type="dxa"/>
            <w:tcBorders>
              <w:top w:val="nil"/>
              <w:left w:val="nil"/>
              <w:bottom w:val="single" w:sz="8" w:space="0" w:color="auto"/>
              <w:right w:val="nil"/>
            </w:tcBorders>
            <w:shd w:val="clear" w:color="auto" w:fill="auto"/>
            <w:noWrap/>
            <w:vAlign w:val="center"/>
            <w:hideMark/>
          </w:tcPr>
          <w:p w14:paraId="47E3F89C" w14:textId="77777777" w:rsidR="002513F1" w:rsidRPr="00591637" w:rsidRDefault="002513F1" w:rsidP="00E355C5">
            <w:pPr>
              <w:rPr>
                <w:color w:val="000000" w:themeColor="text1"/>
                <w:sz w:val="20"/>
                <w:szCs w:val="20"/>
              </w:rPr>
            </w:pPr>
            <w:r w:rsidRPr="00591637">
              <w:rPr>
                <w:color w:val="000000" w:themeColor="text1"/>
                <w:sz w:val="20"/>
                <w:szCs w:val="20"/>
              </w:rPr>
              <w:t>Special Treatment or Reaction</w:t>
            </w:r>
          </w:p>
        </w:tc>
        <w:tc>
          <w:tcPr>
            <w:tcW w:w="2880" w:type="dxa"/>
            <w:tcBorders>
              <w:top w:val="nil"/>
              <w:left w:val="nil"/>
              <w:bottom w:val="single" w:sz="8" w:space="0" w:color="auto"/>
              <w:right w:val="nil"/>
            </w:tcBorders>
            <w:shd w:val="clear" w:color="auto" w:fill="auto"/>
            <w:noWrap/>
            <w:vAlign w:val="center"/>
            <w:hideMark/>
          </w:tcPr>
          <w:p w14:paraId="0FC549F9" w14:textId="77777777" w:rsidR="002513F1" w:rsidRPr="00591637" w:rsidRDefault="002513F1" w:rsidP="00E355C5">
            <w:pPr>
              <w:rPr>
                <w:color w:val="000000" w:themeColor="text1"/>
                <w:sz w:val="20"/>
                <w:szCs w:val="20"/>
              </w:rPr>
            </w:pPr>
            <w:r w:rsidRPr="00591637">
              <w:rPr>
                <w:color w:val="000000" w:themeColor="text1"/>
                <w:sz w:val="20"/>
                <w:szCs w:val="20"/>
              </w:rPr>
              <w:t> </w:t>
            </w:r>
          </w:p>
        </w:tc>
        <w:tc>
          <w:tcPr>
            <w:tcW w:w="5125" w:type="dxa"/>
            <w:tcBorders>
              <w:top w:val="nil"/>
              <w:left w:val="nil"/>
              <w:bottom w:val="single" w:sz="8" w:space="0" w:color="auto"/>
              <w:right w:val="nil"/>
            </w:tcBorders>
            <w:shd w:val="clear" w:color="auto" w:fill="auto"/>
            <w:noWrap/>
            <w:vAlign w:val="center"/>
            <w:hideMark/>
          </w:tcPr>
          <w:p w14:paraId="1EB38C02" w14:textId="77777777" w:rsidR="002513F1" w:rsidRPr="00591637" w:rsidRDefault="002513F1" w:rsidP="00E355C5">
            <w:pPr>
              <w:rPr>
                <w:color w:val="000000" w:themeColor="text1"/>
                <w:sz w:val="20"/>
                <w:szCs w:val="20"/>
              </w:rPr>
            </w:pPr>
            <w:r w:rsidRPr="00591637">
              <w:rPr>
                <w:color w:val="000000" w:themeColor="text1"/>
                <w:sz w:val="20"/>
                <w:szCs w:val="20"/>
              </w:rPr>
              <w:t> </w:t>
            </w:r>
          </w:p>
        </w:tc>
      </w:tr>
    </w:tbl>
    <w:p w14:paraId="7B7B790A" w14:textId="77777777" w:rsidR="002513F1" w:rsidRPr="007D5080" w:rsidRDefault="002513F1" w:rsidP="002513F1">
      <w:pPr>
        <w:rPr>
          <w:color w:val="000000" w:themeColor="text1"/>
        </w:rPr>
      </w:pPr>
    </w:p>
    <w:p w14:paraId="4ADF7895" w14:textId="77777777" w:rsidR="002513F1" w:rsidRPr="007D5080" w:rsidRDefault="002513F1" w:rsidP="002513F1">
      <w:pPr>
        <w:rPr>
          <w:color w:val="000000" w:themeColor="text1"/>
        </w:rPr>
      </w:pPr>
    </w:p>
    <w:p w14:paraId="7A21C105" w14:textId="77777777" w:rsidR="002513F1" w:rsidRPr="007D5080" w:rsidRDefault="002513F1" w:rsidP="002513F1">
      <w:pPr>
        <w:rPr>
          <w:color w:val="000000" w:themeColor="text1"/>
        </w:rPr>
      </w:pPr>
      <w:r w:rsidRPr="007D5080">
        <w:rPr>
          <w:color w:val="000000" w:themeColor="text1"/>
        </w:rPr>
        <w:br w:type="page"/>
      </w:r>
    </w:p>
    <w:tbl>
      <w:tblPr>
        <w:tblW w:w="9714" w:type="dxa"/>
        <w:tblInd w:w="93" w:type="dxa"/>
        <w:tblLayout w:type="fixed"/>
        <w:tblLook w:val="04A0" w:firstRow="1" w:lastRow="0" w:firstColumn="1" w:lastColumn="0" w:noHBand="0" w:noVBand="1"/>
      </w:tblPr>
      <w:tblGrid>
        <w:gridCol w:w="1737"/>
        <w:gridCol w:w="3137"/>
        <w:gridCol w:w="12"/>
        <w:gridCol w:w="4816"/>
        <w:gridCol w:w="12"/>
      </w:tblGrid>
      <w:tr w:rsidR="002513F1" w:rsidRPr="007D5080" w14:paraId="32190FAF" w14:textId="77777777" w:rsidTr="00E355C5">
        <w:trPr>
          <w:gridAfter w:val="1"/>
          <w:wAfter w:w="12" w:type="dxa"/>
          <w:trHeight w:val="528"/>
        </w:trPr>
        <w:tc>
          <w:tcPr>
            <w:tcW w:w="1737" w:type="dxa"/>
            <w:tcBorders>
              <w:top w:val="nil"/>
              <w:left w:val="nil"/>
              <w:bottom w:val="nil"/>
              <w:right w:val="nil"/>
            </w:tcBorders>
            <w:shd w:val="clear" w:color="auto" w:fill="auto"/>
            <w:noWrap/>
            <w:vAlign w:val="center"/>
            <w:hideMark/>
          </w:tcPr>
          <w:p w14:paraId="7BF6D54C" w14:textId="77777777" w:rsidR="002513F1" w:rsidRPr="007D5080" w:rsidRDefault="002513F1" w:rsidP="00E355C5">
            <w:pPr>
              <w:rPr>
                <w:color w:val="000000" w:themeColor="text1"/>
              </w:rPr>
            </w:pPr>
            <w:r w:rsidRPr="007D5080">
              <w:rPr>
                <w:color w:val="000000" w:themeColor="text1"/>
              </w:rPr>
              <w:lastRenderedPageBreak/>
              <w:t>Table 3</w:t>
            </w:r>
          </w:p>
        </w:tc>
        <w:tc>
          <w:tcPr>
            <w:tcW w:w="3137" w:type="dxa"/>
            <w:tcBorders>
              <w:top w:val="nil"/>
              <w:left w:val="nil"/>
              <w:bottom w:val="nil"/>
              <w:right w:val="nil"/>
            </w:tcBorders>
            <w:shd w:val="clear" w:color="auto" w:fill="auto"/>
            <w:noWrap/>
            <w:vAlign w:val="center"/>
            <w:hideMark/>
          </w:tcPr>
          <w:p w14:paraId="4761C7CF" w14:textId="77777777" w:rsidR="002513F1" w:rsidRPr="007D5080" w:rsidRDefault="002513F1" w:rsidP="00E355C5">
            <w:pPr>
              <w:rPr>
                <w:color w:val="000000" w:themeColor="text1"/>
              </w:rPr>
            </w:pPr>
          </w:p>
        </w:tc>
        <w:tc>
          <w:tcPr>
            <w:tcW w:w="4828" w:type="dxa"/>
            <w:gridSpan w:val="2"/>
            <w:tcBorders>
              <w:top w:val="nil"/>
              <w:left w:val="nil"/>
              <w:bottom w:val="nil"/>
              <w:right w:val="nil"/>
            </w:tcBorders>
            <w:shd w:val="clear" w:color="auto" w:fill="auto"/>
            <w:noWrap/>
            <w:vAlign w:val="center"/>
            <w:hideMark/>
          </w:tcPr>
          <w:p w14:paraId="0D3B2C24" w14:textId="77777777" w:rsidR="002513F1" w:rsidRPr="007D5080" w:rsidRDefault="002513F1" w:rsidP="00E355C5">
            <w:pPr>
              <w:rPr>
                <w:color w:val="000000" w:themeColor="text1"/>
              </w:rPr>
            </w:pPr>
          </w:p>
        </w:tc>
      </w:tr>
      <w:tr w:rsidR="002513F1" w:rsidRPr="007D5080" w14:paraId="2B633532" w14:textId="77777777" w:rsidTr="00E355C5">
        <w:trPr>
          <w:trHeight w:val="553"/>
        </w:trPr>
        <w:tc>
          <w:tcPr>
            <w:tcW w:w="4886" w:type="dxa"/>
            <w:gridSpan w:val="3"/>
            <w:tcBorders>
              <w:top w:val="nil"/>
              <w:left w:val="nil"/>
              <w:bottom w:val="single" w:sz="4" w:space="0" w:color="auto"/>
              <w:right w:val="nil"/>
            </w:tcBorders>
            <w:shd w:val="clear" w:color="auto" w:fill="auto"/>
            <w:noWrap/>
            <w:vAlign w:val="center"/>
            <w:hideMark/>
          </w:tcPr>
          <w:p w14:paraId="067B85AB" w14:textId="77777777" w:rsidR="002513F1" w:rsidRPr="007D5080" w:rsidRDefault="002513F1" w:rsidP="00E355C5">
            <w:pPr>
              <w:rPr>
                <w:i/>
                <w:iCs/>
                <w:color w:val="000000" w:themeColor="text1"/>
              </w:rPr>
            </w:pPr>
            <w:r w:rsidRPr="007D5080">
              <w:rPr>
                <w:i/>
                <w:iCs/>
                <w:color w:val="000000" w:themeColor="text1"/>
              </w:rPr>
              <w:t>Addressing the Threats to Statistical Conclusion Validity</w:t>
            </w:r>
          </w:p>
        </w:tc>
        <w:tc>
          <w:tcPr>
            <w:tcW w:w="4828" w:type="dxa"/>
            <w:gridSpan w:val="2"/>
            <w:tcBorders>
              <w:top w:val="nil"/>
              <w:left w:val="nil"/>
              <w:bottom w:val="single" w:sz="4" w:space="0" w:color="auto"/>
              <w:right w:val="nil"/>
            </w:tcBorders>
            <w:shd w:val="clear" w:color="auto" w:fill="auto"/>
            <w:noWrap/>
            <w:vAlign w:val="center"/>
            <w:hideMark/>
          </w:tcPr>
          <w:p w14:paraId="4BC3A379" w14:textId="77777777" w:rsidR="002513F1" w:rsidRPr="007D5080" w:rsidRDefault="002513F1" w:rsidP="00E355C5">
            <w:pPr>
              <w:rPr>
                <w:color w:val="000000" w:themeColor="text1"/>
              </w:rPr>
            </w:pPr>
            <w:r w:rsidRPr="007D5080">
              <w:rPr>
                <w:color w:val="000000" w:themeColor="text1"/>
              </w:rPr>
              <w:t> </w:t>
            </w:r>
          </w:p>
        </w:tc>
      </w:tr>
      <w:tr w:rsidR="002513F1" w:rsidRPr="007D5080" w14:paraId="295BC70E" w14:textId="77777777" w:rsidTr="00E355C5">
        <w:trPr>
          <w:gridAfter w:val="1"/>
          <w:wAfter w:w="12" w:type="dxa"/>
          <w:trHeight w:val="528"/>
        </w:trPr>
        <w:tc>
          <w:tcPr>
            <w:tcW w:w="1737" w:type="dxa"/>
            <w:tcBorders>
              <w:top w:val="nil"/>
              <w:left w:val="nil"/>
              <w:bottom w:val="single" w:sz="4" w:space="0" w:color="auto"/>
              <w:right w:val="nil"/>
            </w:tcBorders>
            <w:shd w:val="clear" w:color="auto" w:fill="auto"/>
            <w:noWrap/>
            <w:vAlign w:val="center"/>
            <w:hideMark/>
          </w:tcPr>
          <w:p w14:paraId="17FC89A5" w14:textId="77777777" w:rsidR="002513F1" w:rsidRPr="007D5080" w:rsidRDefault="002513F1" w:rsidP="00E355C5">
            <w:pPr>
              <w:rPr>
                <w:color w:val="000000" w:themeColor="text1"/>
              </w:rPr>
            </w:pPr>
            <w:r w:rsidRPr="007D5080">
              <w:rPr>
                <w:color w:val="000000" w:themeColor="text1"/>
              </w:rPr>
              <w:t>Type of Threat</w:t>
            </w:r>
          </w:p>
        </w:tc>
        <w:tc>
          <w:tcPr>
            <w:tcW w:w="3137" w:type="dxa"/>
            <w:tcBorders>
              <w:top w:val="nil"/>
              <w:left w:val="nil"/>
              <w:bottom w:val="single" w:sz="4" w:space="0" w:color="auto"/>
              <w:right w:val="nil"/>
            </w:tcBorders>
            <w:shd w:val="clear" w:color="auto" w:fill="auto"/>
            <w:noWrap/>
            <w:vAlign w:val="center"/>
            <w:hideMark/>
          </w:tcPr>
          <w:p w14:paraId="4E39478C" w14:textId="77777777" w:rsidR="002513F1" w:rsidRPr="007D5080" w:rsidRDefault="002513F1" w:rsidP="00E355C5">
            <w:pPr>
              <w:rPr>
                <w:color w:val="000000" w:themeColor="text1"/>
              </w:rPr>
            </w:pPr>
            <w:r w:rsidRPr="007D5080">
              <w:rPr>
                <w:color w:val="000000" w:themeColor="text1"/>
              </w:rPr>
              <w:t>Definition</w:t>
            </w:r>
          </w:p>
        </w:tc>
        <w:tc>
          <w:tcPr>
            <w:tcW w:w="4828" w:type="dxa"/>
            <w:gridSpan w:val="2"/>
            <w:tcBorders>
              <w:top w:val="nil"/>
              <w:left w:val="nil"/>
              <w:bottom w:val="single" w:sz="4" w:space="0" w:color="auto"/>
              <w:right w:val="nil"/>
            </w:tcBorders>
            <w:shd w:val="clear" w:color="auto" w:fill="auto"/>
            <w:noWrap/>
            <w:vAlign w:val="center"/>
            <w:hideMark/>
          </w:tcPr>
          <w:p w14:paraId="067AA014" w14:textId="77777777" w:rsidR="002513F1" w:rsidRPr="007D5080" w:rsidRDefault="002513F1" w:rsidP="00E355C5">
            <w:pPr>
              <w:rPr>
                <w:color w:val="000000" w:themeColor="text1"/>
              </w:rPr>
            </w:pPr>
            <w:r w:rsidRPr="007D5080">
              <w:rPr>
                <w:color w:val="000000" w:themeColor="text1"/>
              </w:rPr>
              <w:t>Application to Proposed Measure</w:t>
            </w:r>
          </w:p>
        </w:tc>
      </w:tr>
      <w:tr w:rsidR="002513F1" w:rsidRPr="007D5080" w14:paraId="52D29040" w14:textId="77777777" w:rsidTr="00E355C5">
        <w:trPr>
          <w:gridAfter w:val="1"/>
          <w:wAfter w:w="12" w:type="dxa"/>
          <w:trHeight w:val="677"/>
        </w:trPr>
        <w:tc>
          <w:tcPr>
            <w:tcW w:w="1737" w:type="dxa"/>
            <w:tcBorders>
              <w:top w:val="nil"/>
              <w:left w:val="nil"/>
              <w:bottom w:val="nil"/>
              <w:right w:val="nil"/>
            </w:tcBorders>
            <w:shd w:val="clear" w:color="auto" w:fill="auto"/>
            <w:noWrap/>
            <w:vAlign w:val="center"/>
            <w:hideMark/>
          </w:tcPr>
          <w:p w14:paraId="40F028DF" w14:textId="77777777" w:rsidR="002513F1" w:rsidRPr="007D5080" w:rsidRDefault="002513F1" w:rsidP="00E355C5">
            <w:pPr>
              <w:rPr>
                <w:color w:val="000000" w:themeColor="text1"/>
              </w:rPr>
            </w:pPr>
            <w:r w:rsidRPr="007D5080">
              <w:rPr>
                <w:color w:val="000000" w:themeColor="text1"/>
              </w:rPr>
              <w:t>Low Statistical Power</w:t>
            </w:r>
          </w:p>
        </w:tc>
        <w:tc>
          <w:tcPr>
            <w:tcW w:w="3137" w:type="dxa"/>
            <w:tcBorders>
              <w:top w:val="nil"/>
              <w:left w:val="nil"/>
              <w:bottom w:val="nil"/>
              <w:right w:val="nil"/>
            </w:tcBorders>
            <w:shd w:val="clear" w:color="auto" w:fill="auto"/>
            <w:noWrap/>
            <w:vAlign w:val="center"/>
            <w:hideMark/>
          </w:tcPr>
          <w:p w14:paraId="585CC31C" w14:textId="77777777" w:rsidR="002513F1" w:rsidRPr="007D5080" w:rsidRDefault="002513F1" w:rsidP="00E355C5">
            <w:pPr>
              <w:rPr>
                <w:color w:val="000000" w:themeColor="text1"/>
              </w:rPr>
            </w:pPr>
            <w:r w:rsidRPr="007D5080">
              <w:rPr>
                <w:color w:val="000000" w:themeColor="text1"/>
              </w:rPr>
              <w:t> The conclusion that no relationship exists when in fact a true relationship exists</w:t>
            </w:r>
          </w:p>
        </w:tc>
        <w:tc>
          <w:tcPr>
            <w:tcW w:w="4828" w:type="dxa"/>
            <w:gridSpan w:val="2"/>
            <w:tcBorders>
              <w:top w:val="nil"/>
              <w:left w:val="nil"/>
              <w:bottom w:val="nil"/>
              <w:right w:val="nil"/>
            </w:tcBorders>
            <w:shd w:val="clear" w:color="auto" w:fill="auto"/>
            <w:noWrap/>
            <w:vAlign w:val="center"/>
            <w:hideMark/>
          </w:tcPr>
          <w:p w14:paraId="79B5E9AD" w14:textId="77777777" w:rsidR="002513F1" w:rsidRPr="007D5080" w:rsidRDefault="002513F1" w:rsidP="00E355C5">
            <w:pPr>
              <w:rPr>
                <w:color w:val="000000" w:themeColor="text1"/>
              </w:rPr>
            </w:pPr>
            <w:r w:rsidRPr="007D5080">
              <w:rPr>
                <w:color w:val="000000" w:themeColor="text1"/>
              </w:rPr>
              <w:t> The researcher is hypothesizing that there is a true relationship between the variables</w:t>
            </w:r>
          </w:p>
        </w:tc>
      </w:tr>
      <w:tr w:rsidR="002513F1" w:rsidRPr="007D5080" w14:paraId="5B5EA566" w14:textId="77777777" w:rsidTr="00E355C5">
        <w:trPr>
          <w:gridAfter w:val="1"/>
          <w:wAfter w:w="12" w:type="dxa"/>
          <w:trHeight w:val="678"/>
        </w:trPr>
        <w:tc>
          <w:tcPr>
            <w:tcW w:w="1737" w:type="dxa"/>
            <w:tcBorders>
              <w:top w:val="nil"/>
              <w:left w:val="nil"/>
              <w:bottom w:val="nil"/>
              <w:right w:val="nil"/>
            </w:tcBorders>
            <w:shd w:val="clear" w:color="auto" w:fill="auto"/>
            <w:noWrap/>
            <w:vAlign w:val="center"/>
            <w:hideMark/>
          </w:tcPr>
          <w:p w14:paraId="72F4D192" w14:textId="77777777" w:rsidR="002513F1" w:rsidRPr="007D5080" w:rsidRDefault="002513F1" w:rsidP="00E355C5">
            <w:pPr>
              <w:rPr>
                <w:color w:val="000000" w:themeColor="text1"/>
              </w:rPr>
            </w:pPr>
            <w:r w:rsidRPr="007D5080">
              <w:rPr>
                <w:color w:val="000000" w:themeColor="text1"/>
              </w:rPr>
              <w:t>Violated Assumptions of Statistical Tests</w:t>
            </w:r>
          </w:p>
        </w:tc>
        <w:tc>
          <w:tcPr>
            <w:tcW w:w="3137" w:type="dxa"/>
            <w:tcBorders>
              <w:top w:val="nil"/>
              <w:left w:val="nil"/>
              <w:bottom w:val="nil"/>
              <w:right w:val="nil"/>
            </w:tcBorders>
            <w:shd w:val="clear" w:color="auto" w:fill="auto"/>
            <w:noWrap/>
            <w:vAlign w:val="center"/>
            <w:hideMark/>
          </w:tcPr>
          <w:p w14:paraId="3518C494" w14:textId="77777777" w:rsidR="002513F1" w:rsidRPr="007D5080" w:rsidRDefault="002513F1" w:rsidP="00E355C5">
            <w:pPr>
              <w:rPr>
                <w:color w:val="000000" w:themeColor="text1"/>
              </w:rPr>
            </w:pPr>
            <w:r w:rsidRPr="007D5080">
              <w:rPr>
                <w:color w:val="000000" w:themeColor="text1"/>
              </w:rPr>
              <w:t>When assumptions are violated, the researcher may be misled about the probabilities of making Type I and Type II errors</w:t>
            </w:r>
          </w:p>
        </w:tc>
        <w:tc>
          <w:tcPr>
            <w:tcW w:w="4828" w:type="dxa"/>
            <w:gridSpan w:val="2"/>
            <w:tcBorders>
              <w:top w:val="nil"/>
              <w:left w:val="nil"/>
              <w:bottom w:val="nil"/>
              <w:right w:val="nil"/>
            </w:tcBorders>
            <w:shd w:val="clear" w:color="auto" w:fill="auto"/>
            <w:noWrap/>
            <w:vAlign w:val="center"/>
            <w:hideMark/>
          </w:tcPr>
          <w:p w14:paraId="123A2308" w14:textId="77777777" w:rsidR="002513F1" w:rsidRPr="007D5080" w:rsidRDefault="002513F1" w:rsidP="00E355C5">
            <w:pPr>
              <w:rPr>
                <w:color w:val="000000" w:themeColor="text1"/>
              </w:rPr>
            </w:pPr>
            <w:r w:rsidRPr="007D5080">
              <w:rPr>
                <w:color w:val="000000" w:themeColor="text1"/>
              </w:rPr>
              <w:t xml:space="preserve">The researcher will rely on the results from the measures to interpret the data.  Assumptions are not intended to be violated. </w:t>
            </w:r>
          </w:p>
        </w:tc>
      </w:tr>
      <w:tr w:rsidR="002513F1" w:rsidRPr="007D5080" w14:paraId="1C5F3E31" w14:textId="77777777" w:rsidTr="00E355C5">
        <w:trPr>
          <w:gridAfter w:val="1"/>
          <w:wAfter w:w="12" w:type="dxa"/>
          <w:trHeight w:val="818"/>
        </w:trPr>
        <w:tc>
          <w:tcPr>
            <w:tcW w:w="1737" w:type="dxa"/>
            <w:tcBorders>
              <w:top w:val="nil"/>
              <w:left w:val="nil"/>
              <w:bottom w:val="nil"/>
              <w:right w:val="nil"/>
            </w:tcBorders>
            <w:shd w:val="clear" w:color="auto" w:fill="auto"/>
            <w:noWrap/>
            <w:vAlign w:val="center"/>
            <w:hideMark/>
          </w:tcPr>
          <w:p w14:paraId="58FC1C6F" w14:textId="77777777" w:rsidR="002513F1" w:rsidRPr="007D5080" w:rsidRDefault="002513F1" w:rsidP="00E355C5">
            <w:pPr>
              <w:rPr>
                <w:color w:val="000000" w:themeColor="text1"/>
              </w:rPr>
            </w:pPr>
            <w:r w:rsidRPr="007D5080">
              <w:rPr>
                <w:color w:val="000000" w:themeColor="text1"/>
              </w:rPr>
              <w:t>“Fishing” and Error-Rate Problems</w:t>
            </w:r>
          </w:p>
        </w:tc>
        <w:tc>
          <w:tcPr>
            <w:tcW w:w="3137" w:type="dxa"/>
            <w:tcBorders>
              <w:top w:val="nil"/>
              <w:left w:val="nil"/>
              <w:bottom w:val="nil"/>
              <w:right w:val="nil"/>
            </w:tcBorders>
            <w:shd w:val="clear" w:color="auto" w:fill="auto"/>
            <w:noWrap/>
            <w:vAlign w:val="center"/>
            <w:hideMark/>
          </w:tcPr>
          <w:p w14:paraId="5ADBBB1E" w14:textId="77777777" w:rsidR="002513F1" w:rsidRPr="007D5080" w:rsidRDefault="002513F1" w:rsidP="00E355C5">
            <w:pPr>
              <w:rPr>
                <w:color w:val="000000" w:themeColor="text1"/>
              </w:rPr>
            </w:pPr>
            <w:r w:rsidRPr="007D5080">
              <w:rPr>
                <w:color w:val="000000" w:themeColor="text1"/>
              </w:rPr>
              <w:t>Conducting many statistical tests on a data set without stating specific hypotheses</w:t>
            </w:r>
          </w:p>
        </w:tc>
        <w:tc>
          <w:tcPr>
            <w:tcW w:w="4828" w:type="dxa"/>
            <w:gridSpan w:val="2"/>
            <w:tcBorders>
              <w:top w:val="nil"/>
              <w:left w:val="nil"/>
              <w:bottom w:val="nil"/>
              <w:right w:val="nil"/>
            </w:tcBorders>
            <w:shd w:val="clear" w:color="auto" w:fill="auto"/>
            <w:noWrap/>
            <w:vAlign w:val="center"/>
            <w:hideMark/>
          </w:tcPr>
          <w:p w14:paraId="3AA66436" w14:textId="77777777" w:rsidR="002513F1" w:rsidRPr="007D5080" w:rsidRDefault="002513F1" w:rsidP="00E355C5">
            <w:pPr>
              <w:rPr>
                <w:color w:val="000000" w:themeColor="text1"/>
              </w:rPr>
            </w:pPr>
            <w:r w:rsidRPr="007D5080">
              <w:rPr>
                <w:color w:val="000000" w:themeColor="text1"/>
              </w:rPr>
              <w:t>This threat has been prevented by establishing a specific hypothesis for this research</w:t>
            </w:r>
          </w:p>
        </w:tc>
      </w:tr>
      <w:tr w:rsidR="002513F1" w:rsidRPr="007D5080" w14:paraId="7D3C7B6C" w14:textId="77777777" w:rsidTr="00E355C5">
        <w:trPr>
          <w:gridAfter w:val="1"/>
          <w:wAfter w:w="12" w:type="dxa"/>
          <w:trHeight w:val="643"/>
        </w:trPr>
        <w:tc>
          <w:tcPr>
            <w:tcW w:w="1737" w:type="dxa"/>
            <w:tcBorders>
              <w:top w:val="nil"/>
              <w:left w:val="nil"/>
              <w:bottom w:val="nil"/>
              <w:right w:val="nil"/>
            </w:tcBorders>
            <w:shd w:val="clear" w:color="auto" w:fill="auto"/>
            <w:noWrap/>
            <w:vAlign w:val="center"/>
            <w:hideMark/>
          </w:tcPr>
          <w:p w14:paraId="0CE197B9" w14:textId="77777777" w:rsidR="002513F1" w:rsidRPr="007D5080" w:rsidRDefault="002513F1" w:rsidP="00E355C5">
            <w:pPr>
              <w:rPr>
                <w:color w:val="000000" w:themeColor="text1"/>
              </w:rPr>
            </w:pPr>
            <w:r w:rsidRPr="007D5080">
              <w:rPr>
                <w:color w:val="000000" w:themeColor="text1"/>
              </w:rPr>
              <w:t>Unreliability of Measures</w:t>
            </w:r>
          </w:p>
        </w:tc>
        <w:tc>
          <w:tcPr>
            <w:tcW w:w="3137" w:type="dxa"/>
            <w:tcBorders>
              <w:top w:val="nil"/>
              <w:left w:val="nil"/>
              <w:bottom w:val="nil"/>
              <w:right w:val="nil"/>
            </w:tcBorders>
            <w:shd w:val="clear" w:color="auto" w:fill="auto"/>
            <w:noWrap/>
            <w:vAlign w:val="center"/>
            <w:hideMark/>
          </w:tcPr>
          <w:p w14:paraId="45865758" w14:textId="77777777" w:rsidR="002513F1" w:rsidRPr="007D5080" w:rsidRDefault="002513F1" w:rsidP="00E355C5">
            <w:pPr>
              <w:rPr>
                <w:color w:val="000000" w:themeColor="text1"/>
              </w:rPr>
            </w:pPr>
            <w:r w:rsidRPr="007D5080">
              <w:rPr>
                <w:color w:val="000000" w:themeColor="text1"/>
              </w:rPr>
              <w:t>Introduce error variance and obscure the true state of affairs, such measures cannot be expected to be related to other measures</w:t>
            </w:r>
          </w:p>
        </w:tc>
        <w:tc>
          <w:tcPr>
            <w:tcW w:w="4828" w:type="dxa"/>
            <w:gridSpan w:val="2"/>
            <w:tcBorders>
              <w:top w:val="nil"/>
              <w:left w:val="nil"/>
              <w:bottom w:val="nil"/>
              <w:right w:val="nil"/>
            </w:tcBorders>
            <w:shd w:val="clear" w:color="auto" w:fill="auto"/>
            <w:noWrap/>
            <w:vAlign w:val="center"/>
            <w:hideMark/>
          </w:tcPr>
          <w:p w14:paraId="4DD19B37" w14:textId="77777777" w:rsidR="002513F1" w:rsidRPr="007D5080" w:rsidRDefault="002513F1" w:rsidP="00E355C5">
            <w:pPr>
              <w:rPr>
                <w:color w:val="000000" w:themeColor="text1"/>
              </w:rPr>
            </w:pPr>
            <w:r w:rsidRPr="007D5080">
              <w:rPr>
                <w:color w:val="000000" w:themeColor="text1"/>
              </w:rPr>
              <w:t>This threat has been prevented by choosing instruments with high validity and reliability.</w:t>
            </w:r>
          </w:p>
        </w:tc>
      </w:tr>
      <w:tr w:rsidR="002513F1" w:rsidRPr="007D5080" w14:paraId="2C508282" w14:textId="77777777" w:rsidTr="00E355C5">
        <w:trPr>
          <w:gridAfter w:val="1"/>
          <w:wAfter w:w="12" w:type="dxa"/>
          <w:trHeight w:val="528"/>
        </w:trPr>
        <w:tc>
          <w:tcPr>
            <w:tcW w:w="1737" w:type="dxa"/>
            <w:tcBorders>
              <w:top w:val="nil"/>
              <w:left w:val="nil"/>
              <w:bottom w:val="nil"/>
              <w:right w:val="nil"/>
            </w:tcBorders>
            <w:shd w:val="clear" w:color="auto" w:fill="auto"/>
            <w:noWrap/>
            <w:vAlign w:val="center"/>
            <w:hideMark/>
          </w:tcPr>
          <w:p w14:paraId="1457D466" w14:textId="77777777" w:rsidR="002513F1" w:rsidRPr="007D5080" w:rsidRDefault="002513F1" w:rsidP="00E355C5">
            <w:pPr>
              <w:rPr>
                <w:color w:val="000000" w:themeColor="text1"/>
              </w:rPr>
            </w:pPr>
            <w:r w:rsidRPr="007D5080">
              <w:rPr>
                <w:color w:val="000000" w:themeColor="text1"/>
              </w:rPr>
              <w:t>Restriction of Range</w:t>
            </w:r>
          </w:p>
        </w:tc>
        <w:tc>
          <w:tcPr>
            <w:tcW w:w="3137" w:type="dxa"/>
            <w:tcBorders>
              <w:top w:val="nil"/>
              <w:left w:val="nil"/>
              <w:bottom w:val="nil"/>
              <w:right w:val="nil"/>
            </w:tcBorders>
            <w:shd w:val="clear" w:color="auto" w:fill="auto"/>
            <w:noWrap/>
            <w:vAlign w:val="center"/>
            <w:hideMark/>
          </w:tcPr>
          <w:p w14:paraId="087C11C5" w14:textId="77777777" w:rsidR="002513F1" w:rsidRPr="007D5080" w:rsidRDefault="002513F1" w:rsidP="00E355C5">
            <w:pPr>
              <w:rPr>
                <w:color w:val="000000" w:themeColor="text1"/>
              </w:rPr>
            </w:pPr>
            <w:r w:rsidRPr="007D5080">
              <w:rPr>
                <w:color w:val="000000" w:themeColor="text1"/>
              </w:rPr>
              <w:t>Occurs when an instrument designed to measure one variable Is not sensitive to the construct being measured at upper limit or at lower limit. When an instrument designed to measure pathology is used on a non clinic population.</w:t>
            </w:r>
          </w:p>
        </w:tc>
        <w:tc>
          <w:tcPr>
            <w:tcW w:w="4828" w:type="dxa"/>
            <w:gridSpan w:val="2"/>
            <w:tcBorders>
              <w:top w:val="nil"/>
              <w:left w:val="nil"/>
              <w:bottom w:val="nil"/>
              <w:right w:val="nil"/>
            </w:tcBorders>
            <w:shd w:val="clear" w:color="auto" w:fill="auto"/>
            <w:noWrap/>
            <w:vAlign w:val="center"/>
            <w:hideMark/>
          </w:tcPr>
          <w:p w14:paraId="1AC25556" w14:textId="77777777" w:rsidR="002513F1" w:rsidRPr="007D5080" w:rsidRDefault="002513F1" w:rsidP="00E355C5">
            <w:pPr>
              <w:rPr>
                <w:color w:val="000000" w:themeColor="text1"/>
              </w:rPr>
            </w:pPr>
            <w:r w:rsidRPr="007D5080">
              <w:rPr>
                <w:color w:val="000000" w:themeColor="text1"/>
              </w:rPr>
              <w:t xml:space="preserve">The measures chosen have been selected for being sensitive to measure the construct at the upper limit an lower limit. </w:t>
            </w:r>
          </w:p>
        </w:tc>
      </w:tr>
      <w:tr w:rsidR="002513F1" w:rsidRPr="007D5080" w14:paraId="7BAA390C" w14:textId="77777777" w:rsidTr="00E355C5">
        <w:trPr>
          <w:gridAfter w:val="1"/>
          <w:wAfter w:w="12" w:type="dxa"/>
          <w:trHeight w:val="1127"/>
        </w:trPr>
        <w:tc>
          <w:tcPr>
            <w:tcW w:w="1737" w:type="dxa"/>
            <w:tcBorders>
              <w:top w:val="nil"/>
              <w:left w:val="nil"/>
              <w:bottom w:val="nil"/>
              <w:right w:val="nil"/>
            </w:tcBorders>
            <w:shd w:val="clear" w:color="auto" w:fill="auto"/>
            <w:noWrap/>
            <w:vAlign w:val="center"/>
            <w:hideMark/>
          </w:tcPr>
          <w:p w14:paraId="27AB8CE5" w14:textId="77777777" w:rsidR="002513F1" w:rsidRPr="007D5080" w:rsidRDefault="002513F1" w:rsidP="00E355C5">
            <w:pPr>
              <w:rPr>
                <w:color w:val="000000" w:themeColor="text1"/>
              </w:rPr>
            </w:pPr>
            <w:r w:rsidRPr="007D5080">
              <w:rPr>
                <w:color w:val="000000" w:themeColor="text1"/>
              </w:rPr>
              <w:t>Unreliability of Treatment Implementation</w:t>
            </w:r>
          </w:p>
        </w:tc>
        <w:tc>
          <w:tcPr>
            <w:tcW w:w="3137" w:type="dxa"/>
            <w:tcBorders>
              <w:top w:val="nil"/>
              <w:left w:val="nil"/>
              <w:bottom w:val="nil"/>
              <w:right w:val="nil"/>
            </w:tcBorders>
            <w:shd w:val="clear" w:color="auto" w:fill="auto"/>
            <w:noWrap/>
            <w:vAlign w:val="center"/>
            <w:hideMark/>
          </w:tcPr>
          <w:p w14:paraId="7B48F498" w14:textId="77777777" w:rsidR="002513F1" w:rsidRPr="007D5080" w:rsidRDefault="002513F1" w:rsidP="00E355C5">
            <w:pPr>
              <w:rPr>
                <w:color w:val="000000" w:themeColor="text1"/>
              </w:rPr>
            </w:pPr>
            <w:r w:rsidRPr="007D5080">
              <w:rPr>
                <w:color w:val="000000" w:themeColor="text1"/>
              </w:rPr>
              <w:t>Variations in delivery of treatments may lead to variability in responding, increasing the error of variance</w:t>
            </w:r>
          </w:p>
        </w:tc>
        <w:tc>
          <w:tcPr>
            <w:tcW w:w="4828" w:type="dxa"/>
            <w:gridSpan w:val="2"/>
            <w:tcBorders>
              <w:top w:val="nil"/>
              <w:left w:val="nil"/>
              <w:bottom w:val="nil"/>
              <w:right w:val="nil"/>
            </w:tcBorders>
            <w:shd w:val="clear" w:color="auto" w:fill="auto"/>
            <w:noWrap/>
            <w:vAlign w:val="center"/>
            <w:hideMark/>
          </w:tcPr>
          <w:p w14:paraId="38DC6F65" w14:textId="77777777" w:rsidR="002513F1" w:rsidRPr="007D5080" w:rsidRDefault="002513F1" w:rsidP="00E355C5">
            <w:pPr>
              <w:rPr>
                <w:color w:val="000000" w:themeColor="text1"/>
              </w:rPr>
            </w:pPr>
            <w:r w:rsidRPr="007D5080">
              <w:rPr>
                <w:color w:val="000000" w:themeColor="text1"/>
              </w:rPr>
              <w:t>All participants will receive the same treatment and counseling services.</w:t>
            </w:r>
          </w:p>
        </w:tc>
      </w:tr>
      <w:tr w:rsidR="002513F1" w:rsidRPr="007D5080" w14:paraId="296F65F7" w14:textId="77777777" w:rsidTr="00E355C5">
        <w:trPr>
          <w:gridAfter w:val="1"/>
          <w:wAfter w:w="12" w:type="dxa"/>
          <w:trHeight w:val="881"/>
        </w:trPr>
        <w:tc>
          <w:tcPr>
            <w:tcW w:w="1737" w:type="dxa"/>
            <w:tcBorders>
              <w:top w:val="nil"/>
              <w:left w:val="nil"/>
              <w:bottom w:val="nil"/>
              <w:right w:val="nil"/>
            </w:tcBorders>
            <w:shd w:val="clear" w:color="auto" w:fill="auto"/>
            <w:noWrap/>
            <w:vAlign w:val="center"/>
            <w:hideMark/>
          </w:tcPr>
          <w:p w14:paraId="4C5B8CE0" w14:textId="77777777" w:rsidR="002513F1" w:rsidRPr="007D5080" w:rsidRDefault="002513F1" w:rsidP="00E355C5">
            <w:pPr>
              <w:rPr>
                <w:color w:val="000000" w:themeColor="text1"/>
              </w:rPr>
            </w:pPr>
            <w:r w:rsidRPr="007D5080">
              <w:rPr>
                <w:color w:val="000000" w:themeColor="text1"/>
              </w:rPr>
              <w:t>Extraneous Variance in the Experimental Setting</w:t>
            </w:r>
          </w:p>
        </w:tc>
        <w:tc>
          <w:tcPr>
            <w:tcW w:w="3137" w:type="dxa"/>
            <w:tcBorders>
              <w:top w:val="nil"/>
              <w:left w:val="nil"/>
              <w:bottom w:val="nil"/>
              <w:right w:val="nil"/>
            </w:tcBorders>
            <w:shd w:val="clear" w:color="auto" w:fill="auto"/>
            <w:noWrap/>
            <w:vAlign w:val="center"/>
            <w:hideMark/>
          </w:tcPr>
          <w:p w14:paraId="6F384F9A" w14:textId="77777777" w:rsidR="002513F1" w:rsidRPr="007D5080" w:rsidRDefault="002513F1" w:rsidP="00E355C5">
            <w:pPr>
              <w:rPr>
                <w:color w:val="000000" w:themeColor="text1"/>
              </w:rPr>
            </w:pPr>
            <w:r w:rsidRPr="007D5080">
              <w:rPr>
                <w:color w:val="000000" w:themeColor="text1"/>
              </w:rPr>
              <w:t>Any aspect of the experimental setting that leads to variability in responding will increase the error variance</w:t>
            </w:r>
          </w:p>
        </w:tc>
        <w:tc>
          <w:tcPr>
            <w:tcW w:w="4828" w:type="dxa"/>
            <w:gridSpan w:val="2"/>
            <w:tcBorders>
              <w:top w:val="nil"/>
              <w:left w:val="nil"/>
              <w:bottom w:val="nil"/>
              <w:right w:val="nil"/>
            </w:tcBorders>
            <w:shd w:val="clear" w:color="auto" w:fill="auto"/>
            <w:noWrap/>
            <w:vAlign w:val="center"/>
            <w:hideMark/>
          </w:tcPr>
          <w:p w14:paraId="5E52CC2B" w14:textId="77777777" w:rsidR="002513F1" w:rsidRPr="007D5080" w:rsidRDefault="002513F1" w:rsidP="00E355C5">
            <w:pPr>
              <w:rPr>
                <w:color w:val="000000" w:themeColor="text1"/>
              </w:rPr>
            </w:pPr>
            <w:r w:rsidRPr="007D5080">
              <w:rPr>
                <w:color w:val="000000" w:themeColor="text1"/>
              </w:rPr>
              <w:t>This study is expecting to not have this threat, however, there is a risk of occurring if environmental, history or maturation occurs which may affect the extraneous variance.</w:t>
            </w:r>
          </w:p>
        </w:tc>
      </w:tr>
      <w:tr w:rsidR="002513F1" w:rsidRPr="007D5080" w14:paraId="7C176CA7" w14:textId="77777777" w:rsidTr="00E355C5">
        <w:trPr>
          <w:gridAfter w:val="1"/>
          <w:wAfter w:w="12" w:type="dxa"/>
          <w:trHeight w:val="625"/>
        </w:trPr>
        <w:tc>
          <w:tcPr>
            <w:tcW w:w="1737" w:type="dxa"/>
            <w:tcBorders>
              <w:top w:val="nil"/>
              <w:left w:val="nil"/>
              <w:bottom w:val="nil"/>
              <w:right w:val="nil"/>
            </w:tcBorders>
            <w:shd w:val="clear" w:color="auto" w:fill="auto"/>
            <w:noWrap/>
            <w:vAlign w:val="center"/>
            <w:hideMark/>
          </w:tcPr>
          <w:p w14:paraId="31A76E20" w14:textId="77777777" w:rsidR="002513F1" w:rsidRPr="007D5080" w:rsidRDefault="002513F1" w:rsidP="00E355C5">
            <w:pPr>
              <w:rPr>
                <w:color w:val="000000" w:themeColor="text1"/>
              </w:rPr>
            </w:pPr>
            <w:r w:rsidRPr="007D5080">
              <w:rPr>
                <w:color w:val="000000" w:themeColor="text1"/>
              </w:rPr>
              <w:t>Heterogeneity of Units</w:t>
            </w:r>
          </w:p>
        </w:tc>
        <w:tc>
          <w:tcPr>
            <w:tcW w:w="3137" w:type="dxa"/>
            <w:tcBorders>
              <w:top w:val="nil"/>
              <w:left w:val="nil"/>
              <w:bottom w:val="nil"/>
              <w:right w:val="nil"/>
            </w:tcBorders>
            <w:shd w:val="clear" w:color="auto" w:fill="auto"/>
            <w:noWrap/>
            <w:vAlign w:val="center"/>
            <w:hideMark/>
          </w:tcPr>
          <w:p w14:paraId="7F38A0B5" w14:textId="77777777" w:rsidR="002513F1" w:rsidRPr="007D5080" w:rsidRDefault="002513F1" w:rsidP="00E355C5">
            <w:pPr>
              <w:rPr>
                <w:color w:val="000000" w:themeColor="text1"/>
              </w:rPr>
            </w:pPr>
            <w:r w:rsidRPr="007D5080">
              <w:rPr>
                <w:color w:val="000000" w:themeColor="text1"/>
              </w:rPr>
              <w:t xml:space="preserve"> Differences in experimental units can lead to variability in responding </w:t>
            </w:r>
          </w:p>
        </w:tc>
        <w:tc>
          <w:tcPr>
            <w:tcW w:w="4828" w:type="dxa"/>
            <w:gridSpan w:val="2"/>
            <w:tcBorders>
              <w:top w:val="nil"/>
              <w:left w:val="nil"/>
              <w:bottom w:val="nil"/>
              <w:right w:val="nil"/>
            </w:tcBorders>
            <w:shd w:val="clear" w:color="auto" w:fill="auto"/>
            <w:noWrap/>
            <w:vAlign w:val="center"/>
            <w:hideMark/>
          </w:tcPr>
          <w:p w14:paraId="3A7A2CDA" w14:textId="77777777" w:rsidR="002513F1" w:rsidRPr="007D5080" w:rsidRDefault="002513F1" w:rsidP="00E355C5">
            <w:pPr>
              <w:rPr>
                <w:color w:val="000000" w:themeColor="text1"/>
              </w:rPr>
            </w:pPr>
            <w:r w:rsidRPr="007D5080">
              <w:rPr>
                <w:color w:val="000000" w:themeColor="text1"/>
              </w:rPr>
              <w:t>The sample of the study is homogeneous by all being female victims of  IPV</w:t>
            </w:r>
          </w:p>
        </w:tc>
      </w:tr>
      <w:tr w:rsidR="002513F1" w:rsidRPr="007D5080" w14:paraId="33B74576" w14:textId="77777777" w:rsidTr="00E355C5">
        <w:trPr>
          <w:gridAfter w:val="1"/>
          <w:wAfter w:w="12" w:type="dxa"/>
          <w:trHeight w:val="528"/>
        </w:trPr>
        <w:tc>
          <w:tcPr>
            <w:tcW w:w="1737" w:type="dxa"/>
            <w:tcBorders>
              <w:top w:val="nil"/>
              <w:left w:val="nil"/>
              <w:bottom w:val="single" w:sz="4" w:space="0" w:color="auto"/>
              <w:right w:val="nil"/>
            </w:tcBorders>
            <w:shd w:val="clear" w:color="auto" w:fill="auto"/>
            <w:noWrap/>
            <w:vAlign w:val="center"/>
          </w:tcPr>
          <w:p w14:paraId="29B02B1F" w14:textId="77777777" w:rsidR="002513F1" w:rsidRPr="007D5080" w:rsidRDefault="002513F1" w:rsidP="00E355C5">
            <w:pPr>
              <w:rPr>
                <w:color w:val="000000" w:themeColor="text1"/>
              </w:rPr>
            </w:pPr>
            <w:r w:rsidRPr="007D5080">
              <w:rPr>
                <w:color w:val="000000" w:themeColor="text1"/>
              </w:rPr>
              <w:t>Inaccurate Effect Size Estimation</w:t>
            </w:r>
          </w:p>
        </w:tc>
        <w:tc>
          <w:tcPr>
            <w:tcW w:w="3137" w:type="dxa"/>
            <w:tcBorders>
              <w:top w:val="nil"/>
              <w:left w:val="nil"/>
              <w:bottom w:val="single" w:sz="4" w:space="0" w:color="auto"/>
              <w:right w:val="nil"/>
            </w:tcBorders>
            <w:shd w:val="clear" w:color="auto" w:fill="auto"/>
            <w:noWrap/>
            <w:vAlign w:val="center"/>
          </w:tcPr>
          <w:p w14:paraId="6672FFD4" w14:textId="77777777" w:rsidR="002513F1" w:rsidRPr="007D5080" w:rsidRDefault="002513F1" w:rsidP="00E355C5">
            <w:pPr>
              <w:rPr>
                <w:color w:val="000000" w:themeColor="text1"/>
              </w:rPr>
            </w:pPr>
            <w:r w:rsidRPr="007D5080">
              <w:rPr>
                <w:color w:val="000000" w:themeColor="text1"/>
              </w:rPr>
              <w:t xml:space="preserve">When effects detected in the study is inaccurately estimated </w:t>
            </w:r>
          </w:p>
        </w:tc>
        <w:tc>
          <w:tcPr>
            <w:tcW w:w="4828" w:type="dxa"/>
            <w:gridSpan w:val="2"/>
            <w:tcBorders>
              <w:top w:val="nil"/>
              <w:left w:val="nil"/>
              <w:bottom w:val="single" w:sz="4" w:space="0" w:color="auto"/>
              <w:right w:val="nil"/>
            </w:tcBorders>
            <w:shd w:val="clear" w:color="auto" w:fill="auto"/>
            <w:noWrap/>
            <w:vAlign w:val="center"/>
          </w:tcPr>
          <w:p w14:paraId="64CD515D" w14:textId="77777777" w:rsidR="002513F1" w:rsidRPr="007D5080" w:rsidRDefault="002513F1" w:rsidP="00E355C5">
            <w:pPr>
              <w:rPr>
                <w:color w:val="000000" w:themeColor="text1"/>
              </w:rPr>
            </w:pPr>
            <w:r w:rsidRPr="007D5080">
              <w:rPr>
                <w:color w:val="000000" w:themeColor="text1"/>
              </w:rPr>
              <w:t>This is a possible threat that has been attempted to minimize by recruiting a large sample</w:t>
            </w:r>
          </w:p>
        </w:tc>
      </w:tr>
    </w:tbl>
    <w:p w14:paraId="18F09031" w14:textId="77777777" w:rsidR="002513F1" w:rsidRPr="007D5080" w:rsidRDefault="002513F1" w:rsidP="002513F1">
      <w:pPr>
        <w:rPr>
          <w:color w:val="000000" w:themeColor="text1"/>
        </w:rPr>
      </w:pPr>
    </w:p>
    <w:p w14:paraId="5FD876D9" w14:textId="77777777" w:rsidR="002513F1" w:rsidRPr="007D5080" w:rsidRDefault="002513F1" w:rsidP="002513F1">
      <w:pPr>
        <w:jc w:val="center"/>
        <w:rPr>
          <w:color w:val="000000" w:themeColor="text1"/>
        </w:rPr>
      </w:pPr>
      <w:r w:rsidRPr="007D5080">
        <w:rPr>
          <w:color w:val="000000" w:themeColor="text1"/>
        </w:rPr>
        <w:lastRenderedPageBreak/>
        <w:t>Appendix B</w:t>
      </w:r>
    </w:p>
    <w:p w14:paraId="0E5454E0" w14:textId="77777777" w:rsidR="002513F1" w:rsidRPr="007D5080" w:rsidRDefault="002513F1" w:rsidP="002513F1">
      <w:pPr>
        <w:widowControl w:val="0"/>
        <w:autoSpaceDE w:val="0"/>
        <w:autoSpaceDN w:val="0"/>
        <w:adjustRightInd w:val="0"/>
        <w:spacing w:after="240"/>
        <w:rPr>
          <w:color w:val="000000" w:themeColor="text1"/>
        </w:rPr>
      </w:pPr>
      <w:r w:rsidRPr="007D5080">
        <w:rPr>
          <w:b/>
          <w:bCs/>
          <w:color w:val="000000" w:themeColor="text1"/>
        </w:rPr>
        <w:t xml:space="preserve">Experiences in Close Relationship Scale-Short Form (ECR-S) </w:t>
      </w:r>
    </w:p>
    <w:tbl>
      <w:tblPr>
        <w:tblpPr w:leftFromText="180" w:rightFromText="180" w:vertAnchor="text" w:horzAnchor="page" w:tblpX="1270" w:tblpY="1470"/>
        <w:tblW w:w="8811" w:type="dxa"/>
        <w:tblBorders>
          <w:top w:val="nil"/>
          <w:left w:val="nil"/>
          <w:right w:val="nil"/>
        </w:tblBorders>
        <w:tblLayout w:type="fixed"/>
        <w:tblLook w:val="0000" w:firstRow="0" w:lastRow="0" w:firstColumn="0" w:lastColumn="0" w:noHBand="0" w:noVBand="0"/>
      </w:tblPr>
      <w:tblGrid>
        <w:gridCol w:w="1161"/>
        <w:gridCol w:w="1260"/>
        <w:gridCol w:w="1530"/>
        <w:gridCol w:w="1170"/>
        <w:gridCol w:w="1260"/>
        <w:gridCol w:w="990"/>
        <w:gridCol w:w="1440"/>
      </w:tblGrid>
      <w:tr w:rsidR="002513F1" w:rsidRPr="007D5080" w14:paraId="2D37FD4C" w14:textId="77777777" w:rsidTr="00E355C5">
        <w:trPr>
          <w:trHeight w:val="542"/>
        </w:trPr>
        <w:tc>
          <w:tcPr>
            <w:tcW w:w="1161"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5448DA62" w14:textId="77777777" w:rsidR="002513F1" w:rsidRPr="007D5080" w:rsidRDefault="002513F1" w:rsidP="00E355C5">
            <w:pPr>
              <w:widowControl w:val="0"/>
              <w:autoSpaceDE w:val="0"/>
              <w:autoSpaceDN w:val="0"/>
              <w:adjustRightInd w:val="0"/>
              <w:spacing w:after="240"/>
              <w:jc w:val="center"/>
              <w:rPr>
                <w:color w:val="000000" w:themeColor="text1"/>
              </w:rPr>
            </w:pPr>
            <w:r w:rsidRPr="007D5080">
              <w:rPr>
                <w:color w:val="000000" w:themeColor="text1"/>
              </w:rPr>
              <w:t>1</w:t>
            </w:r>
          </w:p>
        </w:tc>
        <w:tc>
          <w:tcPr>
            <w:tcW w:w="126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09EEC69C" w14:textId="77777777" w:rsidR="002513F1" w:rsidRPr="007D5080" w:rsidRDefault="002513F1" w:rsidP="00E355C5">
            <w:pPr>
              <w:widowControl w:val="0"/>
              <w:autoSpaceDE w:val="0"/>
              <w:autoSpaceDN w:val="0"/>
              <w:adjustRightInd w:val="0"/>
              <w:spacing w:after="240"/>
              <w:jc w:val="center"/>
              <w:rPr>
                <w:color w:val="000000" w:themeColor="text1"/>
              </w:rPr>
            </w:pPr>
            <w:r w:rsidRPr="007D5080">
              <w:rPr>
                <w:color w:val="000000" w:themeColor="text1"/>
              </w:rPr>
              <w:t>2</w:t>
            </w:r>
          </w:p>
        </w:tc>
        <w:tc>
          <w:tcPr>
            <w:tcW w:w="153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2845FC74" w14:textId="77777777" w:rsidR="002513F1" w:rsidRPr="007D5080" w:rsidRDefault="002513F1" w:rsidP="00E355C5">
            <w:pPr>
              <w:widowControl w:val="0"/>
              <w:autoSpaceDE w:val="0"/>
              <w:autoSpaceDN w:val="0"/>
              <w:adjustRightInd w:val="0"/>
              <w:spacing w:after="240"/>
              <w:jc w:val="center"/>
              <w:rPr>
                <w:color w:val="000000" w:themeColor="text1"/>
              </w:rPr>
            </w:pPr>
            <w:r w:rsidRPr="007D5080">
              <w:rPr>
                <w:color w:val="000000" w:themeColor="text1"/>
              </w:rPr>
              <w:t>3</w:t>
            </w:r>
          </w:p>
        </w:tc>
        <w:tc>
          <w:tcPr>
            <w:tcW w:w="11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1FF2C74F" w14:textId="77777777" w:rsidR="002513F1" w:rsidRPr="007D5080" w:rsidRDefault="002513F1" w:rsidP="00E355C5">
            <w:pPr>
              <w:widowControl w:val="0"/>
              <w:autoSpaceDE w:val="0"/>
              <w:autoSpaceDN w:val="0"/>
              <w:adjustRightInd w:val="0"/>
              <w:spacing w:after="240"/>
              <w:jc w:val="center"/>
              <w:rPr>
                <w:color w:val="000000" w:themeColor="text1"/>
              </w:rPr>
            </w:pPr>
            <w:r w:rsidRPr="007D5080">
              <w:rPr>
                <w:color w:val="000000" w:themeColor="text1"/>
              </w:rPr>
              <w:t>4</w:t>
            </w:r>
          </w:p>
        </w:tc>
        <w:tc>
          <w:tcPr>
            <w:tcW w:w="126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3FD4DB05" w14:textId="77777777" w:rsidR="002513F1" w:rsidRPr="007D5080" w:rsidRDefault="002513F1" w:rsidP="00E355C5">
            <w:pPr>
              <w:widowControl w:val="0"/>
              <w:autoSpaceDE w:val="0"/>
              <w:autoSpaceDN w:val="0"/>
              <w:adjustRightInd w:val="0"/>
              <w:spacing w:after="240"/>
              <w:jc w:val="center"/>
              <w:rPr>
                <w:color w:val="000000" w:themeColor="text1"/>
              </w:rPr>
            </w:pPr>
            <w:r w:rsidRPr="007D5080">
              <w:rPr>
                <w:color w:val="000000" w:themeColor="text1"/>
              </w:rPr>
              <w:t>5</w:t>
            </w:r>
          </w:p>
        </w:tc>
        <w:tc>
          <w:tcPr>
            <w:tcW w:w="99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63E326EE" w14:textId="77777777" w:rsidR="002513F1" w:rsidRPr="007D5080" w:rsidRDefault="002513F1" w:rsidP="00E355C5">
            <w:pPr>
              <w:widowControl w:val="0"/>
              <w:autoSpaceDE w:val="0"/>
              <w:autoSpaceDN w:val="0"/>
              <w:adjustRightInd w:val="0"/>
              <w:spacing w:after="240"/>
              <w:jc w:val="center"/>
              <w:rPr>
                <w:color w:val="000000" w:themeColor="text1"/>
              </w:rPr>
            </w:pPr>
            <w:r w:rsidRPr="007D5080">
              <w:rPr>
                <w:color w:val="000000" w:themeColor="text1"/>
              </w:rPr>
              <w:t>6</w:t>
            </w:r>
          </w:p>
        </w:tc>
        <w:tc>
          <w:tcPr>
            <w:tcW w:w="144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1C5969AE" w14:textId="77777777" w:rsidR="002513F1" w:rsidRPr="007D5080" w:rsidRDefault="002513F1" w:rsidP="00E355C5">
            <w:pPr>
              <w:widowControl w:val="0"/>
              <w:autoSpaceDE w:val="0"/>
              <w:autoSpaceDN w:val="0"/>
              <w:adjustRightInd w:val="0"/>
              <w:spacing w:after="240"/>
              <w:jc w:val="center"/>
              <w:rPr>
                <w:color w:val="000000" w:themeColor="text1"/>
              </w:rPr>
            </w:pPr>
            <w:r w:rsidRPr="007D5080">
              <w:rPr>
                <w:color w:val="000000" w:themeColor="text1"/>
              </w:rPr>
              <w:t>7</w:t>
            </w:r>
          </w:p>
        </w:tc>
      </w:tr>
      <w:tr w:rsidR="002513F1" w:rsidRPr="007D5080" w14:paraId="2EA71C90" w14:textId="77777777" w:rsidTr="00E355C5">
        <w:trPr>
          <w:trHeight w:val="730"/>
        </w:trPr>
        <w:tc>
          <w:tcPr>
            <w:tcW w:w="1161"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57FD1237" w14:textId="77777777" w:rsidR="002513F1" w:rsidRPr="007D5080" w:rsidRDefault="002513F1" w:rsidP="00E355C5">
            <w:pPr>
              <w:widowControl w:val="0"/>
              <w:autoSpaceDE w:val="0"/>
              <w:autoSpaceDN w:val="0"/>
              <w:adjustRightInd w:val="0"/>
              <w:spacing w:after="240"/>
              <w:jc w:val="center"/>
              <w:rPr>
                <w:color w:val="000000" w:themeColor="text1"/>
              </w:rPr>
            </w:pPr>
            <w:r w:rsidRPr="007D5080">
              <w:rPr>
                <w:color w:val="000000" w:themeColor="text1"/>
              </w:rPr>
              <w:t>Strongly Disagree</w:t>
            </w:r>
          </w:p>
        </w:tc>
        <w:tc>
          <w:tcPr>
            <w:tcW w:w="126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22B0BE5F" w14:textId="77777777" w:rsidR="002513F1" w:rsidRPr="007D5080" w:rsidRDefault="002513F1" w:rsidP="00E355C5">
            <w:pPr>
              <w:widowControl w:val="0"/>
              <w:autoSpaceDE w:val="0"/>
              <w:autoSpaceDN w:val="0"/>
              <w:adjustRightInd w:val="0"/>
              <w:spacing w:after="240"/>
              <w:jc w:val="center"/>
              <w:rPr>
                <w:color w:val="000000" w:themeColor="text1"/>
              </w:rPr>
            </w:pPr>
            <w:r w:rsidRPr="007D5080">
              <w:rPr>
                <w:color w:val="000000" w:themeColor="text1"/>
              </w:rPr>
              <w:t>Disagree</w:t>
            </w:r>
          </w:p>
          <w:p w14:paraId="7183F5AF" w14:textId="77777777" w:rsidR="002513F1" w:rsidRPr="007D5080" w:rsidRDefault="002513F1" w:rsidP="00E355C5">
            <w:pPr>
              <w:widowControl w:val="0"/>
              <w:autoSpaceDE w:val="0"/>
              <w:autoSpaceDN w:val="0"/>
              <w:adjustRightInd w:val="0"/>
              <w:jc w:val="center"/>
              <w:rPr>
                <w:color w:val="000000" w:themeColor="text1"/>
              </w:rPr>
            </w:pPr>
            <w:r w:rsidRPr="007D5080">
              <w:rPr>
                <w:noProof/>
                <w:color w:val="000000" w:themeColor="text1"/>
              </w:rPr>
              <w:drawing>
                <wp:inline distT="0" distB="0" distL="0" distR="0" wp14:anchorId="1E27BC9D" wp14:editId="757B86E2">
                  <wp:extent cx="6350" cy="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153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6E753D19" w14:textId="77777777" w:rsidR="002513F1" w:rsidRPr="007D5080" w:rsidRDefault="002513F1" w:rsidP="00E355C5">
            <w:pPr>
              <w:widowControl w:val="0"/>
              <w:autoSpaceDE w:val="0"/>
              <w:autoSpaceDN w:val="0"/>
              <w:adjustRightInd w:val="0"/>
              <w:spacing w:after="240"/>
              <w:jc w:val="center"/>
              <w:rPr>
                <w:color w:val="000000" w:themeColor="text1"/>
              </w:rPr>
            </w:pPr>
            <w:r w:rsidRPr="007D5080">
              <w:rPr>
                <w:color w:val="000000" w:themeColor="text1"/>
              </w:rPr>
              <w:t>Slightly Disagree</w:t>
            </w:r>
          </w:p>
        </w:tc>
        <w:tc>
          <w:tcPr>
            <w:tcW w:w="11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22B5D21C" w14:textId="77777777" w:rsidR="002513F1" w:rsidRPr="007D5080" w:rsidRDefault="002513F1" w:rsidP="00E355C5">
            <w:pPr>
              <w:widowControl w:val="0"/>
              <w:autoSpaceDE w:val="0"/>
              <w:autoSpaceDN w:val="0"/>
              <w:adjustRightInd w:val="0"/>
              <w:spacing w:after="240"/>
              <w:jc w:val="center"/>
              <w:rPr>
                <w:color w:val="000000" w:themeColor="text1"/>
              </w:rPr>
            </w:pPr>
            <w:r w:rsidRPr="007D5080">
              <w:rPr>
                <w:color w:val="000000" w:themeColor="text1"/>
              </w:rPr>
              <w:t>Neutral</w:t>
            </w:r>
          </w:p>
          <w:p w14:paraId="344A308C" w14:textId="77777777" w:rsidR="002513F1" w:rsidRPr="007D5080" w:rsidRDefault="002513F1" w:rsidP="00E355C5">
            <w:pPr>
              <w:widowControl w:val="0"/>
              <w:autoSpaceDE w:val="0"/>
              <w:autoSpaceDN w:val="0"/>
              <w:adjustRightInd w:val="0"/>
              <w:jc w:val="center"/>
              <w:rPr>
                <w:color w:val="000000" w:themeColor="text1"/>
              </w:rPr>
            </w:pPr>
            <w:r w:rsidRPr="007D5080">
              <w:rPr>
                <w:noProof/>
                <w:color w:val="000000" w:themeColor="text1"/>
              </w:rPr>
              <w:drawing>
                <wp:inline distT="0" distB="0" distL="0" distR="0" wp14:anchorId="1EF2809E" wp14:editId="583CF242">
                  <wp:extent cx="6350" cy="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7D5080">
              <w:rPr>
                <w:noProof/>
                <w:color w:val="000000" w:themeColor="text1"/>
              </w:rPr>
              <w:drawing>
                <wp:inline distT="0" distB="0" distL="0" distR="0" wp14:anchorId="3526A50B" wp14:editId="26967362">
                  <wp:extent cx="6350" cy="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126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1D35436D" w14:textId="77777777" w:rsidR="002513F1" w:rsidRPr="007D5080" w:rsidRDefault="002513F1" w:rsidP="00E355C5">
            <w:pPr>
              <w:widowControl w:val="0"/>
              <w:autoSpaceDE w:val="0"/>
              <w:autoSpaceDN w:val="0"/>
              <w:adjustRightInd w:val="0"/>
              <w:spacing w:after="240"/>
              <w:jc w:val="center"/>
              <w:rPr>
                <w:color w:val="000000" w:themeColor="text1"/>
              </w:rPr>
            </w:pPr>
            <w:r w:rsidRPr="007D5080">
              <w:rPr>
                <w:color w:val="000000" w:themeColor="text1"/>
              </w:rPr>
              <w:t>Slightly Agree</w:t>
            </w:r>
          </w:p>
        </w:tc>
        <w:tc>
          <w:tcPr>
            <w:tcW w:w="99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1F687AE6" w14:textId="77777777" w:rsidR="002513F1" w:rsidRPr="007D5080" w:rsidRDefault="002513F1" w:rsidP="00E355C5">
            <w:pPr>
              <w:widowControl w:val="0"/>
              <w:autoSpaceDE w:val="0"/>
              <w:autoSpaceDN w:val="0"/>
              <w:adjustRightInd w:val="0"/>
              <w:spacing w:after="240"/>
              <w:jc w:val="center"/>
              <w:rPr>
                <w:color w:val="000000" w:themeColor="text1"/>
              </w:rPr>
            </w:pPr>
            <w:r w:rsidRPr="007D5080">
              <w:rPr>
                <w:color w:val="000000" w:themeColor="text1"/>
              </w:rPr>
              <w:t>Agree</w:t>
            </w:r>
          </w:p>
          <w:p w14:paraId="063F9C48" w14:textId="77777777" w:rsidR="002513F1" w:rsidRPr="007D5080" w:rsidRDefault="002513F1" w:rsidP="00E355C5">
            <w:pPr>
              <w:widowControl w:val="0"/>
              <w:autoSpaceDE w:val="0"/>
              <w:autoSpaceDN w:val="0"/>
              <w:adjustRightInd w:val="0"/>
              <w:jc w:val="center"/>
              <w:rPr>
                <w:color w:val="000000" w:themeColor="text1"/>
              </w:rPr>
            </w:pPr>
            <w:r w:rsidRPr="007D5080">
              <w:rPr>
                <w:noProof/>
                <w:color w:val="000000" w:themeColor="text1"/>
              </w:rPr>
              <w:drawing>
                <wp:inline distT="0" distB="0" distL="0" distR="0" wp14:anchorId="74D54F04" wp14:editId="3645332E">
                  <wp:extent cx="6350" cy="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7D5080">
              <w:rPr>
                <w:noProof/>
                <w:color w:val="000000" w:themeColor="text1"/>
              </w:rPr>
              <w:drawing>
                <wp:inline distT="0" distB="0" distL="0" distR="0" wp14:anchorId="17C946C0" wp14:editId="1FAC01D4">
                  <wp:extent cx="6350" cy="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144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515B17A6" w14:textId="77777777" w:rsidR="002513F1" w:rsidRPr="007D5080" w:rsidRDefault="002513F1" w:rsidP="00E355C5">
            <w:pPr>
              <w:widowControl w:val="0"/>
              <w:autoSpaceDE w:val="0"/>
              <w:autoSpaceDN w:val="0"/>
              <w:adjustRightInd w:val="0"/>
              <w:spacing w:after="240"/>
              <w:jc w:val="center"/>
              <w:rPr>
                <w:color w:val="000000" w:themeColor="text1"/>
              </w:rPr>
            </w:pPr>
            <w:r w:rsidRPr="007D5080">
              <w:rPr>
                <w:color w:val="000000" w:themeColor="text1"/>
              </w:rPr>
              <w:t>Strongly Agree</w:t>
            </w:r>
          </w:p>
        </w:tc>
      </w:tr>
    </w:tbl>
    <w:p w14:paraId="5BFF914F" w14:textId="77777777" w:rsidR="002513F1" w:rsidRPr="007D5080" w:rsidRDefault="002513F1" w:rsidP="002513F1">
      <w:pPr>
        <w:widowControl w:val="0"/>
        <w:autoSpaceDE w:val="0"/>
        <w:autoSpaceDN w:val="0"/>
        <w:adjustRightInd w:val="0"/>
        <w:spacing w:after="240"/>
        <w:rPr>
          <w:color w:val="000000" w:themeColor="text1"/>
        </w:rPr>
      </w:pPr>
      <w:r w:rsidRPr="007D5080">
        <w:rPr>
          <w:b/>
          <w:bCs/>
          <w:color w:val="000000" w:themeColor="text1"/>
        </w:rPr>
        <w:t xml:space="preserve"> Instruction</w:t>
      </w:r>
      <w:r w:rsidRPr="007D5080">
        <w:rPr>
          <w:color w:val="000000" w:themeColor="text1"/>
        </w:rPr>
        <w:t xml:space="preserve">: The following statements concern how you feel in romantic relationships. We are interested in how you generally experience relationships, not just in what is happening in a current relationship. Respond to each statement by indicating how much you agree or disagree with it. Mark your answer using the following rating scale: </w:t>
      </w:r>
    </w:p>
    <w:p w14:paraId="76766B19" w14:textId="77777777" w:rsidR="002513F1" w:rsidRPr="007D5080" w:rsidRDefault="002513F1" w:rsidP="002513F1">
      <w:pPr>
        <w:widowControl w:val="0"/>
        <w:autoSpaceDE w:val="0"/>
        <w:autoSpaceDN w:val="0"/>
        <w:adjustRightInd w:val="0"/>
        <w:spacing w:after="240" w:line="360" w:lineRule="atLeast"/>
        <w:rPr>
          <w:color w:val="000000" w:themeColor="text1"/>
        </w:rPr>
      </w:pPr>
    </w:p>
    <w:p w14:paraId="37F79166" w14:textId="77777777" w:rsidR="002513F1" w:rsidRPr="007D5080" w:rsidRDefault="002513F1" w:rsidP="002513F1">
      <w:pPr>
        <w:widowControl w:val="0"/>
        <w:autoSpaceDE w:val="0"/>
        <w:autoSpaceDN w:val="0"/>
        <w:adjustRightInd w:val="0"/>
        <w:spacing w:after="240" w:line="360" w:lineRule="atLeast"/>
        <w:rPr>
          <w:color w:val="000000" w:themeColor="text1"/>
        </w:rPr>
      </w:pPr>
    </w:p>
    <w:p w14:paraId="2F91BE83" w14:textId="77777777" w:rsidR="002513F1" w:rsidRDefault="002513F1" w:rsidP="002513F1">
      <w:pPr>
        <w:widowControl w:val="0"/>
        <w:autoSpaceDE w:val="0"/>
        <w:autoSpaceDN w:val="0"/>
        <w:adjustRightInd w:val="0"/>
        <w:spacing w:after="240" w:line="340" w:lineRule="atLeast"/>
        <w:rPr>
          <w:color w:val="000000" w:themeColor="text1"/>
        </w:rPr>
      </w:pPr>
    </w:p>
    <w:p w14:paraId="054673DF" w14:textId="77777777" w:rsidR="002513F1" w:rsidRPr="00526C71" w:rsidRDefault="002513F1" w:rsidP="002513F1">
      <w:pPr>
        <w:widowControl w:val="0"/>
        <w:autoSpaceDE w:val="0"/>
        <w:autoSpaceDN w:val="0"/>
        <w:adjustRightInd w:val="0"/>
        <w:spacing w:after="240" w:line="340" w:lineRule="atLeast"/>
        <w:rPr>
          <w:color w:val="000000" w:themeColor="text1"/>
        </w:rPr>
      </w:pPr>
      <w:r w:rsidRPr="00526C71">
        <w:rPr>
          <w:bCs/>
          <w:color w:val="000000" w:themeColor="text1"/>
        </w:rPr>
        <w:t xml:space="preserve">1. It helps to turn to my romantic partner in times of need. </w:t>
      </w:r>
    </w:p>
    <w:p w14:paraId="7AD7E20A" w14:textId="77777777" w:rsidR="002513F1" w:rsidRPr="00526C71" w:rsidRDefault="002513F1" w:rsidP="002513F1">
      <w:pPr>
        <w:widowControl w:val="0"/>
        <w:autoSpaceDE w:val="0"/>
        <w:autoSpaceDN w:val="0"/>
        <w:adjustRightInd w:val="0"/>
        <w:spacing w:after="240" w:line="340" w:lineRule="atLeast"/>
        <w:rPr>
          <w:rFonts w:ascii="MS Mincho" w:eastAsia="MS Mincho" w:hAnsi="MS Mincho" w:cs="MS Mincho"/>
          <w:color w:val="000000" w:themeColor="text1"/>
        </w:rPr>
      </w:pPr>
      <w:r w:rsidRPr="00526C71">
        <w:rPr>
          <w:color w:val="000000" w:themeColor="text1"/>
        </w:rPr>
        <w:t xml:space="preserve"> 2. I need a lot of reassurance that I am loved by my partner.</w:t>
      </w:r>
      <w:r w:rsidRPr="00526C71">
        <w:rPr>
          <w:rFonts w:ascii="MS Mincho" w:eastAsia="MS Mincho" w:hAnsi="MS Mincho" w:cs="MS Mincho"/>
          <w:color w:val="000000" w:themeColor="text1"/>
        </w:rPr>
        <w:t> </w:t>
      </w:r>
    </w:p>
    <w:p w14:paraId="47078408" w14:textId="77777777" w:rsidR="002513F1" w:rsidRPr="00526C71" w:rsidRDefault="002513F1" w:rsidP="002513F1">
      <w:pPr>
        <w:widowControl w:val="0"/>
        <w:autoSpaceDE w:val="0"/>
        <w:autoSpaceDN w:val="0"/>
        <w:adjustRightInd w:val="0"/>
        <w:spacing w:after="240" w:line="340" w:lineRule="atLeast"/>
        <w:rPr>
          <w:rFonts w:ascii="MS Mincho" w:eastAsia="MS Mincho" w:hAnsi="MS Mincho" w:cs="MS Mincho"/>
          <w:color w:val="000000" w:themeColor="text1"/>
        </w:rPr>
      </w:pPr>
      <w:r w:rsidRPr="00526C71">
        <w:rPr>
          <w:color w:val="000000" w:themeColor="text1"/>
        </w:rPr>
        <w:t>3. I want to get close to my partner, but I keep pulling back.</w:t>
      </w:r>
      <w:r w:rsidRPr="00526C71">
        <w:rPr>
          <w:rFonts w:ascii="MS Mincho" w:eastAsia="MS Mincho" w:hAnsi="MS Mincho" w:cs="MS Mincho"/>
          <w:color w:val="000000" w:themeColor="text1"/>
        </w:rPr>
        <w:t> </w:t>
      </w:r>
    </w:p>
    <w:p w14:paraId="0660FE0D" w14:textId="77777777" w:rsidR="002513F1" w:rsidRPr="00526C71" w:rsidRDefault="002513F1" w:rsidP="002513F1">
      <w:pPr>
        <w:widowControl w:val="0"/>
        <w:autoSpaceDE w:val="0"/>
        <w:autoSpaceDN w:val="0"/>
        <w:adjustRightInd w:val="0"/>
        <w:spacing w:after="240" w:line="340" w:lineRule="atLeast"/>
        <w:rPr>
          <w:rFonts w:ascii="MS Mincho" w:eastAsia="MS Mincho" w:hAnsi="MS Mincho" w:cs="MS Mincho"/>
          <w:color w:val="000000" w:themeColor="text1"/>
        </w:rPr>
      </w:pPr>
      <w:r w:rsidRPr="00526C71">
        <w:rPr>
          <w:color w:val="000000" w:themeColor="text1"/>
        </w:rPr>
        <w:t>4. I find that my partner(s) don't want to get as close as I would like.</w:t>
      </w:r>
      <w:r w:rsidRPr="00526C71">
        <w:rPr>
          <w:rFonts w:ascii="MS Mincho" w:eastAsia="MS Mincho" w:hAnsi="MS Mincho" w:cs="MS Mincho"/>
          <w:color w:val="000000" w:themeColor="text1"/>
        </w:rPr>
        <w:t> </w:t>
      </w:r>
    </w:p>
    <w:p w14:paraId="51FEF5B7" w14:textId="77777777" w:rsidR="002513F1" w:rsidRPr="00526C71" w:rsidRDefault="002513F1" w:rsidP="002513F1">
      <w:pPr>
        <w:widowControl w:val="0"/>
        <w:autoSpaceDE w:val="0"/>
        <w:autoSpaceDN w:val="0"/>
        <w:adjustRightInd w:val="0"/>
        <w:spacing w:after="240" w:line="340" w:lineRule="atLeast"/>
        <w:rPr>
          <w:rFonts w:ascii="MS Mincho" w:eastAsia="MS Mincho" w:hAnsi="MS Mincho" w:cs="MS Mincho"/>
          <w:bCs/>
          <w:color w:val="000000" w:themeColor="text1"/>
        </w:rPr>
      </w:pPr>
      <w:r w:rsidRPr="00526C71">
        <w:rPr>
          <w:bCs/>
          <w:color w:val="000000" w:themeColor="text1"/>
        </w:rPr>
        <w:t>5. I turn to my partner for many things, including comfort and reassurance.</w:t>
      </w:r>
      <w:r w:rsidRPr="00526C71">
        <w:rPr>
          <w:rFonts w:ascii="MS Mincho" w:eastAsia="MS Mincho" w:hAnsi="MS Mincho" w:cs="MS Mincho"/>
          <w:bCs/>
          <w:color w:val="000000" w:themeColor="text1"/>
        </w:rPr>
        <w:t> </w:t>
      </w:r>
    </w:p>
    <w:p w14:paraId="3D2541C6" w14:textId="77777777" w:rsidR="002513F1" w:rsidRPr="00526C71" w:rsidRDefault="002513F1" w:rsidP="002513F1">
      <w:pPr>
        <w:widowControl w:val="0"/>
        <w:autoSpaceDE w:val="0"/>
        <w:autoSpaceDN w:val="0"/>
        <w:adjustRightInd w:val="0"/>
        <w:spacing w:after="240" w:line="340" w:lineRule="atLeast"/>
        <w:rPr>
          <w:rFonts w:ascii="MS Mincho" w:eastAsia="MS Mincho" w:hAnsi="MS Mincho" w:cs="MS Mincho"/>
          <w:color w:val="000000" w:themeColor="text1"/>
        </w:rPr>
      </w:pPr>
      <w:r w:rsidRPr="00526C71">
        <w:rPr>
          <w:color w:val="000000" w:themeColor="text1"/>
        </w:rPr>
        <w:t>6. My desire to be very close sometimes scares people away.</w:t>
      </w:r>
      <w:r w:rsidRPr="00526C71">
        <w:rPr>
          <w:rFonts w:ascii="MS Mincho" w:eastAsia="MS Mincho" w:hAnsi="MS Mincho" w:cs="MS Mincho"/>
          <w:color w:val="000000" w:themeColor="text1"/>
        </w:rPr>
        <w:t> </w:t>
      </w:r>
    </w:p>
    <w:p w14:paraId="59593008" w14:textId="77777777" w:rsidR="002513F1" w:rsidRPr="00526C71" w:rsidRDefault="002513F1" w:rsidP="002513F1">
      <w:pPr>
        <w:widowControl w:val="0"/>
        <w:autoSpaceDE w:val="0"/>
        <w:autoSpaceDN w:val="0"/>
        <w:adjustRightInd w:val="0"/>
        <w:spacing w:after="240" w:line="340" w:lineRule="atLeast"/>
        <w:rPr>
          <w:rFonts w:ascii="MS Mincho" w:eastAsia="MS Mincho" w:hAnsi="MS Mincho" w:cs="MS Mincho"/>
          <w:color w:val="000000" w:themeColor="text1"/>
        </w:rPr>
      </w:pPr>
      <w:r w:rsidRPr="00526C71">
        <w:rPr>
          <w:color w:val="000000" w:themeColor="text1"/>
        </w:rPr>
        <w:t>7. I try to avoid getting too close to my partner.</w:t>
      </w:r>
      <w:r w:rsidRPr="00526C71">
        <w:rPr>
          <w:rFonts w:ascii="MS Mincho" w:eastAsia="MS Mincho" w:hAnsi="MS Mincho" w:cs="MS Mincho"/>
          <w:color w:val="000000" w:themeColor="text1"/>
        </w:rPr>
        <w:t> </w:t>
      </w:r>
    </w:p>
    <w:p w14:paraId="4D947A59" w14:textId="77777777" w:rsidR="002513F1" w:rsidRPr="00526C71" w:rsidRDefault="002513F1" w:rsidP="002513F1">
      <w:pPr>
        <w:widowControl w:val="0"/>
        <w:autoSpaceDE w:val="0"/>
        <w:autoSpaceDN w:val="0"/>
        <w:adjustRightInd w:val="0"/>
        <w:spacing w:after="240" w:line="340" w:lineRule="atLeast"/>
        <w:rPr>
          <w:rFonts w:ascii="MS Mincho" w:eastAsia="MS Mincho" w:hAnsi="MS Mincho" w:cs="MS Mincho"/>
          <w:bCs/>
          <w:color w:val="000000" w:themeColor="text1"/>
        </w:rPr>
      </w:pPr>
      <w:r w:rsidRPr="00526C71">
        <w:rPr>
          <w:bCs/>
          <w:color w:val="000000" w:themeColor="text1"/>
        </w:rPr>
        <w:t>8. I do not often worry about being abandoned.</w:t>
      </w:r>
      <w:r w:rsidRPr="00526C71">
        <w:rPr>
          <w:rFonts w:ascii="MS Mincho" w:eastAsia="MS Mincho" w:hAnsi="MS Mincho" w:cs="MS Mincho"/>
          <w:bCs/>
          <w:color w:val="000000" w:themeColor="text1"/>
        </w:rPr>
        <w:t> </w:t>
      </w:r>
    </w:p>
    <w:p w14:paraId="54268132" w14:textId="77777777" w:rsidR="002513F1" w:rsidRPr="00526C71" w:rsidRDefault="002513F1" w:rsidP="002513F1">
      <w:pPr>
        <w:widowControl w:val="0"/>
        <w:autoSpaceDE w:val="0"/>
        <w:autoSpaceDN w:val="0"/>
        <w:adjustRightInd w:val="0"/>
        <w:spacing w:after="240" w:line="340" w:lineRule="atLeast"/>
        <w:rPr>
          <w:rFonts w:ascii="MS Mincho" w:eastAsia="MS Mincho" w:hAnsi="MS Mincho" w:cs="MS Mincho"/>
          <w:bCs/>
          <w:color w:val="000000" w:themeColor="text1"/>
        </w:rPr>
      </w:pPr>
      <w:r w:rsidRPr="00526C71">
        <w:rPr>
          <w:bCs/>
          <w:color w:val="000000" w:themeColor="text1"/>
        </w:rPr>
        <w:t>9. I usually discuss my problems and concerns with my partner.</w:t>
      </w:r>
      <w:r w:rsidRPr="00526C71">
        <w:rPr>
          <w:rFonts w:ascii="MS Mincho" w:eastAsia="MS Mincho" w:hAnsi="MS Mincho" w:cs="MS Mincho"/>
          <w:bCs/>
          <w:color w:val="000000" w:themeColor="text1"/>
        </w:rPr>
        <w:t> </w:t>
      </w:r>
    </w:p>
    <w:p w14:paraId="64374556" w14:textId="77777777" w:rsidR="002513F1" w:rsidRPr="00526C71" w:rsidRDefault="002513F1" w:rsidP="002513F1">
      <w:pPr>
        <w:widowControl w:val="0"/>
        <w:autoSpaceDE w:val="0"/>
        <w:autoSpaceDN w:val="0"/>
        <w:adjustRightInd w:val="0"/>
        <w:spacing w:after="240" w:line="340" w:lineRule="atLeast"/>
        <w:rPr>
          <w:rFonts w:ascii="MS Mincho" w:eastAsia="MS Mincho" w:hAnsi="MS Mincho" w:cs="MS Mincho"/>
          <w:color w:val="000000" w:themeColor="text1"/>
        </w:rPr>
      </w:pPr>
      <w:r w:rsidRPr="00526C71">
        <w:rPr>
          <w:color w:val="000000" w:themeColor="text1"/>
        </w:rPr>
        <w:t>10. I get frustrated if romantic partners are not available when I need them.</w:t>
      </w:r>
      <w:r w:rsidRPr="00526C71">
        <w:rPr>
          <w:rFonts w:ascii="MS Mincho" w:eastAsia="MS Mincho" w:hAnsi="MS Mincho" w:cs="MS Mincho"/>
          <w:color w:val="000000" w:themeColor="text1"/>
        </w:rPr>
        <w:t> </w:t>
      </w:r>
    </w:p>
    <w:p w14:paraId="376BDCD8" w14:textId="77777777" w:rsidR="002513F1" w:rsidRDefault="002513F1" w:rsidP="002513F1">
      <w:pPr>
        <w:widowControl w:val="0"/>
        <w:autoSpaceDE w:val="0"/>
        <w:autoSpaceDN w:val="0"/>
        <w:adjustRightInd w:val="0"/>
        <w:spacing w:after="240" w:line="340" w:lineRule="atLeast"/>
        <w:rPr>
          <w:rFonts w:ascii="MS Mincho" w:eastAsia="MS Mincho" w:hAnsi="MS Mincho" w:cs="MS Mincho"/>
          <w:color w:val="000000" w:themeColor="text1"/>
        </w:rPr>
      </w:pPr>
      <w:r w:rsidRPr="007D5080">
        <w:rPr>
          <w:color w:val="000000" w:themeColor="text1"/>
        </w:rPr>
        <w:t>11. I am nervous when partners get too close to me.</w:t>
      </w:r>
      <w:r w:rsidRPr="007D5080">
        <w:rPr>
          <w:rFonts w:ascii="MS Mincho" w:eastAsia="MS Mincho" w:hAnsi="MS Mincho" w:cs="MS Mincho"/>
          <w:color w:val="000000" w:themeColor="text1"/>
        </w:rPr>
        <w:t> </w:t>
      </w:r>
    </w:p>
    <w:p w14:paraId="400413D3" w14:textId="77777777" w:rsidR="002513F1" w:rsidRPr="007D5080" w:rsidRDefault="002513F1" w:rsidP="002513F1">
      <w:pPr>
        <w:widowControl w:val="0"/>
        <w:autoSpaceDE w:val="0"/>
        <w:autoSpaceDN w:val="0"/>
        <w:adjustRightInd w:val="0"/>
        <w:spacing w:after="240" w:line="340" w:lineRule="atLeast"/>
        <w:rPr>
          <w:color w:val="000000" w:themeColor="text1"/>
        </w:rPr>
      </w:pPr>
      <w:r w:rsidRPr="007D5080">
        <w:rPr>
          <w:color w:val="000000" w:themeColor="text1"/>
        </w:rPr>
        <w:t xml:space="preserve">12. I worry that romantic partners won't care about me as much as I care about them. </w:t>
      </w:r>
    </w:p>
    <w:p w14:paraId="777958D2" w14:textId="77777777" w:rsidR="002513F1" w:rsidRPr="007D5080" w:rsidRDefault="002513F1" w:rsidP="002513F1">
      <w:pPr>
        <w:widowControl w:val="0"/>
        <w:autoSpaceDE w:val="0"/>
        <w:autoSpaceDN w:val="0"/>
        <w:adjustRightInd w:val="0"/>
        <w:spacing w:after="240" w:line="360" w:lineRule="atLeast"/>
        <w:rPr>
          <w:color w:val="000000" w:themeColor="text1"/>
        </w:rPr>
      </w:pPr>
      <w:r w:rsidRPr="007D5080">
        <w:rPr>
          <w:color w:val="000000" w:themeColor="text1"/>
        </w:rPr>
        <w:t>Scoring Information:</w:t>
      </w:r>
      <w:r w:rsidRPr="007D5080">
        <w:rPr>
          <w:rFonts w:ascii="MS Mincho" w:eastAsia="MS Mincho" w:hAnsi="MS Mincho" w:cs="MS Mincho"/>
          <w:color w:val="000000" w:themeColor="text1"/>
        </w:rPr>
        <w:t> </w:t>
      </w:r>
      <w:r w:rsidRPr="007D5080">
        <w:rPr>
          <w:color w:val="000000" w:themeColor="text1"/>
        </w:rPr>
        <w:t>Anxiety = 2, 4, 6, 8 (reverse), 10, 12</w:t>
      </w:r>
      <w:r w:rsidRPr="007D5080">
        <w:rPr>
          <w:rFonts w:ascii="MS Mincho" w:eastAsia="MS Mincho" w:hAnsi="MS Mincho" w:cs="MS Mincho"/>
          <w:color w:val="000000" w:themeColor="text1"/>
        </w:rPr>
        <w:t> </w:t>
      </w:r>
      <w:r w:rsidRPr="007D5080">
        <w:rPr>
          <w:color w:val="000000" w:themeColor="text1"/>
        </w:rPr>
        <w:t xml:space="preserve">Avoidance = 1 (reverse), 3, 5 (reverse), 7, 9 (reverse), 11 </w:t>
      </w:r>
    </w:p>
    <w:p w14:paraId="055161F6" w14:textId="77777777" w:rsidR="002513F1" w:rsidRPr="007D5080" w:rsidRDefault="002513F1" w:rsidP="002513F1">
      <w:pPr>
        <w:widowControl w:val="0"/>
        <w:autoSpaceDE w:val="0"/>
        <w:autoSpaceDN w:val="0"/>
        <w:adjustRightInd w:val="0"/>
        <w:spacing w:after="240"/>
        <w:ind w:left="720" w:hanging="720"/>
        <w:rPr>
          <w:color w:val="000000" w:themeColor="text1"/>
        </w:rPr>
      </w:pPr>
      <w:r w:rsidRPr="007D5080">
        <w:rPr>
          <w:color w:val="000000" w:themeColor="text1"/>
        </w:rPr>
        <w:t xml:space="preserve">Wei, M., Russell, D. W., Mallinckrodt, B., &amp; Vogel, D. L. (2007). The experiences in Close Relationship Scale (ECR)-Short Form: Reliability, validity, and factor structure. </w:t>
      </w:r>
      <w:r w:rsidRPr="007D5080">
        <w:rPr>
          <w:i/>
          <w:iCs/>
          <w:color w:val="000000" w:themeColor="text1"/>
        </w:rPr>
        <w:t xml:space="preserve">Journal of Personality Assessment, 88, </w:t>
      </w:r>
      <w:r w:rsidRPr="007D5080">
        <w:rPr>
          <w:color w:val="000000" w:themeColor="text1"/>
        </w:rPr>
        <w:t xml:space="preserve">187-204. </w:t>
      </w:r>
    </w:p>
    <w:p w14:paraId="2DE7D57B" w14:textId="3514B742" w:rsidR="00926569" w:rsidRPr="00CF4AFE" w:rsidRDefault="00CF4AFE" w:rsidP="00CF4AFE">
      <w:pPr>
        <w:pStyle w:val="Body"/>
        <w:spacing w:line="480" w:lineRule="auto"/>
        <w:jc w:val="center"/>
        <w:rPr>
          <w:b/>
        </w:rPr>
      </w:pPr>
      <w:r>
        <w:rPr>
          <w:noProof/>
        </w:rPr>
        <w:lastRenderedPageBreak/>
        <w:drawing>
          <wp:inline distT="0" distB="0" distL="0" distR="0" wp14:anchorId="76C72B8D" wp14:editId="348749E8">
            <wp:extent cx="5943600" cy="7692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ck_Depression_Inventory pdf.pdf"/>
                    <pic:cNvPicPr/>
                  </pic:nvPicPr>
                  <pic:blipFill>
                    <a:blip r:embed="rId7">
                      <a:extLst>
                        <a:ext uri="{28A0092B-C50C-407E-A947-70E740481C1C}">
                          <a14:useLocalDpi xmlns:a14="http://schemas.microsoft.com/office/drawing/2010/main" val="0"/>
                        </a:ext>
                      </a:extLst>
                    </a:blip>
                    <a:stretch>
                      <a:fillRect/>
                    </a:stretch>
                  </pic:blipFill>
                  <pic:spPr>
                    <a:xfrm>
                      <a:off x="0" y="0"/>
                      <a:ext cx="5943600" cy="7692445"/>
                    </a:xfrm>
                    <a:prstGeom prst="rect">
                      <a:avLst/>
                    </a:prstGeom>
                  </pic:spPr>
                </pic:pic>
              </a:graphicData>
            </a:graphic>
          </wp:inline>
        </w:drawing>
      </w:r>
    </w:p>
    <w:sectPr w:rsidR="00926569" w:rsidRPr="00CF4AFE">
      <w:headerReference w:type="default" r:id="rId8"/>
      <w:head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FF3CB" w14:textId="77777777" w:rsidR="00181B61" w:rsidRDefault="00181B61">
      <w:r>
        <w:separator/>
      </w:r>
    </w:p>
  </w:endnote>
  <w:endnote w:type="continuationSeparator" w:id="0">
    <w:p w14:paraId="2D61F444" w14:textId="77777777" w:rsidR="00181B61" w:rsidRDefault="0018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AF30D" w14:textId="77777777" w:rsidR="00181B61" w:rsidRDefault="00181B61">
      <w:r>
        <w:separator/>
      </w:r>
    </w:p>
  </w:footnote>
  <w:footnote w:type="continuationSeparator" w:id="0">
    <w:p w14:paraId="7283903B" w14:textId="77777777" w:rsidR="00181B61" w:rsidRDefault="00181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D2AE3" w14:textId="2A7A5AE2" w:rsidR="00B54738" w:rsidRDefault="0056387F" w:rsidP="0056387F">
    <w:pPr>
      <w:pStyle w:val="Header"/>
      <w:tabs>
        <w:tab w:val="clear" w:pos="9360"/>
        <w:tab w:val="right" w:pos="9340"/>
      </w:tabs>
    </w:pPr>
    <w:r>
      <w:t xml:space="preserve">TREATMENT PROPOSAL </w:t>
    </w:r>
    <w:r>
      <w:tab/>
    </w:r>
    <w:r>
      <w:tab/>
    </w:r>
    <w:r w:rsidR="000D17D5">
      <w:fldChar w:fldCharType="begin"/>
    </w:r>
    <w:r w:rsidR="000D17D5">
      <w:instrText xml:space="preserve"> PAGE </w:instrText>
    </w:r>
    <w:r w:rsidR="000D17D5">
      <w:fldChar w:fldCharType="separate"/>
    </w:r>
    <w:r w:rsidR="008C4C9B">
      <w:rPr>
        <w:noProof/>
      </w:rPr>
      <w:t>17</w:t>
    </w:r>
    <w:r w:rsidR="000D17D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62EA" w14:textId="77777777" w:rsidR="00B54738" w:rsidRDefault="000D17D5">
    <w:pPr>
      <w:pStyle w:val="Header"/>
      <w:tabs>
        <w:tab w:val="clear" w:pos="9360"/>
        <w:tab w:val="right" w:pos="9340"/>
      </w:tabs>
      <w:jc w:val="right"/>
    </w:pPr>
    <w:r>
      <w:fldChar w:fldCharType="begin"/>
    </w:r>
    <w:r>
      <w:instrText xml:space="preserve"> PAGE </w:instrText>
    </w:r>
    <w:r>
      <w:fldChar w:fldCharType="separate"/>
    </w:r>
    <w:r w:rsidR="008C4C9B">
      <w:rPr>
        <w:noProof/>
      </w:rPr>
      <w:t>1</w:t>
    </w:r>
    <w:r>
      <w:fldChar w:fldCharType="end"/>
    </w:r>
  </w:p>
  <w:p w14:paraId="67C5787B" w14:textId="7E419A00" w:rsidR="00B54738" w:rsidRDefault="000D17D5">
    <w:pPr>
      <w:pStyle w:val="Header"/>
      <w:tabs>
        <w:tab w:val="clear" w:pos="9360"/>
        <w:tab w:val="right" w:pos="9340"/>
      </w:tabs>
      <w:ind w:right="360"/>
    </w:pPr>
    <w:r>
      <w:t>Running head: TREATMENT PROPOSAL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38"/>
    <w:rsid w:val="00050412"/>
    <w:rsid w:val="000A0064"/>
    <w:rsid w:val="000D17D5"/>
    <w:rsid w:val="0011355D"/>
    <w:rsid w:val="00146923"/>
    <w:rsid w:val="00156636"/>
    <w:rsid w:val="001605B3"/>
    <w:rsid w:val="001635B3"/>
    <w:rsid w:val="00181B61"/>
    <w:rsid w:val="001C2468"/>
    <w:rsid w:val="00227AA8"/>
    <w:rsid w:val="00233872"/>
    <w:rsid w:val="00247D92"/>
    <w:rsid w:val="002513F1"/>
    <w:rsid w:val="002676CC"/>
    <w:rsid w:val="0028239B"/>
    <w:rsid w:val="00296A6E"/>
    <w:rsid w:val="002A04EC"/>
    <w:rsid w:val="002B5CFB"/>
    <w:rsid w:val="002E05A4"/>
    <w:rsid w:val="002E4014"/>
    <w:rsid w:val="0032707A"/>
    <w:rsid w:val="0034119A"/>
    <w:rsid w:val="003607A5"/>
    <w:rsid w:val="003C1055"/>
    <w:rsid w:val="003F06C2"/>
    <w:rsid w:val="0040656C"/>
    <w:rsid w:val="00483929"/>
    <w:rsid w:val="004C025A"/>
    <w:rsid w:val="004C31AB"/>
    <w:rsid w:val="004D53AB"/>
    <w:rsid w:val="00514672"/>
    <w:rsid w:val="005448C5"/>
    <w:rsid w:val="0056387F"/>
    <w:rsid w:val="0059050B"/>
    <w:rsid w:val="005B0171"/>
    <w:rsid w:val="0062702D"/>
    <w:rsid w:val="006358C8"/>
    <w:rsid w:val="0063752B"/>
    <w:rsid w:val="006410C3"/>
    <w:rsid w:val="006527EB"/>
    <w:rsid w:val="00654B2E"/>
    <w:rsid w:val="00657FAD"/>
    <w:rsid w:val="0066182F"/>
    <w:rsid w:val="0066266A"/>
    <w:rsid w:val="006A04DB"/>
    <w:rsid w:val="006F383A"/>
    <w:rsid w:val="00757E1E"/>
    <w:rsid w:val="0077338B"/>
    <w:rsid w:val="007B094B"/>
    <w:rsid w:val="007C072B"/>
    <w:rsid w:val="007D2444"/>
    <w:rsid w:val="007D4B97"/>
    <w:rsid w:val="007F4E8B"/>
    <w:rsid w:val="007F5EB3"/>
    <w:rsid w:val="0081433B"/>
    <w:rsid w:val="008426A8"/>
    <w:rsid w:val="00877976"/>
    <w:rsid w:val="008A3229"/>
    <w:rsid w:val="008C4C9B"/>
    <w:rsid w:val="008D3E6E"/>
    <w:rsid w:val="008D44FE"/>
    <w:rsid w:val="009159D6"/>
    <w:rsid w:val="00926569"/>
    <w:rsid w:val="00927AC1"/>
    <w:rsid w:val="009E4346"/>
    <w:rsid w:val="009F150D"/>
    <w:rsid w:val="00A04420"/>
    <w:rsid w:val="00A472A6"/>
    <w:rsid w:val="00A85CCA"/>
    <w:rsid w:val="00A90014"/>
    <w:rsid w:val="00AC7063"/>
    <w:rsid w:val="00AF02B8"/>
    <w:rsid w:val="00B07C85"/>
    <w:rsid w:val="00B54738"/>
    <w:rsid w:val="00B84D61"/>
    <w:rsid w:val="00B86BB1"/>
    <w:rsid w:val="00B87D56"/>
    <w:rsid w:val="00BB7756"/>
    <w:rsid w:val="00BC2887"/>
    <w:rsid w:val="00C22FD9"/>
    <w:rsid w:val="00C3197A"/>
    <w:rsid w:val="00CA35AE"/>
    <w:rsid w:val="00CA5FCC"/>
    <w:rsid w:val="00CD5B99"/>
    <w:rsid w:val="00CF4AFE"/>
    <w:rsid w:val="00D27B1A"/>
    <w:rsid w:val="00D27B4B"/>
    <w:rsid w:val="00DD316B"/>
    <w:rsid w:val="00DF13DD"/>
    <w:rsid w:val="00DF6BC7"/>
    <w:rsid w:val="00E33462"/>
    <w:rsid w:val="00E52315"/>
    <w:rsid w:val="00E52A79"/>
    <w:rsid w:val="00E5632E"/>
    <w:rsid w:val="00EB1840"/>
    <w:rsid w:val="00F2357C"/>
    <w:rsid w:val="00F32C36"/>
    <w:rsid w:val="00F43A8B"/>
    <w:rsid w:val="00F951BB"/>
    <w:rsid w:val="00FA0B09"/>
    <w:rsid w:val="00FB7F74"/>
    <w:rsid w:val="00FC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3C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eastAsia="Times New Roman"/>
      <w:color w:val="000000"/>
      <w:sz w:val="24"/>
      <w:szCs w:val="24"/>
      <w:u w:color="000000"/>
    </w:rPr>
  </w:style>
  <w:style w:type="paragraph" w:styleId="NormalWeb">
    <w:name w:val="Normal (Web)"/>
    <w:uiPriority w:val="99"/>
    <w:pPr>
      <w:spacing w:before="100" w:after="100"/>
    </w:pPr>
    <w:rPr>
      <w:rFonts w:hAnsi="Arial Unicode MS" w:cs="Arial Unicode MS"/>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B7756"/>
    <w:rPr>
      <w:sz w:val="18"/>
      <w:szCs w:val="18"/>
    </w:rPr>
  </w:style>
  <w:style w:type="character" w:customStyle="1" w:styleId="BalloonTextChar">
    <w:name w:val="Balloon Text Char"/>
    <w:basedOn w:val="DefaultParagraphFont"/>
    <w:link w:val="BalloonText"/>
    <w:uiPriority w:val="99"/>
    <w:semiHidden/>
    <w:rsid w:val="00BB7756"/>
    <w:rPr>
      <w:sz w:val="18"/>
      <w:szCs w:val="18"/>
    </w:rPr>
  </w:style>
  <w:style w:type="paragraph" w:styleId="Footer">
    <w:name w:val="footer"/>
    <w:basedOn w:val="Normal"/>
    <w:link w:val="FooterChar"/>
    <w:uiPriority w:val="99"/>
    <w:unhideWhenUsed/>
    <w:rsid w:val="0056387F"/>
    <w:pPr>
      <w:tabs>
        <w:tab w:val="center" w:pos="4680"/>
        <w:tab w:val="right" w:pos="9360"/>
      </w:tabs>
    </w:pPr>
  </w:style>
  <w:style w:type="character" w:customStyle="1" w:styleId="FooterChar">
    <w:name w:val="Footer Char"/>
    <w:basedOn w:val="DefaultParagraphFont"/>
    <w:link w:val="Footer"/>
    <w:uiPriority w:val="99"/>
    <w:rsid w:val="005638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559353">
      <w:bodyDiv w:val="1"/>
      <w:marLeft w:val="0"/>
      <w:marRight w:val="0"/>
      <w:marTop w:val="0"/>
      <w:marBottom w:val="0"/>
      <w:divBdr>
        <w:top w:val="none" w:sz="0" w:space="0" w:color="auto"/>
        <w:left w:val="none" w:sz="0" w:space="0" w:color="auto"/>
        <w:bottom w:val="none" w:sz="0" w:space="0" w:color="auto"/>
        <w:right w:val="none" w:sz="0" w:space="0" w:color="auto"/>
      </w:divBdr>
      <w:divsChild>
        <w:div w:id="1026711117">
          <w:marLeft w:val="0"/>
          <w:marRight w:val="0"/>
          <w:marTop w:val="0"/>
          <w:marBottom w:val="0"/>
          <w:divBdr>
            <w:top w:val="none" w:sz="0" w:space="0" w:color="auto"/>
            <w:left w:val="none" w:sz="0" w:space="0" w:color="auto"/>
            <w:bottom w:val="none" w:sz="0" w:space="0" w:color="auto"/>
            <w:right w:val="none" w:sz="0" w:space="0" w:color="auto"/>
          </w:divBdr>
          <w:divsChild>
            <w:div w:id="719938015">
              <w:marLeft w:val="0"/>
              <w:marRight w:val="0"/>
              <w:marTop w:val="0"/>
              <w:marBottom w:val="0"/>
              <w:divBdr>
                <w:top w:val="none" w:sz="0" w:space="0" w:color="auto"/>
                <w:left w:val="none" w:sz="0" w:space="0" w:color="auto"/>
                <w:bottom w:val="none" w:sz="0" w:space="0" w:color="auto"/>
                <w:right w:val="none" w:sz="0" w:space="0" w:color="auto"/>
              </w:divBdr>
              <w:divsChild>
                <w:div w:id="9120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39319">
      <w:bodyDiv w:val="1"/>
      <w:marLeft w:val="0"/>
      <w:marRight w:val="0"/>
      <w:marTop w:val="0"/>
      <w:marBottom w:val="0"/>
      <w:divBdr>
        <w:top w:val="none" w:sz="0" w:space="0" w:color="auto"/>
        <w:left w:val="none" w:sz="0" w:space="0" w:color="auto"/>
        <w:bottom w:val="none" w:sz="0" w:space="0" w:color="auto"/>
        <w:right w:val="none" w:sz="0" w:space="0" w:color="auto"/>
      </w:divBdr>
      <w:divsChild>
        <w:div w:id="2535601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10951</Words>
  <Characters>62421</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Zoricelis Davila</cp:lastModifiedBy>
  <cp:revision>2</cp:revision>
  <cp:lastPrinted>2016-11-15T04:45:00Z</cp:lastPrinted>
  <dcterms:created xsi:type="dcterms:W3CDTF">2019-04-23T01:55:00Z</dcterms:created>
  <dcterms:modified xsi:type="dcterms:W3CDTF">2019-04-23T01:55:00Z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abbaa4dc-b4a2-3383-ab12-c0ded956e025</vt:lpwstr>
  </property>
  <property fmtid="{D5CDD505-2E9C-101B-9397-08002B2CF9AE}" pid="4" name="Mendeley Citation Style_1">
    <vt:lpwstr>http://www.zotero.org/styles/apa</vt:lpwstr>
  </property>
</Properties>
</file>