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36760" w14:textId="24FC8201" w:rsidR="007A4B45" w:rsidRDefault="007A4B45">
      <w:pPr>
        <w:rPr>
          <w:b/>
          <w:sz w:val="28"/>
        </w:rPr>
      </w:pPr>
      <w:r>
        <w:rPr>
          <w:noProof/>
        </w:rPr>
        <mc:AlternateContent>
          <mc:Choice Requires="wps">
            <w:drawing>
              <wp:anchor distT="0" distB="0" distL="114300" distR="114300" simplePos="0" relativeHeight="251659264" behindDoc="0" locked="0" layoutInCell="1" allowOverlap="1" wp14:anchorId="061423E1" wp14:editId="272489D4">
                <wp:simplePos x="0" y="0"/>
                <wp:positionH relativeFrom="margin">
                  <wp:align>right</wp:align>
                </wp:positionH>
                <wp:positionV relativeFrom="page">
                  <wp:posOffset>1047115</wp:posOffset>
                </wp:positionV>
                <wp:extent cx="5450205" cy="8462645"/>
                <wp:effectExtent l="0" t="0" r="0" b="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0205" cy="8462645"/>
                        </a:xfrm>
                        <a:prstGeom prst="rect">
                          <a:avLst/>
                        </a:prstGeom>
                        <a:solidFill>
                          <a:schemeClr val="bg1">
                            <a:lumMod val="95000"/>
                          </a:schemeClr>
                        </a:solidFill>
                        <a:ln>
                          <a:noFill/>
                        </a:ln>
                      </wps:spPr>
                      <wps:txbx>
                        <w:txbxContent>
                          <w:p w14:paraId="61002D03" w14:textId="77777777" w:rsidR="00AF1470" w:rsidRDefault="00AF1470" w:rsidP="007A4B45">
                            <w:pPr>
                              <w:pStyle w:val="Title"/>
                              <w:jc w:val="left"/>
                              <w:rPr>
                                <w:rFonts w:ascii="Helvetica" w:hAnsi="Helvetica" w:cs="Arial"/>
                                <w:noProof/>
                                <w:color w:val="444444"/>
                                <w:sz w:val="20"/>
                                <w:lang w:val="en"/>
                              </w:rPr>
                            </w:pPr>
                            <w:r>
                              <w:rPr>
                                <w:rFonts w:ascii="Helvetica" w:hAnsi="Helvetica" w:cs="Arial"/>
                                <w:noProof/>
                                <w:color w:val="444444"/>
                                <w:sz w:val="20"/>
                                <w:lang w:val="en"/>
                              </w:rPr>
                              <w:drawing>
                                <wp:inline distT="0" distB="0" distL="0" distR="0" wp14:anchorId="2C9B438D" wp14:editId="5B7B51C3">
                                  <wp:extent cx="3420745" cy="1616448"/>
                                  <wp:effectExtent l="0" t="0" r="8255" b="3175"/>
                                  <wp:docPr id="13" name="Picture 13" descr="https://www.thefencepost.com/wp-content/uploads/2019/01/Sandhills-RFP-012819-4-1240x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hefencepost.com/wp-content/uploads/2019/01/Sandhills-RFP-012819-4-1240x58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3485" cy="1627193"/>
                                          </a:xfrm>
                                          <a:prstGeom prst="rect">
                                            <a:avLst/>
                                          </a:prstGeom>
                                          <a:noFill/>
                                          <a:ln>
                                            <a:noFill/>
                                          </a:ln>
                                        </pic:spPr>
                                      </pic:pic>
                                    </a:graphicData>
                                  </a:graphic>
                                </wp:inline>
                              </w:drawing>
                            </w:r>
                          </w:p>
                          <w:p w14:paraId="5ECBC8C5" w14:textId="77777777" w:rsidR="00AF1470" w:rsidRDefault="00AF1470" w:rsidP="007A4B45">
                            <w:pPr>
                              <w:pStyle w:val="Title"/>
                              <w:jc w:val="right"/>
                              <w:rPr>
                                <w:rFonts w:ascii="Times New Roman" w:eastAsiaTheme="minorHAnsi" w:hAnsi="Times New Roman"/>
                                <w:b w:val="0"/>
                                <w:sz w:val="72"/>
                                <w:szCs w:val="44"/>
                              </w:rPr>
                            </w:pPr>
                          </w:p>
                          <w:p w14:paraId="4AE210FF" w14:textId="77777777" w:rsidR="00AF1470" w:rsidRDefault="00AF1470" w:rsidP="007A4B45">
                            <w:pPr>
                              <w:pStyle w:val="Subtitle"/>
                              <w:jc w:val="right"/>
                              <w:rPr>
                                <w:rFonts w:eastAsiaTheme="minorHAnsi"/>
                                <w:sz w:val="48"/>
                              </w:rPr>
                            </w:pPr>
                          </w:p>
                          <w:p w14:paraId="5DB2E1E6" w14:textId="77777777" w:rsidR="00AF1470" w:rsidRPr="00AF1470" w:rsidRDefault="00AF1470" w:rsidP="007A4B45">
                            <w:pPr>
                              <w:pStyle w:val="Subtitle"/>
                              <w:jc w:val="right"/>
                              <w:rPr>
                                <w:rFonts w:ascii="Arial" w:hAnsi="Arial" w:cs="Arial"/>
                                <w:color w:val="auto"/>
                                <w:sz w:val="56"/>
                                <w:szCs w:val="44"/>
                              </w:rPr>
                            </w:pPr>
                            <w:r w:rsidRPr="00AF1470">
                              <w:rPr>
                                <w:rFonts w:ascii="Arial" w:hAnsi="Arial" w:cs="Arial"/>
                                <w:color w:val="auto"/>
                                <w:sz w:val="56"/>
                                <w:szCs w:val="44"/>
                              </w:rPr>
                              <w:t>Community Well-Being</w:t>
                            </w:r>
                          </w:p>
                          <w:p w14:paraId="30F5AED4" w14:textId="442C28A2" w:rsidR="00AF1470" w:rsidRPr="00AF1470" w:rsidRDefault="00AF1470" w:rsidP="0056091A">
                            <w:pPr>
                              <w:pStyle w:val="Subtitle"/>
                              <w:jc w:val="right"/>
                              <w:rPr>
                                <w:rFonts w:ascii="Arial" w:hAnsi="Arial" w:cs="Arial"/>
                                <w:color w:val="auto"/>
                                <w:sz w:val="56"/>
                                <w:szCs w:val="44"/>
                              </w:rPr>
                            </w:pPr>
                            <w:r w:rsidRPr="00AF1470">
                              <w:rPr>
                                <w:rFonts w:ascii="Arial" w:hAnsi="Arial" w:cs="Arial"/>
                                <w:color w:val="auto"/>
                                <w:sz w:val="56"/>
                                <w:szCs w:val="44"/>
                              </w:rPr>
                              <w:t xml:space="preserve"> Needs Assessment</w:t>
                            </w:r>
                          </w:p>
                          <w:p w14:paraId="74212E41" w14:textId="6854F831" w:rsidR="00AF1470" w:rsidRDefault="00AF1470" w:rsidP="007A4B45">
                            <w:pPr>
                              <w:pStyle w:val="Subtitle"/>
                              <w:jc w:val="right"/>
                              <w:rPr>
                                <w:rFonts w:ascii="Arial" w:hAnsi="Arial" w:cs="Arial"/>
                                <w:color w:val="auto"/>
                                <w:sz w:val="56"/>
                                <w:szCs w:val="44"/>
                              </w:rPr>
                            </w:pPr>
                            <w:r>
                              <w:rPr>
                                <w:rFonts w:ascii="Arial" w:hAnsi="Arial" w:cs="Arial"/>
                                <w:color w:val="auto"/>
                                <w:sz w:val="56"/>
                                <w:szCs w:val="44"/>
                              </w:rPr>
                              <w:t>Data Highlights</w:t>
                            </w:r>
                          </w:p>
                          <w:p w14:paraId="0340BA97" w14:textId="6D1FB2F4" w:rsidR="00AF1470" w:rsidRPr="00AF1470" w:rsidRDefault="00AF1470" w:rsidP="007A4B45">
                            <w:pPr>
                              <w:pStyle w:val="Subtitle"/>
                              <w:jc w:val="right"/>
                              <w:rPr>
                                <w:rFonts w:ascii="Arial" w:hAnsi="Arial" w:cs="Arial"/>
                                <w:color w:val="auto"/>
                                <w:sz w:val="56"/>
                                <w:szCs w:val="44"/>
                              </w:rPr>
                            </w:pPr>
                            <w:r w:rsidRPr="002764C1">
                              <w:rPr>
                                <w:rFonts w:ascii="Arial" w:hAnsi="Arial" w:cs="Arial"/>
                                <w:color w:val="auto"/>
                                <w:sz w:val="56"/>
                                <w:szCs w:val="44"/>
                              </w:rPr>
                              <w:t>April 2019</w:t>
                            </w:r>
                          </w:p>
                          <w:p w14:paraId="6542E1D5" w14:textId="77777777" w:rsidR="00AF1470" w:rsidRDefault="00AF1470" w:rsidP="007A4B45">
                            <w:pPr>
                              <w:spacing w:before="240"/>
                              <w:ind w:left="1008"/>
                              <w:jc w:val="right"/>
                              <w:rPr>
                                <w:color w:val="FFFFFF" w:themeColor="background1"/>
                              </w:rPr>
                            </w:pPr>
                          </w:p>
                          <w:p w14:paraId="51DEA450" w14:textId="77777777" w:rsidR="00AF1470" w:rsidRPr="0056091A" w:rsidRDefault="00AF1470" w:rsidP="007A4B45">
                            <w:pPr>
                              <w:pStyle w:val="Title"/>
                              <w:jc w:val="right"/>
                              <w:rPr>
                                <w:rFonts w:ascii="Times New Roman" w:eastAsiaTheme="minorHAnsi" w:hAnsi="Times New Roman"/>
                                <w:b w:val="0"/>
                                <w:color w:val="A6A6A6" w:themeColor="background1" w:themeShade="A6"/>
                                <w:sz w:val="56"/>
                                <w:szCs w:val="44"/>
                              </w:rPr>
                            </w:pPr>
                            <w:r w:rsidRPr="0056091A">
                              <w:rPr>
                                <w:rFonts w:ascii="Times New Roman" w:eastAsiaTheme="minorHAnsi" w:hAnsi="Times New Roman"/>
                                <w:b w:val="0"/>
                                <w:color w:val="A6A6A6" w:themeColor="background1" w:themeShade="A6"/>
                                <w:sz w:val="56"/>
                                <w:szCs w:val="44"/>
                              </w:rPr>
                              <w:t>2019 Custer County Area</w:t>
                            </w:r>
                          </w:p>
                          <w:p w14:paraId="65526C2C" w14:textId="77777777" w:rsidR="00AF1470" w:rsidRPr="0056091A" w:rsidRDefault="00AF1470" w:rsidP="007A4B45">
                            <w:pPr>
                              <w:pStyle w:val="Title"/>
                              <w:jc w:val="right"/>
                              <w:rPr>
                                <w:rFonts w:ascii="Times New Roman" w:eastAsiaTheme="minorHAnsi" w:hAnsi="Times New Roman"/>
                                <w:b w:val="0"/>
                                <w:color w:val="A6A6A6" w:themeColor="background1" w:themeShade="A6"/>
                                <w:sz w:val="36"/>
                                <w:szCs w:val="44"/>
                              </w:rPr>
                            </w:pPr>
                            <w:r w:rsidRPr="0056091A">
                              <w:rPr>
                                <w:rFonts w:ascii="Times New Roman" w:eastAsiaTheme="minorHAnsi" w:hAnsi="Times New Roman"/>
                                <w:b w:val="0"/>
                                <w:color w:val="A6A6A6" w:themeColor="background1" w:themeShade="A6"/>
                                <w:sz w:val="36"/>
                                <w:szCs w:val="44"/>
                              </w:rPr>
                              <w:t xml:space="preserve">(Blaine, Custer, Garfield, Greeley, Loup, </w:t>
                            </w:r>
                          </w:p>
                          <w:p w14:paraId="260CCF65" w14:textId="77777777" w:rsidR="00AF1470" w:rsidRPr="0056091A" w:rsidRDefault="00AF1470" w:rsidP="007A4B45">
                            <w:pPr>
                              <w:pStyle w:val="Title"/>
                              <w:jc w:val="right"/>
                              <w:rPr>
                                <w:rFonts w:ascii="Times New Roman" w:eastAsiaTheme="minorHAnsi" w:hAnsi="Times New Roman"/>
                                <w:b w:val="0"/>
                                <w:color w:val="A6A6A6" w:themeColor="background1" w:themeShade="A6"/>
                                <w:sz w:val="36"/>
                                <w:szCs w:val="44"/>
                              </w:rPr>
                            </w:pPr>
                            <w:r w:rsidRPr="0056091A">
                              <w:rPr>
                                <w:rFonts w:ascii="Times New Roman" w:eastAsiaTheme="minorHAnsi" w:hAnsi="Times New Roman"/>
                                <w:b w:val="0"/>
                                <w:color w:val="A6A6A6" w:themeColor="background1" w:themeShade="A6"/>
                                <w:sz w:val="36"/>
                                <w:szCs w:val="44"/>
                              </w:rPr>
                              <w:t>Sherman, Valley, Wheeler Counties)</w:t>
                            </w:r>
                          </w:p>
                          <w:p w14:paraId="547D0F63" w14:textId="77777777" w:rsidR="00AF1470" w:rsidRDefault="00AF1470" w:rsidP="007A4B45">
                            <w:pPr>
                              <w:spacing w:before="240"/>
                              <w:ind w:left="1008"/>
                              <w:jc w:val="right"/>
                              <w:rPr>
                                <w:color w:val="FFFFFF" w:themeColor="background1"/>
                              </w:rPr>
                            </w:pPr>
                          </w:p>
                          <w:p w14:paraId="6AAED38F" w14:textId="0FF53F90" w:rsidR="00AF1470" w:rsidRDefault="00AF1470" w:rsidP="007A4B45">
                            <w:pPr>
                              <w:spacing w:before="240"/>
                              <w:ind w:left="1008"/>
                              <w:jc w:val="right"/>
                              <w:rPr>
                                <w:color w:val="FFFFFF" w:themeColor="background1"/>
                              </w:rPr>
                            </w:pPr>
                          </w:p>
                          <w:p w14:paraId="521EEB6E" w14:textId="0DD65CAF" w:rsidR="00AF1470" w:rsidRDefault="00AF1470" w:rsidP="0056091A">
                            <w:pPr>
                              <w:spacing w:before="240"/>
                              <w:ind w:left="1008"/>
                              <w:jc w:val="right"/>
                              <w:rPr>
                                <w:color w:val="FFFFFF" w:themeColor="background1"/>
                              </w:rPr>
                            </w:pPr>
                            <w:r>
                              <w:rPr>
                                <w:noProof/>
                              </w:rPr>
                              <w:drawing>
                                <wp:inline distT="0" distB="0" distL="0" distR="0" wp14:anchorId="73AE52C1" wp14:editId="01A9A443">
                                  <wp:extent cx="1571625" cy="461010"/>
                                  <wp:effectExtent l="0" t="0" r="9525"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extLst>
                                              <a:ext uri="{28A0092B-C50C-407E-A947-70E740481C1C}">
                                                <a14:useLocalDpi xmlns:a14="http://schemas.microsoft.com/office/drawing/2010/main" val="0"/>
                                              </a:ext>
                                            </a:extLst>
                                          </a:blip>
                                          <a:stretch>
                                            <a:fillRect/>
                                          </a:stretch>
                                        </pic:blipFill>
                                        <pic:spPr>
                                          <a:xfrm>
                                            <a:off x="0" y="0"/>
                                            <a:ext cx="1571625" cy="461010"/>
                                          </a:xfrm>
                                          <a:prstGeom prst="rect">
                                            <a:avLst/>
                                          </a:prstGeom>
                                        </pic:spPr>
                                      </pic:pic>
                                    </a:graphicData>
                                  </a:graphic>
                                </wp:inline>
                              </w:drawing>
                            </w:r>
                          </w:p>
                          <w:p w14:paraId="073AB70D" w14:textId="77777777" w:rsidR="00AF1470" w:rsidRDefault="00AF1470" w:rsidP="007A4B45">
                            <w:pPr>
                              <w:spacing w:before="240"/>
                              <w:ind w:left="1008"/>
                              <w:jc w:val="right"/>
                              <w:rPr>
                                <w:color w:val="FFFFFF" w:themeColor="background1"/>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1423E1" id="Rectangle 16" o:spid="_x0000_s1026" style="position:absolute;margin-left:377.95pt;margin-top:82.45pt;width:429.15pt;height:666.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ypHAIAABEEAAAOAAAAZHJzL2Uyb0RvYy54bWysU8tu2zAQvBfoPxC813pUchLBchA4SFEg&#10;bYKm/QCaoiyhFJdd0pbSr++Sst2kvRW9EFxyOTs7O1xdT4NmB4WuB1PzbJFypoyEpje7mn/7evfu&#10;kjPnhWmEBqNq/qwcv16/fbMabaVy6EA3ChmBGFeNtuad97ZKEic7NQi3AKsMXbaAg/AU4i5pUIyE&#10;PugkT9NlMgI2FkEq5+j0dr7k64jftkr6h7Z1yjNdc+Lm44px3YY1Wa9EtUNhu14eaYh/YDGI3lDR&#10;M9St8ILtsf8LauglgoPWLyQMCbRtL1XsgbrJ0j+6eeqEVbEXEsfZs0zu/8HKz4dHZH1Ds8s5M2Kg&#10;GX0h1YTZacWyZRBotK6ivCf7iKFFZ+9BfnfMwKajNHWDCGOnREO0spCfvHoQAkdP2Xb8BA3Bi72H&#10;qNXU4hAASQU2xZE8n0eiJs8kHZZFmeZpyZmku8timS+LMtYQ1em5Rec/KBhY2NQciX2EF4d75wMd&#10;UZ1SIn3QfXPXax2D4DO10cgOghyy3WXxqd4PxHU+uyrTNPqEcKItQ3pEdS+RtAl4BgLyXDScRClC&#10;97OKftpOR0G30DyTKAizJekL0aYD/MnZSHasufuxF6g40x8NCZtfFO/zYOAYXWVFQaQYvrrbxqgo&#10;L0KiMJLQai49noKNn42/t9jvOio3N2vghibS9lGrMK2Z2pE8+S42e/wjwdgv45j1+yevfwEAAP//&#10;AwBQSwMEFAAGAAgAAAAhAFcwJ3TeAAAACQEAAA8AAABkcnMvZG93bnJldi54bWxMj8FOwzAQRO9I&#10;/IO1SNyoDS1pmsapEFJBqCdauG9iN7aI7RC7Tfh7llM57sxo9k25mVzHznqINngJ9zMBTPsmKOtb&#10;CR+H7V0OLCb0CrvgtYQfHWFTXV+VWKgw+nd93qeWUYmPBUowKfUF57Ex2mGchV578o5hcJjoHFqu&#10;Bhyp3HX8QYiMO7SePhjs9bPRzdf+5CSg2X5OL2H8Fvb1sBO1Xdbzt52UtzfT0xpY0lO6hOEPn9Ch&#10;IqY6nLyKrJNAQxKp2WIFjOz8MZ8Dq0lZrJYZ8Krk/xdUvwAAAP//AwBQSwECLQAUAAYACAAAACEA&#10;toM4kv4AAADhAQAAEwAAAAAAAAAAAAAAAAAAAAAAW0NvbnRlbnRfVHlwZXNdLnhtbFBLAQItABQA&#10;BgAIAAAAIQA4/SH/1gAAAJQBAAALAAAAAAAAAAAAAAAAAC8BAABfcmVscy8ucmVsc1BLAQItABQA&#10;BgAIAAAAIQAxsmypHAIAABEEAAAOAAAAAAAAAAAAAAAAAC4CAABkcnMvZTJvRG9jLnhtbFBLAQIt&#10;ABQABgAIAAAAIQBXMCd03gAAAAkBAAAPAAAAAAAAAAAAAAAAAHYEAABkcnMvZG93bnJldi54bWxQ&#10;SwUGAAAAAAQABADzAAAAgQUAAAAA&#10;" fillcolor="#f2f2f2 [3052]" stroked="f">
                <v:textbox inset="21.6pt,1in,21.6pt">
                  <w:txbxContent>
                    <w:p w14:paraId="61002D03" w14:textId="77777777" w:rsidR="00AF1470" w:rsidRDefault="00AF1470" w:rsidP="007A4B45">
                      <w:pPr>
                        <w:pStyle w:val="Title"/>
                        <w:jc w:val="left"/>
                        <w:rPr>
                          <w:rFonts w:ascii="Helvetica" w:hAnsi="Helvetica" w:cs="Arial"/>
                          <w:noProof/>
                          <w:color w:val="444444"/>
                          <w:sz w:val="20"/>
                          <w:lang w:val="en"/>
                        </w:rPr>
                      </w:pPr>
                      <w:r>
                        <w:rPr>
                          <w:rFonts w:ascii="Helvetica" w:hAnsi="Helvetica" w:cs="Arial"/>
                          <w:noProof/>
                          <w:color w:val="444444"/>
                          <w:sz w:val="20"/>
                          <w:lang w:val="en"/>
                        </w:rPr>
                        <w:drawing>
                          <wp:inline distT="0" distB="0" distL="0" distR="0" wp14:anchorId="2C9B438D" wp14:editId="5B7B51C3">
                            <wp:extent cx="3420745" cy="1616448"/>
                            <wp:effectExtent l="0" t="0" r="8255" b="3175"/>
                            <wp:docPr id="13" name="Picture 13" descr="https://www.thefencepost.com/wp-content/uploads/2019/01/Sandhills-RFP-012819-4-1240x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hefencepost.com/wp-content/uploads/2019/01/Sandhills-RFP-012819-4-1240x58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3485" cy="1627193"/>
                                    </a:xfrm>
                                    <a:prstGeom prst="rect">
                                      <a:avLst/>
                                    </a:prstGeom>
                                    <a:noFill/>
                                    <a:ln>
                                      <a:noFill/>
                                    </a:ln>
                                  </pic:spPr>
                                </pic:pic>
                              </a:graphicData>
                            </a:graphic>
                          </wp:inline>
                        </w:drawing>
                      </w:r>
                    </w:p>
                    <w:p w14:paraId="5ECBC8C5" w14:textId="77777777" w:rsidR="00AF1470" w:rsidRDefault="00AF1470" w:rsidP="007A4B45">
                      <w:pPr>
                        <w:pStyle w:val="Title"/>
                        <w:jc w:val="right"/>
                        <w:rPr>
                          <w:rFonts w:ascii="Times New Roman" w:eastAsiaTheme="minorHAnsi" w:hAnsi="Times New Roman"/>
                          <w:b w:val="0"/>
                          <w:sz w:val="72"/>
                          <w:szCs w:val="44"/>
                        </w:rPr>
                      </w:pPr>
                    </w:p>
                    <w:p w14:paraId="4AE210FF" w14:textId="77777777" w:rsidR="00AF1470" w:rsidRDefault="00AF1470" w:rsidP="007A4B45">
                      <w:pPr>
                        <w:pStyle w:val="Subtitle"/>
                        <w:jc w:val="right"/>
                        <w:rPr>
                          <w:rFonts w:eastAsiaTheme="minorHAnsi"/>
                          <w:sz w:val="48"/>
                        </w:rPr>
                      </w:pPr>
                    </w:p>
                    <w:p w14:paraId="5DB2E1E6" w14:textId="77777777" w:rsidR="00AF1470" w:rsidRPr="00AF1470" w:rsidRDefault="00AF1470" w:rsidP="007A4B45">
                      <w:pPr>
                        <w:pStyle w:val="Subtitle"/>
                        <w:jc w:val="right"/>
                        <w:rPr>
                          <w:rFonts w:ascii="Arial" w:hAnsi="Arial" w:cs="Arial"/>
                          <w:color w:val="auto"/>
                          <w:sz w:val="56"/>
                          <w:szCs w:val="44"/>
                        </w:rPr>
                      </w:pPr>
                      <w:r w:rsidRPr="00AF1470">
                        <w:rPr>
                          <w:rFonts w:ascii="Arial" w:hAnsi="Arial" w:cs="Arial"/>
                          <w:color w:val="auto"/>
                          <w:sz w:val="56"/>
                          <w:szCs w:val="44"/>
                        </w:rPr>
                        <w:t>Community Well-Being</w:t>
                      </w:r>
                    </w:p>
                    <w:p w14:paraId="30F5AED4" w14:textId="442C28A2" w:rsidR="00AF1470" w:rsidRPr="00AF1470" w:rsidRDefault="00AF1470" w:rsidP="0056091A">
                      <w:pPr>
                        <w:pStyle w:val="Subtitle"/>
                        <w:jc w:val="right"/>
                        <w:rPr>
                          <w:rFonts w:ascii="Arial" w:hAnsi="Arial" w:cs="Arial"/>
                          <w:color w:val="auto"/>
                          <w:sz w:val="56"/>
                          <w:szCs w:val="44"/>
                        </w:rPr>
                      </w:pPr>
                      <w:r w:rsidRPr="00AF1470">
                        <w:rPr>
                          <w:rFonts w:ascii="Arial" w:hAnsi="Arial" w:cs="Arial"/>
                          <w:color w:val="auto"/>
                          <w:sz w:val="56"/>
                          <w:szCs w:val="44"/>
                        </w:rPr>
                        <w:t xml:space="preserve"> Needs Assessment</w:t>
                      </w:r>
                    </w:p>
                    <w:p w14:paraId="74212E41" w14:textId="6854F831" w:rsidR="00AF1470" w:rsidRDefault="00AF1470" w:rsidP="007A4B45">
                      <w:pPr>
                        <w:pStyle w:val="Subtitle"/>
                        <w:jc w:val="right"/>
                        <w:rPr>
                          <w:rFonts w:ascii="Arial" w:hAnsi="Arial" w:cs="Arial"/>
                          <w:color w:val="auto"/>
                          <w:sz w:val="56"/>
                          <w:szCs w:val="44"/>
                        </w:rPr>
                      </w:pPr>
                      <w:r>
                        <w:rPr>
                          <w:rFonts w:ascii="Arial" w:hAnsi="Arial" w:cs="Arial"/>
                          <w:color w:val="auto"/>
                          <w:sz w:val="56"/>
                          <w:szCs w:val="44"/>
                        </w:rPr>
                        <w:t>Data Highlights</w:t>
                      </w:r>
                    </w:p>
                    <w:p w14:paraId="0340BA97" w14:textId="6D1FB2F4" w:rsidR="00AF1470" w:rsidRPr="00AF1470" w:rsidRDefault="00AF1470" w:rsidP="007A4B45">
                      <w:pPr>
                        <w:pStyle w:val="Subtitle"/>
                        <w:jc w:val="right"/>
                        <w:rPr>
                          <w:rFonts w:ascii="Arial" w:hAnsi="Arial" w:cs="Arial"/>
                          <w:color w:val="auto"/>
                          <w:sz w:val="56"/>
                          <w:szCs w:val="44"/>
                        </w:rPr>
                      </w:pPr>
                      <w:r w:rsidRPr="002764C1">
                        <w:rPr>
                          <w:rFonts w:ascii="Arial" w:hAnsi="Arial" w:cs="Arial"/>
                          <w:color w:val="auto"/>
                          <w:sz w:val="56"/>
                          <w:szCs w:val="44"/>
                        </w:rPr>
                        <w:t>April 2019</w:t>
                      </w:r>
                    </w:p>
                    <w:p w14:paraId="6542E1D5" w14:textId="77777777" w:rsidR="00AF1470" w:rsidRDefault="00AF1470" w:rsidP="007A4B45">
                      <w:pPr>
                        <w:spacing w:before="240"/>
                        <w:ind w:left="1008"/>
                        <w:jc w:val="right"/>
                        <w:rPr>
                          <w:color w:val="FFFFFF" w:themeColor="background1"/>
                        </w:rPr>
                      </w:pPr>
                    </w:p>
                    <w:p w14:paraId="51DEA450" w14:textId="77777777" w:rsidR="00AF1470" w:rsidRPr="0056091A" w:rsidRDefault="00AF1470" w:rsidP="007A4B45">
                      <w:pPr>
                        <w:pStyle w:val="Title"/>
                        <w:jc w:val="right"/>
                        <w:rPr>
                          <w:rFonts w:ascii="Times New Roman" w:eastAsiaTheme="minorHAnsi" w:hAnsi="Times New Roman"/>
                          <w:b w:val="0"/>
                          <w:color w:val="A6A6A6" w:themeColor="background1" w:themeShade="A6"/>
                          <w:sz w:val="56"/>
                          <w:szCs w:val="44"/>
                        </w:rPr>
                      </w:pPr>
                      <w:r w:rsidRPr="0056091A">
                        <w:rPr>
                          <w:rFonts w:ascii="Times New Roman" w:eastAsiaTheme="minorHAnsi" w:hAnsi="Times New Roman"/>
                          <w:b w:val="0"/>
                          <w:color w:val="A6A6A6" w:themeColor="background1" w:themeShade="A6"/>
                          <w:sz w:val="56"/>
                          <w:szCs w:val="44"/>
                        </w:rPr>
                        <w:t>2019 Custer County Area</w:t>
                      </w:r>
                    </w:p>
                    <w:p w14:paraId="65526C2C" w14:textId="77777777" w:rsidR="00AF1470" w:rsidRPr="0056091A" w:rsidRDefault="00AF1470" w:rsidP="007A4B45">
                      <w:pPr>
                        <w:pStyle w:val="Title"/>
                        <w:jc w:val="right"/>
                        <w:rPr>
                          <w:rFonts w:ascii="Times New Roman" w:eastAsiaTheme="minorHAnsi" w:hAnsi="Times New Roman"/>
                          <w:b w:val="0"/>
                          <w:color w:val="A6A6A6" w:themeColor="background1" w:themeShade="A6"/>
                          <w:sz w:val="36"/>
                          <w:szCs w:val="44"/>
                        </w:rPr>
                      </w:pPr>
                      <w:r w:rsidRPr="0056091A">
                        <w:rPr>
                          <w:rFonts w:ascii="Times New Roman" w:eastAsiaTheme="minorHAnsi" w:hAnsi="Times New Roman"/>
                          <w:b w:val="0"/>
                          <w:color w:val="A6A6A6" w:themeColor="background1" w:themeShade="A6"/>
                          <w:sz w:val="36"/>
                          <w:szCs w:val="44"/>
                        </w:rPr>
                        <w:t xml:space="preserve">(Blaine, Custer, Garfield, Greeley, Loup, </w:t>
                      </w:r>
                    </w:p>
                    <w:p w14:paraId="260CCF65" w14:textId="77777777" w:rsidR="00AF1470" w:rsidRPr="0056091A" w:rsidRDefault="00AF1470" w:rsidP="007A4B45">
                      <w:pPr>
                        <w:pStyle w:val="Title"/>
                        <w:jc w:val="right"/>
                        <w:rPr>
                          <w:rFonts w:ascii="Times New Roman" w:eastAsiaTheme="minorHAnsi" w:hAnsi="Times New Roman"/>
                          <w:b w:val="0"/>
                          <w:color w:val="A6A6A6" w:themeColor="background1" w:themeShade="A6"/>
                          <w:sz w:val="36"/>
                          <w:szCs w:val="44"/>
                        </w:rPr>
                      </w:pPr>
                      <w:r w:rsidRPr="0056091A">
                        <w:rPr>
                          <w:rFonts w:ascii="Times New Roman" w:eastAsiaTheme="minorHAnsi" w:hAnsi="Times New Roman"/>
                          <w:b w:val="0"/>
                          <w:color w:val="A6A6A6" w:themeColor="background1" w:themeShade="A6"/>
                          <w:sz w:val="36"/>
                          <w:szCs w:val="44"/>
                        </w:rPr>
                        <w:t>Sherman, Valley, Wheeler Counties)</w:t>
                      </w:r>
                    </w:p>
                    <w:p w14:paraId="547D0F63" w14:textId="77777777" w:rsidR="00AF1470" w:rsidRDefault="00AF1470" w:rsidP="007A4B45">
                      <w:pPr>
                        <w:spacing w:before="240"/>
                        <w:ind w:left="1008"/>
                        <w:jc w:val="right"/>
                        <w:rPr>
                          <w:color w:val="FFFFFF" w:themeColor="background1"/>
                        </w:rPr>
                      </w:pPr>
                    </w:p>
                    <w:p w14:paraId="6AAED38F" w14:textId="0FF53F90" w:rsidR="00AF1470" w:rsidRDefault="00AF1470" w:rsidP="007A4B45">
                      <w:pPr>
                        <w:spacing w:before="240"/>
                        <w:ind w:left="1008"/>
                        <w:jc w:val="right"/>
                        <w:rPr>
                          <w:color w:val="FFFFFF" w:themeColor="background1"/>
                        </w:rPr>
                      </w:pPr>
                    </w:p>
                    <w:p w14:paraId="521EEB6E" w14:textId="0DD65CAF" w:rsidR="00AF1470" w:rsidRDefault="00AF1470" w:rsidP="0056091A">
                      <w:pPr>
                        <w:spacing w:before="240"/>
                        <w:ind w:left="1008"/>
                        <w:jc w:val="right"/>
                        <w:rPr>
                          <w:color w:val="FFFFFF" w:themeColor="background1"/>
                        </w:rPr>
                      </w:pPr>
                      <w:r>
                        <w:rPr>
                          <w:noProof/>
                        </w:rPr>
                        <w:drawing>
                          <wp:inline distT="0" distB="0" distL="0" distR="0" wp14:anchorId="73AE52C1" wp14:editId="01A9A443">
                            <wp:extent cx="1571625" cy="461010"/>
                            <wp:effectExtent l="0" t="0" r="9525"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extLst>
                                        <a:ext uri="{28A0092B-C50C-407E-A947-70E740481C1C}">
                                          <a14:useLocalDpi xmlns:a14="http://schemas.microsoft.com/office/drawing/2010/main" val="0"/>
                                        </a:ext>
                                      </a:extLst>
                                    </a:blip>
                                    <a:stretch>
                                      <a:fillRect/>
                                    </a:stretch>
                                  </pic:blipFill>
                                  <pic:spPr>
                                    <a:xfrm>
                                      <a:off x="0" y="0"/>
                                      <a:ext cx="1571625" cy="461010"/>
                                    </a:xfrm>
                                    <a:prstGeom prst="rect">
                                      <a:avLst/>
                                    </a:prstGeom>
                                  </pic:spPr>
                                </pic:pic>
                              </a:graphicData>
                            </a:graphic>
                          </wp:inline>
                        </w:drawing>
                      </w:r>
                    </w:p>
                    <w:p w14:paraId="073AB70D" w14:textId="77777777" w:rsidR="00AF1470" w:rsidRDefault="00AF1470" w:rsidP="007A4B45">
                      <w:pPr>
                        <w:spacing w:before="240"/>
                        <w:ind w:left="1008"/>
                        <w:jc w:val="right"/>
                        <w:rPr>
                          <w:color w:val="FFFFFF" w:themeColor="background1"/>
                        </w:rPr>
                      </w:pPr>
                    </w:p>
                  </w:txbxContent>
                </v:textbox>
                <w10:wrap anchorx="margin" anchory="page"/>
              </v:rect>
            </w:pict>
          </mc:Fallback>
        </mc:AlternateContent>
      </w:r>
      <w:r>
        <w:rPr>
          <w:b/>
          <w:sz w:val="28"/>
        </w:rPr>
        <w:br w:type="page"/>
      </w:r>
    </w:p>
    <w:p w14:paraId="59681ADE" w14:textId="0D4A203C" w:rsidR="00393BEA" w:rsidRPr="0085011F" w:rsidRDefault="007D5EFD" w:rsidP="00C826C4">
      <w:pPr>
        <w:pStyle w:val="Heading1"/>
        <w:spacing w:before="0"/>
        <w:jc w:val="center"/>
        <w:rPr>
          <w:b/>
          <w:color w:val="808080" w:themeColor="background1" w:themeShade="80"/>
          <w:sz w:val="40"/>
        </w:rPr>
      </w:pPr>
      <w:r w:rsidRPr="0085011F">
        <w:rPr>
          <w:b/>
          <w:color w:val="808080" w:themeColor="background1" w:themeShade="80"/>
          <w:sz w:val="40"/>
        </w:rPr>
        <w:lastRenderedPageBreak/>
        <w:t>2019 Custer County Area</w:t>
      </w:r>
    </w:p>
    <w:p w14:paraId="68FB6C2E" w14:textId="441CAF87" w:rsidR="007D5EFD" w:rsidRPr="0085011F" w:rsidRDefault="007D5EFD" w:rsidP="00C826C4">
      <w:pPr>
        <w:pStyle w:val="Heading1"/>
        <w:spacing w:before="0"/>
        <w:jc w:val="center"/>
        <w:rPr>
          <w:b/>
          <w:color w:val="808080" w:themeColor="background1" w:themeShade="80"/>
          <w:sz w:val="40"/>
        </w:rPr>
      </w:pPr>
      <w:r w:rsidRPr="0085011F">
        <w:rPr>
          <w:b/>
          <w:color w:val="808080" w:themeColor="background1" w:themeShade="80"/>
          <w:sz w:val="40"/>
        </w:rPr>
        <w:t>Community Well-Being Needs Assessment</w:t>
      </w:r>
    </w:p>
    <w:p w14:paraId="1B86B7FE" w14:textId="5E3236AB" w:rsidR="007D5EFD" w:rsidRPr="0085011F" w:rsidRDefault="007D5EFD" w:rsidP="00C826C4">
      <w:pPr>
        <w:pStyle w:val="Heading1"/>
        <w:spacing w:before="0"/>
        <w:jc w:val="center"/>
        <w:rPr>
          <w:b/>
          <w:color w:val="808080" w:themeColor="background1" w:themeShade="80"/>
          <w:sz w:val="40"/>
        </w:rPr>
      </w:pPr>
      <w:r w:rsidRPr="0085011F">
        <w:rPr>
          <w:b/>
          <w:color w:val="808080" w:themeColor="background1" w:themeShade="80"/>
          <w:sz w:val="40"/>
        </w:rPr>
        <w:t>Data Highlights</w:t>
      </w:r>
    </w:p>
    <w:p w14:paraId="4CE029F3" w14:textId="09B91555" w:rsidR="007D5EFD" w:rsidRDefault="007D5EFD"/>
    <w:p w14:paraId="1C7406F1" w14:textId="559D26B3" w:rsidR="00BE4B22" w:rsidRDefault="00BE4B22">
      <w:r>
        <w:rPr>
          <w:noProof/>
        </w:rPr>
        <mc:AlternateContent>
          <mc:Choice Requires="wps">
            <w:drawing>
              <wp:anchor distT="0" distB="0" distL="114300" distR="114300" simplePos="0" relativeHeight="251660288" behindDoc="0" locked="0" layoutInCell="1" allowOverlap="1" wp14:anchorId="08E28642" wp14:editId="0AECAFFA">
                <wp:simplePos x="0" y="0"/>
                <wp:positionH relativeFrom="column">
                  <wp:posOffset>0</wp:posOffset>
                </wp:positionH>
                <wp:positionV relativeFrom="paragraph">
                  <wp:posOffset>160020</wp:posOffset>
                </wp:positionV>
                <wp:extent cx="594360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5943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4BEC22" id="Straight Connector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2.6pt" to="46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7I1vAEAAMgDAAAOAAAAZHJzL2Uyb0RvYy54bWysU02P0zAQvSPxHyzfadKyXbFR0z10BRcE&#10;Fbv8AK8zbiz5S2PTpP+esZNmESAhEBfH45k3M+/NZHc/WsPOgFF71/L1quYMnPSddqeWf316/+Yd&#10;ZzEJ1wnjHbT8ApHf71+/2g2hgY3vvekAGSVxsRlCy/uUQlNVUfZgRVz5AI6cyqMViUw8VR2KgbJb&#10;U23q+rYaPHYBvYQY6fVhcvJ9ya8UyPRZqQiJmZZTb6mcWM7nfFb7nWhOKEKv5dyG+IcurNCOii6p&#10;HkQS7BvqX1JZLdFHr9JKelt5pbSEwoHYrOuf2Dz2IkDhQuLEsMgU/19a+el8RKY7mt0NZ05YmtFj&#10;QqFPfWIH7xwp6JGRk5QaQmwIcHBHnK0Yjphpjwpt/hIhNhZ1L4u6MCYm6XF7d/P2tqYhSPLdbTfb&#10;nLJ6wQaM6QN4y/Kl5Ua7zF004vwxpin0GkK43MtUvdzSxUAONu4LKOJD9dYFXTYJDgbZWdAOCCnB&#10;pfVcukRnmNLGLMD6z8A5PkOhbNnfgBdEqexdWsBWO4+/q57Ga8tqir8qMPHOEjz77lLmUqShdSni&#10;zqud9/FHu8BffsD9dwAAAP//AwBQSwMEFAAGAAgAAAAhANC8m2PeAAAABgEAAA8AAABkcnMvZG93&#10;bnJldi54bWxMj0FLw0AQhe+C/2EZwZvdGDHWmE0pBbEWSrEV6nGbHZNodjbsbpv03zue9PjeG977&#10;ppiNthMn9KF1pOB2koBAqpxpqVbwvnu+mYIIUZPRnSNUcMYAs/LyotC5cQO94Wkba8ElFHKtoImx&#10;z6UMVYNWh4nrkTj7dN7qyNLX0ng9cLntZJokmbS6JV5odI+LBqvv7dEqWPvlcjFfnb9o82GHfbra&#10;b17HF6Wur8b5E4iIY/w7hl98RoeSmQ7uSCaITgE/EhWk9ykITh/vMjYObGQPIMtC/scvfwAAAP//&#10;AwBQSwECLQAUAAYACAAAACEAtoM4kv4AAADhAQAAEwAAAAAAAAAAAAAAAAAAAAAAW0NvbnRlbnRf&#10;VHlwZXNdLnhtbFBLAQItABQABgAIAAAAIQA4/SH/1gAAAJQBAAALAAAAAAAAAAAAAAAAAC8BAABf&#10;cmVscy8ucmVsc1BLAQItABQABgAIAAAAIQA6M7I1vAEAAMgDAAAOAAAAAAAAAAAAAAAAAC4CAABk&#10;cnMvZTJvRG9jLnhtbFBLAQItABQABgAIAAAAIQDQvJtj3gAAAAYBAAAPAAAAAAAAAAAAAAAAABYE&#10;AABkcnMvZG93bnJldi54bWxQSwUGAAAAAAQABADzAAAAIQUAAAAA&#10;" strokecolor="#4472c4 [3204]" strokeweight=".5pt">
                <v:stroke joinstyle="miter"/>
              </v:line>
            </w:pict>
          </mc:Fallback>
        </mc:AlternateContent>
      </w:r>
    </w:p>
    <w:p w14:paraId="376FDD86" w14:textId="77777777" w:rsidR="00BE4B22" w:rsidRDefault="00BE4B22"/>
    <w:p w14:paraId="47682C1E" w14:textId="62BF57E2" w:rsidR="007D5EFD" w:rsidRDefault="00DB55BE">
      <w:r>
        <w:t>The following data were selected from the 2019 Custer County Area Community Well-Being Needs Assessment as being indicative of need or otherwise valuable to present at the April 2019 Service Array. Refer to the full report for a more complete summary of data.</w:t>
      </w:r>
    </w:p>
    <w:p w14:paraId="54EE29BA" w14:textId="77777777" w:rsidR="00DB55BE" w:rsidRDefault="00DB55BE" w:rsidP="00DB55BE">
      <w:pPr>
        <w:pStyle w:val="Title"/>
        <w:jc w:val="left"/>
        <w:rPr>
          <w:rFonts w:asciiTheme="minorHAnsi" w:eastAsiaTheme="minorHAnsi" w:hAnsiTheme="minorHAnsi" w:cstheme="minorBidi"/>
          <w:b w:val="0"/>
          <w:sz w:val="24"/>
          <w:szCs w:val="22"/>
        </w:rPr>
      </w:pPr>
    </w:p>
    <w:p w14:paraId="6DF1EF50" w14:textId="540CDE2A" w:rsidR="00C826C4" w:rsidRPr="00C826C4" w:rsidRDefault="00C826C4" w:rsidP="00C826C4">
      <w:pPr>
        <w:pStyle w:val="Heading2"/>
        <w:pBdr>
          <w:bottom w:val="single" w:sz="4" w:space="1" w:color="auto"/>
        </w:pBdr>
        <w:rPr>
          <w:b/>
          <w:color w:val="auto"/>
        </w:rPr>
      </w:pPr>
      <w:bookmarkStart w:id="0" w:name="_Toc5362112"/>
      <w:r w:rsidRPr="00C826C4">
        <w:rPr>
          <w:b/>
          <w:color w:val="auto"/>
        </w:rPr>
        <w:t>Demographics</w:t>
      </w:r>
      <w:bookmarkEnd w:id="0"/>
    </w:p>
    <w:p w14:paraId="2FA2A922" w14:textId="0E3F42E3" w:rsidR="00DB55BE" w:rsidRDefault="00DB55BE" w:rsidP="00DB55BE"/>
    <w:p w14:paraId="67A039F8" w14:textId="70346CF6" w:rsidR="00C826C4" w:rsidRDefault="00CF0125" w:rsidP="005E0707">
      <w:pPr>
        <w:keepNext/>
        <w:rPr>
          <w:rFonts w:ascii="Calibri" w:eastAsia="Calibri" w:hAnsi="Calibri" w:cs="Times New Roman"/>
          <w:iCs/>
          <w:color w:val="000000"/>
          <w:szCs w:val="18"/>
        </w:rPr>
      </w:pPr>
      <w:bookmarkStart w:id="1" w:name="_Toc4894039"/>
      <w:r>
        <w:rPr>
          <w:rFonts w:ascii="Calibri" w:eastAsia="Calibri" w:hAnsi="Calibri" w:cs="Times New Roman"/>
          <w:iCs/>
          <w:color w:val="000000"/>
          <w:szCs w:val="18"/>
        </w:rPr>
        <w:t>The t</w:t>
      </w:r>
      <w:r w:rsidR="00C826C4">
        <w:rPr>
          <w:rFonts w:ascii="Calibri" w:eastAsia="Calibri" w:hAnsi="Calibri" w:cs="Times New Roman"/>
          <w:iCs/>
          <w:color w:val="000000"/>
          <w:szCs w:val="18"/>
        </w:rPr>
        <w:t>otal estimated population decreased over 2% across the 8-county region with only Wheeler County experiencing an increase in population</w:t>
      </w:r>
      <w:r w:rsidR="00BE4B22">
        <w:rPr>
          <w:rFonts w:ascii="Calibri" w:eastAsia="Calibri" w:hAnsi="Calibri" w:cs="Times New Roman"/>
          <w:iCs/>
          <w:color w:val="000000"/>
          <w:szCs w:val="18"/>
        </w:rPr>
        <w:t xml:space="preserve"> (Table 1)</w:t>
      </w:r>
      <w:r w:rsidR="00C826C4">
        <w:rPr>
          <w:rFonts w:ascii="Calibri" w:eastAsia="Calibri" w:hAnsi="Calibri" w:cs="Times New Roman"/>
          <w:iCs/>
          <w:color w:val="000000"/>
          <w:szCs w:val="18"/>
        </w:rPr>
        <w:t xml:space="preserve">. </w:t>
      </w:r>
      <w:r w:rsidR="007C03FB">
        <w:rPr>
          <w:rFonts w:ascii="Calibri" w:eastAsia="Calibri" w:hAnsi="Calibri" w:cs="Times New Roman"/>
          <w:iCs/>
          <w:color w:val="000000"/>
          <w:szCs w:val="18"/>
        </w:rPr>
        <w:t xml:space="preserve">The under 18 population </w:t>
      </w:r>
      <w:r w:rsidR="0093605C">
        <w:rPr>
          <w:rFonts w:ascii="Calibri" w:eastAsia="Calibri" w:hAnsi="Calibri" w:cs="Times New Roman"/>
          <w:iCs/>
          <w:color w:val="000000"/>
          <w:szCs w:val="18"/>
        </w:rPr>
        <w:t xml:space="preserve">decreased by over three times as much as the overall population. Please refer to Table 1 for numbers associated in all census data percentages and graphs in the report. </w:t>
      </w:r>
    </w:p>
    <w:p w14:paraId="3FACA82D" w14:textId="77777777" w:rsidR="00C826C4" w:rsidRPr="00C826C4" w:rsidRDefault="00C826C4" w:rsidP="005E0707">
      <w:pPr>
        <w:keepNext/>
        <w:rPr>
          <w:rFonts w:ascii="Calibri" w:eastAsia="Calibri" w:hAnsi="Calibri" w:cs="Times New Roman"/>
          <w:iCs/>
          <w:color w:val="000000"/>
          <w:szCs w:val="18"/>
        </w:rPr>
      </w:pPr>
    </w:p>
    <w:p w14:paraId="6E275B8F" w14:textId="5637670E" w:rsidR="00EE0372" w:rsidRPr="00EE0372" w:rsidRDefault="00EE0372" w:rsidP="00EE0372">
      <w:pPr>
        <w:keepNext/>
        <w:rPr>
          <w:rFonts w:ascii="Calibri" w:eastAsia="Calibri" w:hAnsi="Calibri" w:cs="Times New Roman"/>
          <w:b/>
          <w:iCs/>
          <w:color w:val="000000"/>
          <w:sz w:val="22"/>
          <w:szCs w:val="18"/>
        </w:rPr>
      </w:pPr>
      <w:bookmarkStart w:id="2" w:name="_Hlk5351421"/>
      <w:bookmarkEnd w:id="1"/>
      <w:r w:rsidRPr="00EE0372">
        <w:rPr>
          <w:rFonts w:ascii="Calibri" w:eastAsia="Calibri" w:hAnsi="Calibri" w:cs="Times New Roman"/>
          <w:b/>
          <w:iCs/>
          <w:color w:val="000000"/>
          <w:sz w:val="22"/>
          <w:szCs w:val="18"/>
        </w:rPr>
        <w:t xml:space="preserve">Table </w:t>
      </w:r>
      <w:r w:rsidR="003A3B5C">
        <w:rPr>
          <w:rFonts w:ascii="Calibri" w:eastAsia="Calibri" w:hAnsi="Calibri" w:cs="Times New Roman"/>
          <w:b/>
          <w:iCs/>
          <w:color w:val="000000"/>
          <w:sz w:val="22"/>
          <w:szCs w:val="18"/>
        </w:rPr>
        <w:t>1</w:t>
      </w:r>
      <w:r w:rsidRPr="00EE0372">
        <w:rPr>
          <w:rFonts w:ascii="Calibri" w:eastAsia="Calibri" w:hAnsi="Calibri" w:cs="Times New Roman"/>
          <w:b/>
          <w:iCs/>
          <w:color w:val="000000"/>
          <w:sz w:val="22"/>
          <w:szCs w:val="18"/>
        </w:rPr>
        <w:t>: Total and under 18 population (2010 and 2017)</w:t>
      </w:r>
      <w:r w:rsidRPr="00EE0372">
        <w:rPr>
          <w:rFonts w:ascii="Calibri" w:eastAsia="Calibri" w:hAnsi="Calibri" w:cs="Times New Roman"/>
          <w:b/>
          <w:iCs/>
          <w:color w:val="000000"/>
          <w:sz w:val="22"/>
          <w:szCs w:val="18"/>
          <w:vertAlign w:val="superscript"/>
        </w:rPr>
        <w:footnoteReference w:id="1"/>
      </w:r>
    </w:p>
    <w:tbl>
      <w:tblPr>
        <w:tblStyle w:val="GridTable6Colorful-Accent23"/>
        <w:tblW w:w="8458" w:type="dxa"/>
        <w:tblLayout w:type="fixed"/>
        <w:tblLook w:val="04A0" w:firstRow="1" w:lastRow="0" w:firstColumn="1" w:lastColumn="0" w:noHBand="0" w:noVBand="1"/>
      </w:tblPr>
      <w:tblGrid>
        <w:gridCol w:w="1455"/>
        <w:gridCol w:w="1127"/>
        <w:gridCol w:w="1128"/>
        <w:gridCol w:w="1128"/>
        <w:gridCol w:w="236"/>
        <w:gridCol w:w="1128"/>
        <w:gridCol w:w="1128"/>
        <w:gridCol w:w="1128"/>
      </w:tblGrid>
      <w:tr w:rsidR="00EE0372" w:rsidRPr="00EE0372" w14:paraId="5AE73EA0" w14:textId="77777777" w:rsidTr="00EE037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noWrap/>
          </w:tcPr>
          <w:p w14:paraId="76F07043" w14:textId="77777777" w:rsidR="00EE0372" w:rsidRPr="00EE0372" w:rsidRDefault="00EE0372" w:rsidP="00EE0372">
            <w:pPr>
              <w:jc w:val="center"/>
              <w:rPr>
                <w:rFonts w:ascii="Calibri" w:eastAsia="Times New Roman" w:hAnsi="Calibri" w:cs="Times New Roman"/>
                <w:color w:val="000000"/>
                <w:szCs w:val="24"/>
              </w:rPr>
            </w:pPr>
          </w:p>
        </w:tc>
        <w:tc>
          <w:tcPr>
            <w:tcW w:w="3383" w:type="dxa"/>
            <w:gridSpan w:val="3"/>
            <w:noWrap/>
            <w:vAlign w:val="bottom"/>
          </w:tcPr>
          <w:p w14:paraId="010FA92A" w14:textId="77777777" w:rsidR="00EE0372" w:rsidRPr="00EE0372" w:rsidRDefault="00EE0372" w:rsidP="00EE03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Total population</w:t>
            </w:r>
          </w:p>
        </w:tc>
        <w:tc>
          <w:tcPr>
            <w:tcW w:w="236" w:type="dxa"/>
            <w:tcBorders>
              <w:bottom w:val="nil"/>
            </w:tcBorders>
            <w:shd w:val="clear" w:color="auto" w:fill="F2F2F2"/>
          </w:tcPr>
          <w:p w14:paraId="50D9563F" w14:textId="77777777" w:rsidR="00EE0372" w:rsidRPr="00EE0372" w:rsidRDefault="00EE0372" w:rsidP="00EE03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p>
        </w:tc>
        <w:tc>
          <w:tcPr>
            <w:tcW w:w="3384" w:type="dxa"/>
            <w:gridSpan w:val="3"/>
            <w:vAlign w:val="bottom"/>
          </w:tcPr>
          <w:p w14:paraId="3CCE8C40" w14:textId="77777777" w:rsidR="00EE0372" w:rsidRPr="00EE0372" w:rsidRDefault="00EE0372" w:rsidP="00EE03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Under 18 population</w:t>
            </w:r>
          </w:p>
        </w:tc>
      </w:tr>
      <w:tr w:rsidR="00EE0372" w:rsidRPr="00EE0372" w14:paraId="2B9E27E4" w14:textId="77777777" w:rsidTr="00EE03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noWrap/>
            <w:hideMark/>
          </w:tcPr>
          <w:p w14:paraId="745A75FC" w14:textId="77777777" w:rsidR="00EE0372" w:rsidRPr="00EE0372" w:rsidRDefault="00EE0372" w:rsidP="00EE0372">
            <w:pPr>
              <w:jc w:val="center"/>
              <w:rPr>
                <w:rFonts w:ascii="Calibri" w:eastAsia="Times New Roman" w:hAnsi="Calibri" w:cs="Times New Roman"/>
                <w:color w:val="000000"/>
                <w:szCs w:val="24"/>
              </w:rPr>
            </w:pPr>
          </w:p>
        </w:tc>
        <w:tc>
          <w:tcPr>
            <w:tcW w:w="1127" w:type="dxa"/>
            <w:noWrap/>
            <w:vAlign w:val="bottom"/>
          </w:tcPr>
          <w:p w14:paraId="4D6D3A09" w14:textId="77777777" w:rsidR="00EE0372" w:rsidRPr="00EE0372" w:rsidRDefault="00EE0372" w:rsidP="00EE03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EE0372">
              <w:rPr>
                <w:rFonts w:ascii="Calibri" w:eastAsia="Times New Roman" w:hAnsi="Calibri" w:cs="Times New Roman"/>
                <w:b/>
                <w:color w:val="000000"/>
                <w:szCs w:val="24"/>
              </w:rPr>
              <w:t>2010</w:t>
            </w:r>
          </w:p>
        </w:tc>
        <w:tc>
          <w:tcPr>
            <w:tcW w:w="1128" w:type="dxa"/>
            <w:noWrap/>
            <w:vAlign w:val="bottom"/>
          </w:tcPr>
          <w:p w14:paraId="72583DEA" w14:textId="77777777" w:rsidR="00EE0372" w:rsidRPr="00EE0372" w:rsidRDefault="00EE0372" w:rsidP="00EE03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EE0372">
              <w:rPr>
                <w:rFonts w:ascii="Calibri" w:eastAsia="Times New Roman" w:hAnsi="Calibri" w:cs="Times New Roman"/>
                <w:b/>
                <w:color w:val="000000"/>
                <w:szCs w:val="24"/>
              </w:rPr>
              <w:t>2017</w:t>
            </w:r>
          </w:p>
        </w:tc>
        <w:tc>
          <w:tcPr>
            <w:tcW w:w="1128" w:type="dxa"/>
          </w:tcPr>
          <w:p w14:paraId="3E4C2142" w14:textId="77777777" w:rsidR="00EE0372" w:rsidRPr="00EE0372" w:rsidRDefault="00EE0372" w:rsidP="00EE03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EE0372">
              <w:rPr>
                <w:rFonts w:ascii="Calibri" w:eastAsia="Times New Roman" w:hAnsi="Calibri" w:cs="Times New Roman"/>
                <w:b/>
                <w:color w:val="000000"/>
                <w:szCs w:val="24"/>
              </w:rPr>
              <w:t>Percent change</w:t>
            </w:r>
          </w:p>
        </w:tc>
        <w:tc>
          <w:tcPr>
            <w:tcW w:w="236" w:type="dxa"/>
            <w:vMerge w:val="restart"/>
            <w:tcBorders>
              <w:top w:val="nil"/>
            </w:tcBorders>
            <w:shd w:val="clear" w:color="auto" w:fill="F2F2F2"/>
          </w:tcPr>
          <w:p w14:paraId="09A4C682" w14:textId="77777777" w:rsidR="00EE0372" w:rsidRPr="00EE0372" w:rsidRDefault="00EE0372" w:rsidP="00EE03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p>
        </w:tc>
        <w:tc>
          <w:tcPr>
            <w:tcW w:w="1128" w:type="dxa"/>
            <w:vAlign w:val="bottom"/>
          </w:tcPr>
          <w:p w14:paraId="1160216D" w14:textId="77777777" w:rsidR="00EE0372" w:rsidRPr="00EE0372" w:rsidRDefault="00EE0372" w:rsidP="00EE03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EE0372">
              <w:rPr>
                <w:rFonts w:ascii="Calibri" w:eastAsia="Times New Roman" w:hAnsi="Calibri" w:cs="Times New Roman"/>
                <w:b/>
                <w:color w:val="000000"/>
                <w:szCs w:val="24"/>
              </w:rPr>
              <w:t>2010</w:t>
            </w:r>
          </w:p>
        </w:tc>
        <w:tc>
          <w:tcPr>
            <w:tcW w:w="1128" w:type="dxa"/>
            <w:vAlign w:val="bottom"/>
          </w:tcPr>
          <w:p w14:paraId="2FEF0EEB" w14:textId="77777777" w:rsidR="00EE0372" w:rsidRPr="00EE0372" w:rsidRDefault="00EE0372" w:rsidP="00EE03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EE0372">
              <w:rPr>
                <w:rFonts w:ascii="Calibri" w:eastAsia="Times New Roman" w:hAnsi="Calibri" w:cs="Times New Roman"/>
                <w:b/>
                <w:color w:val="000000"/>
                <w:szCs w:val="24"/>
              </w:rPr>
              <w:t>2017</w:t>
            </w:r>
          </w:p>
        </w:tc>
        <w:tc>
          <w:tcPr>
            <w:tcW w:w="1128" w:type="dxa"/>
          </w:tcPr>
          <w:p w14:paraId="011C0951" w14:textId="77777777" w:rsidR="00EE0372" w:rsidRPr="00EE0372" w:rsidRDefault="00EE0372" w:rsidP="00EE03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EE0372">
              <w:rPr>
                <w:rFonts w:ascii="Calibri" w:eastAsia="Times New Roman" w:hAnsi="Calibri" w:cs="Times New Roman"/>
                <w:b/>
                <w:color w:val="000000"/>
                <w:szCs w:val="24"/>
              </w:rPr>
              <w:t>Percent change</w:t>
            </w:r>
          </w:p>
        </w:tc>
      </w:tr>
      <w:tr w:rsidR="00EE0372" w:rsidRPr="00EE0372" w14:paraId="4DF53876" w14:textId="77777777" w:rsidTr="00EE0372">
        <w:trPr>
          <w:trHeight w:val="300"/>
        </w:trPr>
        <w:tc>
          <w:tcPr>
            <w:cnfStyle w:val="001000000000" w:firstRow="0" w:lastRow="0" w:firstColumn="1" w:lastColumn="0" w:oddVBand="0" w:evenVBand="0" w:oddHBand="0" w:evenHBand="0" w:firstRowFirstColumn="0" w:firstRowLastColumn="0" w:lastRowFirstColumn="0" w:lastRowLastColumn="0"/>
            <w:tcW w:w="1455" w:type="dxa"/>
            <w:noWrap/>
            <w:hideMark/>
          </w:tcPr>
          <w:p w14:paraId="6D6D29E5" w14:textId="77777777" w:rsidR="00EE0372" w:rsidRPr="00EE0372" w:rsidRDefault="00EE0372" w:rsidP="00EE0372">
            <w:pPr>
              <w:rPr>
                <w:rFonts w:ascii="Calibri" w:eastAsia="Times New Roman" w:hAnsi="Calibri" w:cs="Times New Roman"/>
                <w:color w:val="000000"/>
                <w:szCs w:val="24"/>
              </w:rPr>
            </w:pPr>
            <w:r w:rsidRPr="00EE0372">
              <w:rPr>
                <w:rFonts w:ascii="Calibri" w:eastAsia="Times New Roman" w:hAnsi="Calibri" w:cs="Times New Roman"/>
                <w:color w:val="000000"/>
                <w:szCs w:val="24"/>
              </w:rPr>
              <w:t>Blaine</w:t>
            </w:r>
          </w:p>
        </w:tc>
        <w:tc>
          <w:tcPr>
            <w:tcW w:w="1127" w:type="dxa"/>
            <w:noWrap/>
          </w:tcPr>
          <w:p w14:paraId="0FED3A41"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539</w:t>
            </w:r>
          </w:p>
        </w:tc>
        <w:tc>
          <w:tcPr>
            <w:tcW w:w="1128" w:type="dxa"/>
            <w:noWrap/>
            <w:hideMark/>
          </w:tcPr>
          <w:p w14:paraId="1AE09BD1"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502</w:t>
            </w:r>
          </w:p>
        </w:tc>
        <w:tc>
          <w:tcPr>
            <w:tcW w:w="1128" w:type="dxa"/>
          </w:tcPr>
          <w:p w14:paraId="35C6705A"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-6.9%</w:t>
            </w:r>
          </w:p>
        </w:tc>
        <w:tc>
          <w:tcPr>
            <w:tcW w:w="236" w:type="dxa"/>
            <w:vMerge/>
            <w:shd w:val="clear" w:color="auto" w:fill="F2F2F2"/>
          </w:tcPr>
          <w:p w14:paraId="18D0F4DB"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p>
        </w:tc>
        <w:tc>
          <w:tcPr>
            <w:tcW w:w="1128" w:type="dxa"/>
          </w:tcPr>
          <w:p w14:paraId="234E25F7"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97</w:t>
            </w:r>
          </w:p>
        </w:tc>
        <w:tc>
          <w:tcPr>
            <w:tcW w:w="1128" w:type="dxa"/>
          </w:tcPr>
          <w:p w14:paraId="0813353F"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106</w:t>
            </w:r>
          </w:p>
        </w:tc>
        <w:tc>
          <w:tcPr>
            <w:tcW w:w="1128" w:type="dxa"/>
          </w:tcPr>
          <w:p w14:paraId="63EE746C"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9.3%</w:t>
            </w:r>
          </w:p>
        </w:tc>
      </w:tr>
      <w:tr w:rsidR="00EE0372" w:rsidRPr="00EE0372" w14:paraId="152B0738" w14:textId="77777777" w:rsidTr="00EE03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noWrap/>
            <w:hideMark/>
          </w:tcPr>
          <w:p w14:paraId="5383EFEA" w14:textId="77777777" w:rsidR="00EE0372" w:rsidRPr="00EE0372" w:rsidRDefault="00EE0372" w:rsidP="00EE0372">
            <w:pPr>
              <w:rPr>
                <w:rFonts w:ascii="Calibri" w:eastAsia="Times New Roman" w:hAnsi="Calibri" w:cs="Times New Roman"/>
                <w:color w:val="000000"/>
                <w:szCs w:val="24"/>
              </w:rPr>
            </w:pPr>
            <w:r w:rsidRPr="00EE0372">
              <w:rPr>
                <w:rFonts w:ascii="Calibri" w:eastAsia="Times New Roman" w:hAnsi="Calibri" w:cs="Times New Roman"/>
                <w:color w:val="000000"/>
                <w:szCs w:val="24"/>
              </w:rPr>
              <w:t xml:space="preserve">Custer </w:t>
            </w:r>
          </w:p>
        </w:tc>
        <w:tc>
          <w:tcPr>
            <w:tcW w:w="1127" w:type="dxa"/>
            <w:noWrap/>
          </w:tcPr>
          <w:p w14:paraId="0797D72D"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11,001</w:t>
            </w:r>
          </w:p>
        </w:tc>
        <w:tc>
          <w:tcPr>
            <w:tcW w:w="1128" w:type="dxa"/>
            <w:noWrap/>
            <w:hideMark/>
          </w:tcPr>
          <w:p w14:paraId="672693CA"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10,836</w:t>
            </w:r>
          </w:p>
        </w:tc>
        <w:tc>
          <w:tcPr>
            <w:tcW w:w="1128" w:type="dxa"/>
          </w:tcPr>
          <w:p w14:paraId="4E00A04C"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-1.5%</w:t>
            </w:r>
          </w:p>
        </w:tc>
        <w:tc>
          <w:tcPr>
            <w:tcW w:w="236" w:type="dxa"/>
            <w:vMerge/>
            <w:shd w:val="clear" w:color="auto" w:fill="F2F2F2"/>
          </w:tcPr>
          <w:p w14:paraId="09125D61"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p>
        </w:tc>
        <w:tc>
          <w:tcPr>
            <w:tcW w:w="1128" w:type="dxa"/>
          </w:tcPr>
          <w:p w14:paraId="2094F695"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2657</w:t>
            </w:r>
          </w:p>
        </w:tc>
        <w:tc>
          <w:tcPr>
            <w:tcW w:w="1128" w:type="dxa"/>
          </w:tcPr>
          <w:p w14:paraId="0DC46948"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2,521</w:t>
            </w:r>
          </w:p>
        </w:tc>
        <w:tc>
          <w:tcPr>
            <w:tcW w:w="1128" w:type="dxa"/>
          </w:tcPr>
          <w:p w14:paraId="430796A5"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-5.1%</w:t>
            </w:r>
          </w:p>
        </w:tc>
      </w:tr>
      <w:tr w:rsidR="00EE0372" w:rsidRPr="00EE0372" w14:paraId="7B897493" w14:textId="77777777" w:rsidTr="00EE0372">
        <w:trPr>
          <w:trHeight w:val="300"/>
        </w:trPr>
        <w:tc>
          <w:tcPr>
            <w:cnfStyle w:val="001000000000" w:firstRow="0" w:lastRow="0" w:firstColumn="1" w:lastColumn="0" w:oddVBand="0" w:evenVBand="0" w:oddHBand="0" w:evenHBand="0" w:firstRowFirstColumn="0" w:firstRowLastColumn="0" w:lastRowFirstColumn="0" w:lastRowLastColumn="0"/>
            <w:tcW w:w="1455" w:type="dxa"/>
            <w:noWrap/>
            <w:hideMark/>
          </w:tcPr>
          <w:p w14:paraId="2EC0A990" w14:textId="77777777" w:rsidR="00EE0372" w:rsidRPr="00EE0372" w:rsidRDefault="00EE0372" w:rsidP="00EE0372">
            <w:pPr>
              <w:rPr>
                <w:rFonts w:ascii="Calibri" w:eastAsia="Times New Roman" w:hAnsi="Calibri" w:cs="Times New Roman"/>
                <w:color w:val="000000"/>
                <w:szCs w:val="24"/>
              </w:rPr>
            </w:pPr>
            <w:r w:rsidRPr="00EE0372">
              <w:rPr>
                <w:rFonts w:ascii="Calibri" w:eastAsia="Times New Roman" w:hAnsi="Calibri" w:cs="Times New Roman"/>
                <w:color w:val="000000"/>
                <w:szCs w:val="24"/>
              </w:rPr>
              <w:t>Garfield</w:t>
            </w:r>
          </w:p>
        </w:tc>
        <w:tc>
          <w:tcPr>
            <w:tcW w:w="1127" w:type="dxa"/>
            <w:noWrap/>
          </w:tcPr>
          <w:p w14:paraId="3035D853"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2,081</w:t>
            </w:r>
          </w:p>
        </w:tc>
        <w:tc>
          <w:tcPr>
            <w:tcW w:w="1128" w:type="dxa"/>
            <w:noWrap/>
            <w:hideMark/>
          </w:tcPr>
          <w:p w14:paraId="1CB8A7EB"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1,958</w:t>
            </w:r>
          </w:p>
        </w:tc>
        <w:tc>
          <w:tcPr>
            <w:tcW w:w="1128" w:type="dxa"/>
          </w:tcPr>
          <w:p w14:paraId="730EABF3"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-5.9%</w:t>
            </w:r>
          </w:p>
        </w:tc>
        <w:tc>
          <w:tcPr>
            <w:tcW w:w="236" w:type="dxa"/>
            <w:vMerge/>
            <w:shd w:val="clear" w:color="auto" w:fill="F2F2F2"/>
          </w:tcPr>
          <w:p w14:paraId="14E7715B"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p>
        </w:tc>
        <w:tc>
          <w:tcPr>
            <w:tcW w:w="1128" w:type="dxa"/>
          </w:tcPr>
          <w:p w14:paraId="0DF46F14"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507</w:t>
            </w:r>
          </w:p>
        </w:tc>
        <w:tc>
          <w:tcPr>
            <w:tcW w:w="1128" w:type="dxa"/>
          </w:tcPr>
          <w:p w14:paraId="7555FC86"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386</w:t>
            </w:r>
          </w:p>
        </w:tc>
        <w:tc>
          <w:tcPr>
            <w:tcW w:w="1128" w:type="dxa"/>
          </w:tcPr>
          <w:p w14:paraId="7EC58B99"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-23.9%</w:t>
            </w:r>
          </w:p>
        </w:tc>
      </w:tr>
      <w:tr w:rsidR="00EE0372" w:rsidRPr="00EE0372" w14:paraId="188B465B" w14:textId="77777777" w:rsidTr="00EE03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noWrap/>
            <w:hideMark/>
          </w:tcPr>
          <w:p w14:paraId="634A1F51" w14:textId="77777777" w:rsidR="00EE0372" w:rsidRPr="00EE0372" w:rsidRDefault="00EE0372" w:rsidP="00EE0372">
            <w:pPr>
              <w:rPr>
                <w:rFonts w:ascii="Calibri" w:eastAsia="Times New Roman" w:hAnsi="Calibri" w:cs="Times New Roman"/>
                <w:color w:val="000000"/>
                <w:szCs w:val="24"/>
              </w:rPr>
            </w:pPr>
            <w:r w:rsidRPr="00EE0372">
              <w:rPr>
                <w:rFonts w:ascii="Calibri" w:eastAsia="Times New Roman" w:hAnsi="Calibri" w:cs="Times New Roman"/>
                <w:color w:val="000000"/>
                <w:szCs w:val="24"/>
              </w:rPr>
              <w:t xml:space="preserve">Greeley </w:t>
            </w:r>
          </w:p>
        </w:tc>
        <w:tc>
          <w:tcPr>
            <w:tcW w:w="1127" w:type="dxa"/>
            <w:noWrap/>
          </w:tcPr>
          <w:p w14:paraId="2DA04044"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2,542</w:t>
            </w:r>
          </w:p>
        </w:tc>
        <w:tc>
          <w:tcPr>
            <w:tcW w:w="1128" w:type="dxa"/>
            <w:noWrap/>
            <w:hideMark/>
          </w:tcPr>
          <w:p w14:paraId="77CE425F"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2,436</w:t>
            </w:r>
          </w:p>
        </w:tc>
        <w:tc>
          <w:tcPr>
            <w:tcW w:w="1128" w:type="dxa"/>
          </w:tcPr>
          <w:p w14:paraId="3ED53644"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-4.2%</w:t>
            </w:r>
          </w:p>
        </w:tc>
        <w:tc>
          <w:tcPr>
            <w:tcW w:w="236" w:type="dxa"/>
            <w:vMerge/>
            <w:shd w:val="clear" w:color="auto" w:fill="F2F2F2"/>
          </w:tcPr>
          <w:p w14:paraId="148F9D02"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p>
        </w:tc>
        <w:tc>
          <w:tcPr>
            <w:tcW w:w="1128" w:type="dxa"/>
          </w:tcPr>
          <w:p w14:paraId="64870215"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657</w:t>
            </w:r>
          </w:p>
        </w:tc>
        <w:tc>
          <w:tcPr>
            <w:tcW w:w="1128" w:type="dxa"/>
          </w:tcPr>
          <w:p w14:paraId="2A67CDDA"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584</w:t>
            </w:r>
          </w:p>
        </w:tc>
        <w:tc>
          <w:tcPr>
            <w:tcW w:w="1128" w:type="dxa"/>
          </w:tcPr>
          <w:p w14:paraId="6B50DF16"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-11.1%</w:t>
            </w:r>
          </w:p>
        </w:tc>
      </w:tr>
      <w:tr w:rsidR="00EE0372" w:rsidRPr="00EE0372" w14:paraId="60DC55CA" w14:textId="77777777" w:rsidTr="00EE0372">
        <w:trPr>
          <w:trHeight w:val="300"/>
        </w:trPr>
        <w:tc>
          <w:tcPr>
            <w:cnfStyle w:val="001000000000" w:firstRow="0" w:lastRow="0" w:firstColumn="1" w:lastColumn="0" w:oddVBand="0" w:evenVBand="0" w:oddHBand="0" w:evenHBand="0" w:firstRowFirstColumn="0" w:firstRowLastColumn="0" w:lastRowFirstColumn="0" w:lastRowLastColumn="0"/>
            <w:tcW w:w="1455" w:type="dxa"/>
            <w:noWrap/>
            <w:hideMark/>
          </w:tcPr>
          <w:p w14:paraId="3216D22C" w14:textId="77777777" w:rsidR="00EE0372" w:rsidRPr="00EE0372" w:rsidRDefault="00EE0372" w:rsidP="00EE0372">
            <w:pPr>
              <w:rPr>
                <w:rFonts w:ascii="Calibri" w:eastAsia="Times New Roman" w:hAnsi="Calibri" w:cs="Times New Roman"/>
                <w:color w:val="000000"/>
                <w:szCs w:val="24"/>
              </w:rPr>
            </w:pPr>
            <w:r w:rsidRPr="00EE0372">
              <w:rPr>
                <w:rFonts w:ascii="Calibri" w:eastAsia="Times New Roman" w:hAnsi="Calibri" w:cs="Times New Roman"/>
                <w:color w:val="000000"/>
                <w:szCs w:val="24"/>
              </w:rPr>
              <w:t>Loup</w:t>
            </w:r>
          </w:p>
        </w:tc>
        <w:tc>
          <w:tcPr>
            <w:tcW w:w="1127" w:type="dxa"/>
            <w:noWrap/>
          </w:tcPr>
          <w:p w14:paraId="3089B5E8"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635</w:t>
            </w:r>
          </w:p>
        </w:tc>
        <w:tc>
          <w:tcPr>
            <w:tcW w:w="1128" w:type="dxa"/>
            <w:noWrap/>
            <w:hideMark/>
          </w:tcPr>
          <w:p w14:paraId="2E14498B"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537</w:t>
            </w:r>
          </w:p>
        </w:tc>
        <w:tc>
          <w:tcPr>
            <w:tcW w:w="1128" w:type="dxa"/>
          </w:tcPr>
          <w:p w14:paraId="5B561F2E"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-15.4%</w:t>
            </w:r>
          </w:p>
        </w:tc>
        <w:tc>
          <w:tcPr>
            <w:tcW w:w="236" w:type="dxa"/>
            <w:vMerge/>
            <w:shd w:val="clear" w:color="auto" w:fill="F2F2F2"/>
          </w:tcPr>
          <w:p w14:paraId="11F6FEB5"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p>
        </w:tc>
        <w:tc>
          <w:tcPr>
            <w:tcW w:w="1128" w:type="dxa"/>
          </w:tcPr>
          <w:p w14:paraId="4B9614CF"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143</w:t>
            </w:r>
          </w:p>
        </w:tc>
        <w:tc>
          <w:tcPr>
            <w:tcW w:w="1128" w:type="dxa"/>
          </w:tcPr>
          <w:p w14:paraId="57A925BC"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104</w:t>
            </w:r>
          </w:p>
        </w:tc>
        <w:tc>
          <w:tcPr>
            <w:tcW w:w="1128" w:type="dxa"/>
          </w:tcPr>
          <w:p w14:paraId="0F1983A7"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-27.3%</w:t>
            </w:r>
          </w:p>
        </w:tc>
      </w:tr>
      <w:tr w:rsidR="00EE0372" w:rsidRPr="00EE0372" w14:paraId="09873187" w14:textId="77777777" w:rsidTr="00EE03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noWrap/>
            <w:hideMark/>
          </w:tcPr>
          <w:p w14:paraId="7FD40217" w14:textId="77777777" w:rsidR="00EE0372" w:rsidRPr="00EE0372" w:rsidRDefault="00EE0372" w:rsidP="00EE0372">
            <w:pPr>
              <w:rPr>
                <w:rFonts w:ascii="Calibri" w:eastAsia="Times New Roman" w:hAnsi="Calibri" w:cs="Times New Roman"/>
                <w:color w:val="000000"/>
                <w:szCs w:val="24"/>
              </w:rPr>
            </w:pPr>
            <w:r w:rsidRPr="00EE0372">
              <w:rPr>
                <w:rFonts w:ascii="Calibri" w:eastAsia="Times New Roman" w:hAnsi="Calibri" w:cs="Times New Roman"/>
                <w:color w:val="000000"/>
                <w:szCs w:val="24"/>
              </w:rPr>
              <w:t xml:space="preserve">Sherman </w:t>
            </w:r>
          </w:p>
        </w:tc>
        <w:tc>
          <w:tcPr>
            <w:tcW w:w="1127" w:type="dxa"/>
            <w:noWrap/>
          </w:tcPr>
          <w:p w14:paraId="03613926"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3,144</w:t>
            </w:r>
          </w:p>
        </w:tc>
        <w:tc>
          <w:tcPr>
            <w:tcW w:w="1128" w:type="dxa"/>
            <w:noWrap/>
            <w:hideMark/>
          </w:tcPr>
          <w:p w14:paraId="43DA25F8"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3,048</w:t>
            </w:r>
          </w:p>
        </w:tc>
        <w:tc>
          <w:tcPr>
            <w:tcW w:w="1128" w:type="dxa"/>
          </w:tcPr>
          <w:p w14:paraId="22EF79A8"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-3.1%</w:t>
            </w:r>
          </w:p>
        </w:tc>
        <w:tc>
          <w:tcPr>
            <w:tcW w:w="236" w:type="dxa"/>
            <w:vMerge/>
            <w:shd w:val="clear" w:color="auto" w:fill="F2F2F2"/>
          </w:tcPr>
          <w:p w14:paraId="581ADE59"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p>
        </w:tc>
        <w:tc>
          <w:tcPr>
            <w:tcW w:w="1128" w:type="dxa"/>
          </w:tcPr>
          <w:p w14:paraId="19D0DEA4"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685</w:t>
            </w:r>
          </w:p>
        </w:tc>
        <w:tc>
          <w:tcPr>
            <w:tcW w:w="1128" w:type="dxa"/>
          </w:tcPr>
          <w:p w14:paraId="7CF9F90A"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647</w:t>
            </w:r>
          </w:p>
        </w:tc>
        <w:tc>
          <w:tcPr>
            <w:tcW w:w="1128" w:type="dxa"/>
          </w:tcPr>
          <w:p w14:paraId="1CD3EF11"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-5.5%</w:t>
            </w:r>
          </w:p>
        </w:tc>
      </w:tr>
      <w:tr w:rsidR="00EE0372" w:rsidRPr="00EE0372" w14:paraId="259615FB" w14:textId="77777777" w:rsidTr="00EE0372">
        <w:trPr>
          <w:trHeight w:val="300"/>
        </w:trPr>
        <w:tc>
          <w:tcPr>
            <w:cnfStyle w:val="001000000000" w:firstRow="0" w:lastRow="0" w:firstColumn="1" w:lastColumn="0" w:oddVBand="0" w:evenVBand="0" w:oddHBand="0" w:evenHBand="0" w:firstRowFirstColumn="0" w:firstRowLastColumn="0" w:lastRowFirstColumn="0" w:lastRowLastColumn="0"/>
            <w:tcW w:w="1455" w:type="dxa"/>
            <w:noWrap/>
            <w:hideMark/>
          </w:tcPr>
          <w:p w14:paraId="2283AD0F" w14:textId="77777777" w:rsidR="00EE0372" w:rsidRPr="00EE0372" w:rsidRDefault="00EE0372" w:rsidP="00EE0372">
            <w:pPr>
              <w:rPr>
                <w:rFonts w:ascii="Calibri" w:eastAsia="Times New Roman" w:hAnsi="Calibri" w:cs="Times New Roman"/>
                <w:color w:val="000000"/>
                <w:szCs w:val="24"/>
              </w:rPr>
            </w:pPr>
            <w:r w:rsidRPr="00EE0372">
              <w:rPr>
                <w:rFonts w:ascii="Calibri" w:eastAsia="Times New Roman" w:hAnsi="Calibri" w:cs="Times New Roman"/>
                <w:color w:val="000000"/>
                <w:szCs w:val="24"/>
              </w:rPr>
              <w:t>Valley</w:t>
            </w:r>
          </w:p>
        </w:tc>
        <w:tc>
          <w:tcPr>
            <w:tcW w:w="1127" w:type="dxa"/>
            <w:noWrap/>
          </w:tcPr>
          <w:p w14:paraId="3092E7F3"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4,284</w:t>
            </w:r>
          </w:p>
        </w:tc>
        <w:tc>
          <w:tcPr>
            <w:tcW w:w="1128" w:type="dxa"/>
            <w:noWrap/>
            <w:hideMark/>
          </w:tcPr>
          <w:p w14:paraId="0ED92468"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4,252</w:t>
            </w:r>
          </w:p>
        </w:tc>
        <w:tc>
          <w:tcPr>
            <w:tcW w:w="1128" w:type="dxa"/>
          </w:tcPr>
          <w:p w14:paraId="3B565611"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-0.7%</w:t>
            </w:r>
          </w:p>
        </w:tc>
        <w:tc>
          <w:tcPr>
            <w:tcW w:w="236" w:type="dxa"/>
            <w:vMerge/>
            <w:shd w:val="clear" w:color="auto" w:fill="F2F2F2"/>
          </w:tcPr>
          <w:p w14:paraId="7A308B0F"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p>
        </w:tc>
        <w:tc>
          <w:tcPr>
            <w:tcW w:w="1128" w:type="dxa"/>
          </w:tcPr>
          <w:p w14:paraId="3353CA31"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932</w:t>
            </w:r>
          </w:p>
        </w:tc>
        <w:tc>
          <w:tcPr>
            <w:tcW w:w="1128" w:type="dxa"/>
          </w:tcPr>
          <w:p w14:paraId="30808A80"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920</w:t>
            </w:r>
          </w:p>
        </w:tc>
        <w:tc>
          <w:tcPr>
            <w:tcW w:w="1128" w:type="dxa"/>
          </w:tcPr>
          <w:p w14:paraId="4E4E1C07"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-1.3%</w:t>
            </w:r>
          </w:p>
        </w:tc>
      </w:tr>
      <w:tr w:rsidR="00EE0372" w:rsidRPr="00EE0372" w14:paraId="423BD559" w14:textId="77777777" w:rsidTr="00EE03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noWrap/>
            <w:hideMark/>
          </w:tcPr>
          <w:p w14:paraId="09D60512" w14:textId="77777777" w:rsidR="00EE0372" w:rsidRPr="00EE0372" w:rsidRDefault="00EE0372" w:rsidP="00EE0372">
            <w:pPr>
              <w:rPr>
                <w:rFonts w:ascii="Calibri" w:eastAsia="Times New Roman" w:hAnsi="Calibri" w:cs="Times New Roman"/>
                <w:color w:val="000000"/>
                <w:szCs w:val="24"/>
              </w:rPr>
            </w:pPr>
            <w:r w:rsidRPr="00EE0372">
              <w:rPr>
                <w:rFonts w:ascii="Calibri" w:eastAsia="Times New Roman" w:hAnsi="Calibri" w:cs="Times New Roman"/>
                <w:color w:val="000000"/>
                <w:szCs w:val="24"/>
              </w:rPr>
              <w:t xml:space="preserve">Wheeler </w:t>
            </w:r>
          </w:p>
        </w:tc>
        <w:tc>
          <w:tcPr>
            <w:tcW w:w="1127" w:type="dxa"/>
            <w:noWrap/>
          </w:tcPr>
          <w:p w14:paraId="728D3091"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751</w:t>
            </w:r>
          </w:p>
        </w:tc>
        <w:tc>
          <w:tcPr>
            <w:tcW w:w="1128" w:type="dxa"/>
            <w:noWrap/>
            <w:hideMark/>
          </w:tcPr>
          <w:p w14:paraId="2D8D3140"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846</w:t>
            </w:r>
          </w:p>
        </w:tc>
        <w:tc>
          <w:tcPr>
            <w:tcW w:w="1128" w:type="dxa"/>
          </w:tcPr>
          <w:p w14:paraId="1CA7206B"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12.6%</w:t>
            </w:r>
          </w:p>
        </w:tc>
        <w:tc>
          <w:tcPr>
            <w:tcW w:w="236" w:type="dxa"/>
            <w:vMerge/>
            <w:shd w:val="clear" w:color="auto" w:fill="F2F2F2"/>
          </w:tcPr>
          <w:p w14:paraId="52937D3D"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p>
        </w:tc>
        <w:tc>
          <w:tcPr>
            <w:tcW w:w="1128" w:type="dxa"/>
          </w:tcPr>
          <w:p w14:paraId="7F387B3A"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173</w:t>
            </w:r>
          </w:p>
        </w:tc>
        <w:tc>
          <w:tcPr>
            <w:tcW w:w="1128" w:type="dxa"/>
          </w:tcPr>
          <w:p w14:paraId="34DC59C1"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154</w:t>
            </w:r>
          </w:p>
        </w:tc>
        <w:tc>
          <w:tcPr>
            <w:tcW w:w="1128" w:type="dxa"/>
          </w:tcPr>
          <w:p w14:paraId="046C1A5B"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-11.0%</w:t>
            </w:r>
          </w:p>
        </w:tc>
      </w:tr>
      <w:tr w:rsidR="00EE0372" w:rsidRPr="00EE0372" w14:paraId="463B6FC6" w14:textId="77777777" w:rsidTr="00EE0372">
        <w:trPr>
          <w:trHeight w:val="300"/>
        </w:trPr>
        <w:tc>
          <w:tcPr>
            <w:cnfStyle w:val="001000000000" w:firstRow="0" w:lastRow="0" w:firstColumn="1" w:lastColumn="0" w:oddVBand="0" w:evenVBand="0" w:oddHBand="0" w:evenHBand="0" w:firstRowFirstColumn="0" w:firstRowLastColumn="0" w:lastRowFirstColumn="0" w:lastRowLastColumn="0"/>
            <w:tcW w:w="1455" w:type="dxa"/>
            <w:noWrap/>
          </w:tcPr>
          <w:p w14:paraId="0C748B55" w14:textId="77777777" w:rsidR="00EE0372" w:rsidRPr="00EE0372" w:rsidRDefault="00EE0372" w:rsidP="00EE0372">
            <w:pPr>
              <w:rPr>
                <w:rFonts w:ascii="Calibri" w:eastAsia="Times New Roman" w:hAnsi="Calibri" w:cs="Times New Roman"/>
                <w:color w:val="000000"/>
                <w:szCs w:val="24"/>
              </w:rPr>
            </w:pPr>
            <w:r w:rsidRPr="00EE0372">
              <w:rPr>
                <w:rFonts w:ascii="Calibri" w:eastAsia="Times New Roman" w:hAnsi="Calibri" w:cs="Times New Roman"/>
                <w:color w:val="000000"/>
                <w:szCs w:val="24"/>
              </w:rPr>
              <w:t xml:space="preserve">8-County Total </w:t>
            </w:r>
          </w:p>
        </w:tc>
        <w:tc>
          <w:tcPr>
            <w:tcW w:w="1127" w:type="dxa"/>
            <w:noWrap/>
          </w:tcPr>
          <w:p w14:paraId="6E11E0BE"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EE0372">
              <w:rPr>
                <w:rFonts w:ascii="Calibri" w:eastAsia="Times New Roman" w:hAnsi="Calibri" w:cs="Times New Roman"/>
                <w:b/>
                <w:color w:val="000000"/>
                <w:szCs w:val="24"/>
              </w:rPr>
              <w:fldChar w:fldCharType="begin"/>
            </w:r>
            <w:r w:rsidRPr="00EE0372">
              <w:rPr>
                <w:rFonts w:ascii="Calibri" w:eastAsia="Times New Roman" w:hAnsi="Calibri" w:cs="Times New Roman"/>
                <w:b/>
                <w:color w:val="000000"/>
                <w:szCs w:val="24"/>
              </w:rPr>
              <w:instrText xml:space="preserve"> =SUM(ABOVE) </w:instrText>
            </w:r>
            <w:r w:rsidRPr="00EE0372">
              <w:rPr>
                <w:rFonts w:ascii="Calibri" w:eastAsia="Times New Roman" w:hAnsi="Calibri" w:cs="Times New Roman"/>
                <w:b/>
                <w:color w:val="000000"/>
                <w:szCs w:val="24"/>
              </w:rPr>
              <w:fldChar w:fldCharType="separate"/>
            </w:r>
            <w:r w:rsidRPr="00EE0372">
              <w:rPr>
                <w:rFonts w:ascii="Calibri" w:eastAsia="Times New Roman" w:hAnsi="Calibri" w:cs="Times New Roman"/>
                <w:b/>
                <w:noProof/>
                <w:color w:val="000000"/>
                <w:szCs w:val="24"/>
              </w:rPr>
              <w:t>24,977</w:t>
            </w:r>
            <w:r w:rsidRPr="00EE0372">
              <w:rPr>
                <w:rFonts w:ascii="Calibri" w:eastAsia="Times New Roman" w:hAnsi="Calibri" w:cs="Times New Roman"/>
                <w:b/>
                <w:color w:val="000000"/>
                <w:szCs w:val="24"/>
              </w:rPr>
              <w:fldChar w:fldCharType="end"/>
            </w:r>
          </w:p>
        </w:tc>
        <w:tc>
          <w:tcPr>
            <w:tcW w:w="1128" w:type="dxa"/>
            <w:noWrap/>
          </w:tcPr>
          <w:p w14:paraId="3EE7C0F3"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EE0372">
              <w:rPr>
                <w:rFonts w:ascii="Calibri" w:eastAsia="Times New Roman" w:hAnsi="Calibri" w:cs="Times New Roman"/>
                <w:b/>
                <w:color w:val="000000"/>
                <w:szCs w:val="24"/>
              </w:rPr>
              <w:fldChar w:fldCharType="begin"/>
            </w:r>
            <w:r w:rsidRPr="00EE0372">
              <w:rPr>
                <w:rFonts w:ascii="Calibri" w:eastAsia="Times New Roman" w:hAnsi="Calibri" w:cs="Times New Roman"/>
                <w:b/>
                <w:color w:val="000000"/>
                <w:szCs w:val="24"/>
              </w:rPr>
              <w:instrText xml:space="preserve"> =SUM(ABOVE) </w:instrText>
            </w:r>
            <w:r w:rsidRPr="00EE0372">
              <w:rPr>
                <w:rFonts w:ascii="Calibri" w:eastAsia="Times New Roman" w:hAnsi="Calibri" w:cs="Times New Roman"/>
                <w:b/>
                <w:color w:val="000000"/>
                <w:szCs w:val="24"/>
              </w:rPr>
              <w:fldChar w:fldCharType="separate"/>
            </w:r>
            <w:r w:rsidRPr="00EE0372">
              <w:rPr>
                <w:rFonts w:ascii="Calibri" w:eastAsia="Times New Roman" w:hAnsi="Calibri" w:cs="Times New Roman"/>
                <w:b/>
                <w:noProof/>
                <w:color w:val="000000"/>
                <w:szCs w:val="24"/>
              </w:rPr>
              <w:t>24,415</w:t>
            </w:r>
            <w:r w:rsidRPr="00EE0372">
              <w:rPr>
                <w:rFonts w:ascii="Calibri" w:eastAsia="Times New Roman" w:hAnsi="Calibri" w:cs="Times New Roman"/>
                <w:b/>
                <w:color w:val="000000"/>
                <w:szCs w:val="24"/>
              </w:rPr>
              <w:fldChar w:fldCharType="end"/>
            </w:r>
          </w:p>
        </w:tc>
        <w:tc>
          <w:tcPr>
            <w:tcW w:w="1128" w:type="dxa"/>
          </w:tcPr>
          <w:p w14:paraId="5BE201B8"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EE0372">
              <w:rPr>
                <w:rFonts w:ascii="Calibri" w:eastAsia="Times New Roman" w:hAnsi="Calibri" w:cs="Times New Roman"/>
                <w:b/>
                <w:color w:val="000000"/>
                <w:szCs w:val="24"/>
              </w:rPr>
              <w:t>-2.3%</w:t>
            </w:r>
          </w:p>
        </w:tc>
        <w:tc>
          <w:tcPr>
            <w:tcW w:w="236" w:type="dxa"/>
            <w:vMerge/>
            <w:shd w:val="clear" w:color="auto" w:fill="F2F2F2"/>
          </w:tcPr>
          <w:p w14:paraId="0868C8B6"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p>
        </w:tc>
        <w:tc>
          <w:tcPr>
            <w:tcW w:w="1128" w:type="dxa"/>
          </w:tcPr>
          <w:p w14:paraId="36E8B1EE"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EE0372">
              <w:rPr>
                <w:rFonts w:ascii="Calibri" w:eastAsia="Times New Roman" w:hAnsi="Calibri" w:cs="Times New Roman"/>
                <w:b/>
                <w:color w:val="000000"/>
                <w:szCs w:val="24"/>
              </w:rPr>
              <w:t>5,851</w:t>
            </w:r>
          </w:p>
        </w:tc>
        <w:tc>
          <w:tcPr>
            <w:tcW w:w="1128" w:type="dxa"/>
          </w:tcPr>
          <w:p w14:paraId="17FEB9B3"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EE0372">
              <w:rPr>
                <w:rFonts w:ascii="Calibri" w:eastAsia="Times New Roman" w:hAnsi="Calibri" w:cs="Times New Roman"/>
                <w:b/>
                <w:color w:val="000000"/>
                <w:szCs w:val="24"/>
              </w:rPr>
              <w:t>5,422</w:t>
            </w:r>
          </w:p>
        </w:tc>
        <w:tc>
          <w:tcPr>
            <w:tcW w:w="1128" w:type="dxa"/>
          </w:tcPr>
          <w:p w14:paraId="2226D162" w14:textId="77777777" w:rsidR="00EE0372" w:rsidRPr="00EE0372" w:rsidRDefault="00EE0372" w:rsidP="00EE03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EE0372">
              <w:rPr>
                <w:rFonts w:ascii="Calibri" w:eastAsia="Times New Roman" w:hAnsi="Calibri" w:cs="Times New Roman"/>
                <w:b/>
                <w:color w:val="000000"/>
                <w:szCs w:val="24"/>
              </w:rPr>
              <w:t>-7.3%</w:t>
            </w:r>
          </w:p>
        </w:tc>
      </w:tr>
      <w:tr w:rsidR="00EE0372" w:rsidRPr="00EE0372" w14:paraId="71ECDA46" w14:textId="77777777" w:rsidTr="00EE03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noWrap/>
            <w:hideMark/>
          </w:tcPr>
          <w:p w14:paraId="713BCA3B" w14:textId="77777777" w:rsidR="00EE0372" w:rsidRPr="00EE0372" w:rsidRDefault="00EE0372" w:rsidP="00EE0372">
            <w:pPr>
              <w:rPr>
                <w:rFonts w:ascii="Calibri" w:eastAsia="Times New Roman" w:hAnsi="Calibri" w:cs="Times New Roman"/>
                <w:color w:val="000000"/>
                <w:szCs w:val="24"/>
              </w:rPr>
            </w:pPr>
            <w:r w:rsidRPr="00EE0372">
              <w:rPr>
                <w:rFonts w:ascii="Calibri" w:eastAsia="Times New Roman" w:hAnsi="Calibri" w:cs="Times New Roman"/>
                <w:color w:val="000000"/>
                <w:szCs w:val="24"/>
              </w:rPr>
              <w:t>Nebraska</w:t>
            </w:r>
          </w:p>
        </w:tc>
        <w:tc>
          <w:tcPr>
            <w:tcW w:w="1127" w:type="dxa"/>
            <w:noWrap/>
          </w:tcPr>
          <w:p w14:paraId="1DCA2854"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1,799,125</w:t>
            </w:r>
          </w:p>
        </w:tc>
        <w:tc>
          <w:tcPr>
            <w:tcW w:w="1128" w:type="dxa"/>
            <w:noWrap/>
            <w:hideMark/>
          </w:tcPr>
          <w:p w14:paraId="6F79F1C2"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1,893,921</w:t>
            </w:r>
          </w:p>
        </w:tc>
        <w:tc>
          <w:tcPr>
            <w:tcW w:w="1128" w:type="dxa"/>
          </w:tcPr>
          <w:p w14:paraId="343C981D"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5.3%</w:t>
            </w:r>
          </w:p>
        </w:tc>
        <w:tc>
          <w:tcPr>
            <w:tcW w:w="236" w:type="dxa"/>
            <w:vMerge/>
            <w:shd w:val="clear" w:color="auto" w:fill="F2F2F2"/>
          </w:tcPr>
          <w:p w14:paraId="13A45519"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p>
        </w:tc>
        <w:tc>
          <w:tcPr>
            <w:tcW w:w="1128" w:type="dxa"/>
          </w:tcPr>
          <w:p w14:paraId="22615B47"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453331</w:t>
            </w:r>
          </w:p>
        </w:tc>
        <w:tc>
          <w:tcPr>
            <w:tcW w:w="1128" w:type="dxa"/>
          </w:tcPr>
          <w:p w14:paraId="0BF7794E"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469,819</w:t>
            </w:r>
          </w:p>
        </w:tc>
        <w:tc>
          <w:tcPr>
            <w:tcW w:w="1128" w:type="dxa"/>
          </w:tcPr>
          <w:p w14:paraId="2FF555E4" w14:textId="77777777" w:rsidR="00EE0372" w:rsidRPr="00EE0372" w:rsidRDefault="00EE0372" w:rsidP="00EE03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E0372">
              <w:rPr>
                <w:rFonts w:ascii="Calibri" w:eastAsia="Times New Roman" w:hAnsi="Calibri" w:cs="Times New Roman"/>
                <w:color w:val="000000"/>
                <w:szCs w:val="24"/>
              </w:rPr>
              <w:t>3.6%</w:t>
            </w:r>
          </w:p>
        </w:tc>
      </w:tr>
      <w:bookmarkEnd w:id="2"/>
    </w:tbl>
    <w:p w14:paraId="2BF5C785" w14:textId="19DF423C" w:rsidR="00DB55BE" w:rsidRDefault="00DB55BE" w:rsidP="00DB55BE"/>
    <w:p w14:paraId="24FCB6F7" w14:textId="0E03D9EE" w:rsidR="0093605C" w:rsidRDefault="0093605C" w:rsidP="00DB55BE"/>
    <w:p w14:paraId="44CC3BC7" w14:textId="6A1E2399" w:rsidR="0093605C" w:rsidRDefault="0093605C" w:rsidP="00DB55BE"/>
    <w:p w14:paraId="21488A69" w14:textId="77777777" w:rsidR="0093605C" w:rsidRDefault="0093605C" w:rsidP="00DB55BE"/>
    <w:p w14:paraId="326EBB7B" w14:textId="082829DF" w:rsidR="005E0707" w:rsidRDefault="00C826C4" w:rsidP="00BE4B22">
      <w:pPr>
        <w:keepNext/>
        <w:rPr>
          <w:rFonts w:ascii="Calibri" w:eastAsia="Calibri" w:hAnsi="Calibri" w:cs="Times New Roman"/>
          <w:iCs/>
          <w:color w:val="000000"/>
          <w:szCs w:val="18"/>
        </w:rPr>
      </w:pPr>
      <w:r w:rsidRPr="00BE4B22">
        <w:rPr>
          <w:rFonts w:ascii="Calibri" w:eastAsia="Calibri" w:hAnsi="Calibri" w:cs="Times New Roman"/>
          <w:iCs/>
          <w:color w:val="000000"/>
          <w:szCs w:val="18"/>
        </w:rPr>
        <w:lastRenderedPageBreak/>
        <w:t>The number of total family households with children under the age of 18 also experienced a similar decrease by an estimated 2% across all counties with Valley</w:t>
      </w:r>
      <w:r w:rsidR="00AF1470">
        <w:rPr>
          <w:rFonts w:ascii="Calibri" w:eastAsia="Calibri" w:hAnsi="Calibri" w:cs="Times New Roman"/>
          <w:iCs/>
          <w:color w:val="000000"/>
          <w:szCs w:val="18"/>
        </w:rPr>
        <w:t xml:space="preserve"> and Sherman</w:t>
      </w:r>
      <w:r w:rsidRPr="00BE4B22">
        <w:rPr>
          <w:rFonts w:ascii="Calibri" w:eastAsia="Calibri" w:hAnsi="Calibri" w:cs="Times New Roman"/>
          <w:iCs/>
          <w:color w:val="000000"/>
          <w:szCs w:val="18"/>
        </w:rPr>
        <w:t xml:space="preserve"> Count</w:t>
      </w:r>
      <w:r w:rsidR="00AF1470">
        <w:rPr>
          <w:rFonts w:ascii="Calibri" w:eastAsia="Calibri" w:hAnsi="Calibri" w:cs="Times New Roman"/>
          <w:iCs/>
          <w:color w:val="000000"/>
          <w:szCs w:val="18"/>
        </w:rPr>
        <w:t>ies showing an estimated</w:t>
      </w:r>
      <w:r w:rsidRPr="00BE4B22">
        <w:rPr>
          <w:rFonts w:ascii="Calibri" w:eastAsia="Calibri" w:hAnsi="Calibri" w:cs="Times New Roman"/>
          <w:iCs/>
          <w:color w:val="000000"/>
          <w:szCs w:val="18"/>
        </w:rPr>
        <w:t xml:space="preserve"> increase</w:t>
      </w:r>
      <w:r w:rsidR="00AF1470">
        <w:rPr>
          <w:rFonts w:ascii="Calibri" w:eastAsia="Calibri" w:hAnsi="Calibri" w:cs="Times New Roman"/>
          <w:iCs/>
          <w:color w:val="000000"/>
          <w:szCs w:val="18"/>
        </w:rPr>
        <w:t>,</w:t>
      </w:r>
      <w:r w:rsidRPr="00BE4B22">
        <w:rPr>
          <w:rFonts w:ascii="Calibri" w:eastAsia="Calibri" w:hAnsi="Calibri" w:cs="Times New Roman"/>
          <w:iCs/>
          <w:color w:val="000000"/>
          <w:szCs w:val="18"/>
        </w:rPr>
        <w:t xml:space="preserve"> </w:t>
      </w:r>
      <w:r w:rsidR="0093605C">
        <w:rPr>
          <w:rFonts w:ascii="Calibri" w:eastAsia="Calibri" w:hAnsi="Calibri" w:cs="Times New Roman"/>
          <w:iCs/>
          <w:color w:val="000000"/>
          <w:szCs w:val="18"/>
        </w:rPr>
        <w:t>while</w:t>
      </w:r>
      <w:r w:rsidRPr="00BE4B22">
        <w:rPr>
          <w:rFonts w:ascii="Calibri" w:eastAsia="Calibri" w:hAnsi="Calibri" w:cs="Times New Roman"/>
          <w:iCs/>
          <w:color w:val="000000"/>
          <w:szCs w:val="18"/>
        </w:rPr>
        <w:t xml:space="preserve"> all other counties </w:t>
      </w:r>
      <w:r w:rsidR="00AF1470">
        <w:rPr>
          <w:rFonts w:ascii="Calibri" w:eastAsia="Calibri" w:hAnsi="Calibri" w:cs="Times New Roman"/>
          <w:iCs/>
          <w:color w:val="000000"/>
          <w:szCs w:val="18"/>
        </w:rPr>
        <w:t>saw</w:t>
      </w:r>
      <w:r w:rsidR="001177C7" w:rsidRPr="00BE4B22">
        <w:rPr>
          <w:rFonts w:ascii="Calibri" w:eastAsia="Calibri" w:hAnsi="Calibri" w:cs="Times New Roman"/>
          <w:iCs/>
          <w:color w:val="000000"/>
          <w:szCs w:val="18"/>
        </w:rPr>
        <w:t xml:space="preserve"> an estimated</w:t>
      </w:r>
      <w:r w:rsidRPr="00BE4B22">
        <w:rPr>
          <w:rFonts w:ascii="Calibri" w:eastAsia="Calibri" w:hAnsi="Calibri" w:cs="Times New Roman"/>
          <w:iCs/>
          <w:color w:val="000000"/>
          <w:szCs w:val="18"/>
        </w:rPr>
        <w:t xml:space="preserve"> </w:t>
      </w:r>
      <w:r w:rsidR="001177C7" w:rsidRPr="00BE4B22">
        <w:rPr>
          <w:rFonts w:ascii="Calibri" w:eastAsia="Calibri" w:hAnsi="Calibri" w:cs="Times New Roman"/>
          <w:iCs/>
          <w:color w:val="000000"/>
          <w:szCs w:val="18"/>
        </w:rPr>
        <w:t>decrease</w:t>
      </w:r>
      <w:r w:rsidR="00BE4B22">
        <w:rPr>
          <w:rFonts w:ascii="Calibri" w:eastAsia="Calibri" w:hAnsi="Calibri" w:cs="Times New Roman"/>
          <w:iCs/>
          <w:color w:val="000000"/>
          <w:szCs w:val="18"/>
        </w:rPr>
        <w:t xml:space="preserve"> (Table 2)</w:t>
      </w:r>
      <w:r w:rsidR="001177C7" w:rsidRPr="00BE4B22">
        <w:rPr>
          <w:rFonts w:ascii="Calibri" w:eastAsia="Calibri" w:hAnsi="Calibri" w:cs="Times New Roman"/>
          <w:iCs/>
          <w:color w:val="000000"/>
          <w:szCs w:val="18"/>
        </w:rPr>
        <w:t xml:space="preserve">. </w:t>
      </w:r>
      <w:r w:rsidRPr="00BE4B22">
        <w:rPr>
          <w:rFonts w:ascii="Calibri" w:eastAsia="Calibri" w:hAnsi="Calibri" w:cs="Times New Roman"/>
          <w:iCs/>
          <w:color w:val="000000"/>
          <w:szCs w:val="18"/>
        </w:rPr>
        <w:t xml:space="preserve"> </w:t>
      </w:r>
    </w:p>
    <w:p w14:paraId="4FE0D0E5" w14:textId="77777777" w:rsidR="00C826C4" w:rsidRPr="006E1CB8" w:rsidRDefault="00C826C4" w:rsidP="00DB55BE">
      <w:pPr>
        <w:rPr>
          <w:sz w:val="20"/>
        </w:rPr>
      </w:pPr>
    </w:p>
    <w:p w14:paraId="7C50788D" w14:textId="76DCED89" w:rsidR="005E0707" w:rsidRPr="006E1CB8" w:rsidRDefault="005E0707" w:rsidP="005E0707">
      <w:pPr>
        <w:keepNext/>
        <w:rPr>
          <w:rFonts w:ascii="Calibri" w:eastAsia="Calibri" w:hAnsi="Calibri" w:cs="Times New Roman"/>
          <w:b/>
          <w:iCs/>
          <w:color w:val="000000"/>
          <w:szCs w:val="18"/>
        </w:rPr>
      </w:pPr>
      <w:r w:rsidRPr="006E1CB8">
        <w:rPr>
          <w:rFonts w:ascii="Calibri" w:eastAsia="Calibri" w:hAnsi="Calibri" w:cs="Times New Roman"/>
          <w:b/>
          <w:iCs/>
          <w:color w:val="000000"/>
          <w:szCs w:val="18"/>
        </w:rPr>
        <w:t>Table 2: Number of family households with children under 18 (2010 and 2017)</w:t>
      </w:r>
      <w:r w:rsidRPr="006E1CB8">
        <w:rPr>
          <w:rFonts w:ascii="Calibri" w:eastAsia="Calibri" w:hAnsi="Calibri" w:cs="Times New Roman"/>
          <w:b/>
          <w:iCs/>
          <w:color w:val="000000"/>
          <w:szCs w:val="18"/>
          <w:vertAlign w:val="superscript"/>
        </w:rPr>
        <w:footnoteReference w:id="2"/>
      </w:r>
    </w:p>
    <w:tbl>
      <w:tblPr>
        <w:tblStyle w:val="GridTable6Colorful-Accent22"/>
        <w:tblW w:w="6201" w:type="dxa"/>
        <w:tblLayout w:type="fixed"/>
        <w:tblLook w:val="04A0" w:firstRow="1" w:lastRow="0" w:firstColumn="1" w:lastColumn="0" w:noHBand="0" w:noVBand="1"/>
      </w:tblPr>
      <w:tblGrid>
        <w:gridCol w:w="1795"/>
        <w:gridCol w:w="1440"/>
        <w:gridCol w:w="1483"/>
        <w:gridCol w:w="1483"/>
      </w:tblGrid>
      <w:tr w:rsidR="00972AC8" w:rsidRPr="005E0707" w14:paraId="10442CBC" w14:textId="77777777" w:rsidTr="00393BE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362DAFD6" w14:textId="77777777" w:rsidR="00972AC8" w:rsidRPr="005E0707" w:rsidRDefault="00972AC8" w:rsidP="00972AC8">
            <w:pPr>
              <w:jc w:val="center"/>
              <w:rPr>
                <w:rFonts w:ascii="Calibri" w:eastAsia="Times New Roman" w:hAnsi="Calibri" w:cs="Times New Roman"/>
                <w:color w:val="000000"/>
                <w:szCs w:val="24"/>
              </w:rPr>
            </w:pPr>
          </w:p>
        </w:tc>
        <w:tc>
          <w:tcPr>
            <w:tcW w:w="1440" w:type="dxa"/>
            <w:noWrap/>
            <w:vAlign w:val="bottom"/>
          </w:tcPr>
          <w:p w14:paraId="11BF6CE7" w14:textId="65375381" w:rsidR="00972AC8" w:rsidRPr="005E0707" w:rsidRDefault="00972AC8" w:rsidP="00972A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2010</w:t>
            </w:r>
          </w:p>
        </w:tc>
        <w:tc>
          <w:tcPr>
            <w:tcW w:w="1483" w:type="dxa"/>
            <w:noWrap/>
            <w:vAlign w:val="bottom"/>
          </w:tcPr>
          <w:p w14:paraId="77C18A52" w14:textId="168B576E" w:rsidR="00972AC8" w:rsidRPr="005E0707" w:rsidRDefault="00972AC8" w:rsidP="00972A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2017</w:t>
            </w:r>
          </w:p>
        </w:tc>
        <w:tc>
          <w:tcPr>
            <w:tcW w:w="1483" w:type="dxa"/>
          </w:tcPr>
          <w:p w14:paraId="56E452AA" w14:textId="77777777" w:rsidR="00972AC8" w:rsidRPr="005E0707" w:rsidRDefault="00972AC8" w:rsidP="00972A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Percent change</w:t>
            </w:r>
          </w:p>
        </w:tc>
      </w:tr>
      <w:tr w:rsidR="005E0707" w:rsidRPr="005E0707" w14:paraId="09DC427F" w14:textId="77777777" w:rsidTr="005E07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2274EE22" w14:textId="77777777" w:rsidR="005E0707" w:rsidRPr="005E0707" w:rsidRDefault="005E0707" w:rsidP="005E0707">
            <w:pPr>
              <w:rPr>
                <w:rFonts w:ascii="Calibri" w:eastAsia="Times New Roman" w:hAnsi="Calibri" w:cs="Times New Roman"/>
                <w:color w:val="000000"/>
                <w:szCs w:val="24"/>
              </w:rPr>
            </w:pPr>
            <w:r w:rsidRPr="005E0707">
              <w:rPr>
                <w:rFonts w:ascii="Calibri" w:eastAsia="Times New Roman" w:hAnsi="Calibri" w:cs="Times New Roman"/>
                <w:color w:val="000000"/>
                <w:szCs w:val="24"/>
              </w:rPr>
              <w:t>Blaine</w:t>
            </w:r>
          </w:p>
        </w:tc>
        <w:tc>
          <w:tcPr>
            <w:tcW w:w="1440" w:type="dxa"/>
            <w:noWrap/>
          </w:tcPr>
          <w:p w14:paraId="7AE04CEA" w14:textId="77777777" w:rsidR="005E0707" w:rsidRPr="005E0707" w:rsidRDefault="005E0707" w:rsidP="005E07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52</w:t>
            </w:r>
          </w:p>
        </w:tc>
        <w:tc>
          <w:tcPr>
            <w:tcW w:w="1483" w:type="dxa"/>
            <w:noWrap/>
          </w:tcPr>
          <w:p w14:paraId="09F3A08D" w14:textId="77777777" w:rsidR="005E0707" w:rsidRPr="005E0707" w:rsidRDefault="005E0707" w:rsidP="005E07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47</w:t>
            </w:r>
          </w:p>
        </w:tc>
        <w:tc>
          <w:tcPr>
            <w:tcW w:w="1483" w:type="dxa"/>
          </w:tcPr>
          <w:p w14:paraId="6262F84B" w14:textId="77777777" w:rsidR="005E0707" w:rsidRPr="005E0707" w:rsidRDefault="005E0707" w:rsidP="005E07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-9.6%</w:t>
            </w:r>
          </w:p>
        </w:tc>
      </w:tr>
      <w:tr w:rsidR="005E0707" w:rsidRPr="005E0707" w14:paraId="07316525" w14:textId="77777777" w:rsidTr="00393BEA">
        <w:trPr>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61EFAF2B" w14:textId="77777777" w:rsidR="005E0707" w:rsidRPr="005E0707" w:rsidRDefault="005E0707" w:rsidP="005E0707">
            <w:pPr>
              <w:rPr>
                <w:rFonts w:ascii="Calibri" w:eastAsia="Times New Roman" w:hAnsi="Calibri" w:cs="Times New Roman"/>
                <w:color w:val="000000"/>
                <w:szCs w:val="24"/>
              </w:rPr>
            </w:pPr>
            <w:r w:rsidRPr="005E0707">
              <w:rPr>
                <w:rFonts w:ascii="Calibri" w:eastAsia="Times New Roman" w:hAnsi="Calibri" w:cs="Times New Roman"/>
                <w:color w:val="000000"/>
                <w:szCs w:val="24"/>
              </w:rPr>
              <w:t xml:space="preserve">Custer </w:t>
            </w:r>
          </w:p>
        </w:tc>
        <w:tc>
          <w:tcPr>
            <w:tcW w:w="1440" w:type="dxa"/>
            <w:noWrap/>
          </w:tcPr>
          <w:p w14:paraId="431FE4D4" w14:textId="77777777" w:rsidR="005E0707" w:rsidRPr="005E0707" w:rsidRDefault="005E0707" w:rsidP="005E07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1,319</w:t>
            </w:r>
          </w:p>
        </w:tc>
        <w:tc>
          <w:tcPr>
            <w:tcW w:w="1483" w:type="dxa"/>
            <w:noWrap/>
          </w:tcPr>
          <w:p w14:paraId="399A7B8C" w14:textId="77777777" w:rsidR="005E0707" w:rsidRPr="005E0707" w:rsidRDefault="005E0707" w:rsidP="005E07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1,274</w:t>
            </w:r>
          </w:p>
        </w:tc>
        <w:tc>
          <w:tcPr>
            <w:tcW w:w="1483" w:type="dxa"/>
          </w:tcPr>
          <w:p w14:paraId="76827E3A" w14:textId="77777777" w:rsidR="005E0707" w:rsidRPr="005E0707" w:rsidRDefault="005E0707" w:rsidP="005E07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-3.4%</w:t>
            </w:r>
          </w:p>
        </w:tc>
      </w:tr>
      <w:tr w:rsidR="005E0707" w:rsidRPr="005E0707" w14:paraId="474860D2" w14:textId="77777777" w:rsidTr="005E07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0D01E97A" w14:textId="77777777" w:rsidR="005E0707" w:rsidRPr="005E0707" w:rsidRDefault="005E0707" w:rsidP="005E0707">
            <w:pPr>
              <w:rPr>
                <w:rFonts w:ascii="Calibri" w:eastAsia="Times New Roman" w:hAnsi="Calibri" w:cs="Times New Roman"/>
                <w:color w:val="000000"/>
                <w:szCs w:val="24"/>
              </w:rPr>
            </w:pPr>
            <w:r w:rsidRPr="005E0707">
              <w:rPr>
                <w:rFonts w:ascii="Calibri" w:eastAsia="Times New Roman" w:hAnsi="Calibri" w:cs="Times New Roman"/>
                <w:color w:val="000000"/>
                <w:szCs w:val="24"/>
              </w:rPr>
              <w:t>Garfield</w:t>
            </w:r>
          </w:p>
        </w:tc>
        <w:tc>
          <w:tcPr>
            <w:tcW w:w="1440" w:type="dxa"/>
            <w:noWrap/>
          </w:tcPr>
          <w:p w14:paraId="1D66A72B" w14:textId="77777777" w:rsidR="005E0707" w:rsidRPr="005E0707" w:rsidRDefault="005E0707" w:rsidP="005E07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254</w:t>
            </w:r>
          </w:p>
        </w:tc>
        <w:tc>
          <w:tcPr>
            <w:tcW w:w="1483" w:type="dxa"/>
            <w:noWrap/>
          </w:tcPr>
          <w:p w14:paraId="0627D8CB" w14:textId="77777777" w:rsidR="005E0707" w:rsidRPr="005E0707" w:rsidRDefault="005E0707" w:rsidP="005E07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198</w:t>
            </w:r>
          </w:p>
        </w:tc>
        <w:tc>
          <w:tcPr>
            <w:tcW w:w="1483" w:type="dxa"/>
          </w:tcPr>
          <w:p w14:paraId="41B491C1" w14:textId="77777777" w:rsidR="005E0707" w:rsidRPr="005E0707" w:rsidRDefault="005E0707" w:rsidP="005E07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-22.0%</w:t>
            </w:r>
          </w:p>
        </w:tc>
      </w:tr>
      <w:tr w:rsidR="005E0707" w:rsidRPr="005E0707" w14:paraId="3506518A" w14:textId="77777777" w:rsidTr="00393BEA">
        <w:trPr>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3EB72B9C" w14:textId="77777777" w:rsidR="005E0707" w:rsidRPr="005E0707" w:rsidRDefault="005E0707" w:rsidP="005E0707">
            <w:pPr>
              <w:rPr>
                <w:rFonts w:ascii="Calibri" w:eastAsia="Times New Roman" w:hAnsi="Calibri" w:cs="Times New Roman"/>
                <w:color w:val="000000"/>
                <w:szCs w:val="24"/>
              </w:rPr>
            </w:pPr>
            <w:r w:rsidRPr="005E0707">
              <w:rPr>
                <w:rFonts w:ascii="Calibri" w:eastAsia="Times New Roman" w:hAnsi="Calibri" w:cs="Times New Roman"/>
                <w:color w:val="000000"/>
                <w:szCs w:val="24"/>
              </w:rPr>
              <w:t xml:space="preserve">Greeley </w:t>
            </w:r>
          </w:p>
        </w:tc>
        <w:tc>
          <w:tcPr>
            <w:tcW w:w="1440" w:type="dxa"/>
            <w:noWrap/>
          </w:tcPr>
          <w:p w14:paraId="1410D8EA" w14:textId="77777777" w:rsidR="005E0707" w:rsidRPr="005E0707" w:rsidRDefault="005E0707" w:rsidP="005E07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280</w:t>
            </w:r>
          </w:p>
        </w:tc>
        <w:tc>
          <w:tcPr>
            <w:tcW w:w="1483" w:type="dxa"/>
            <w:noWrap/>
          </w:tcPr>
          <w:p w14:paraId="655E494B" w14:textId="77777777" w:rsidR="005E0707" w:rsidRPr="005E0707" w:rsidRDefault="005E0707" w:rsidP="005E07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264</w:t>
            </w:r>
          </w:p>
        </w:tc>
        <w:tc>
          <w:tcPr>
            <w:tcW w:w="1483" w:type="dxa"/>
          </w:tcPr>
          <w:p w14:paraId="6D2EBC9A" w14:textId="77777777" w:rsidR="005E0707" w:rsidRPr="005E0707" w:rsidRDefault="005E0707" w:rsidP="005E07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-5.7%</w:t>
            </w:r>
          </w:p>
        </w:tc>
      </w:tr>
      <w:tr w:rsidR="005E0707" w:rsidRPr="005E0707" w14:paraId="7CCDE96D" w14:textId="77777777" w:rsidTr="005E07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4E72DCB2" w14:textId="77777777" w:rsidR="005E0707" w:rsidRPr="005E0707" w:rsidRDefault="005E0707" w:rsidP="005E0707">
            <w:pPr>
              <w:rPr>
                <w:rFonts w:ascii="Calibri" w:eastAsia="Times New Roman" w:hAnsi="Calibri" w:cs="Times New Roman"/>
                <w:color w:val="000000"/>
                <w:szCs w:val="24"/>
              </w:rPr>
            </w:pPr>
            <w:r w:rsidRPr="005E0707">
              <w:rPr>
                <w:rFonts w:ascii="Calibri" w:eastAsia="Times New Roman" w:hAnsi="Calibri" w:cs="Times New Roman"/>
                <w:color w:val="000000"/>
                <w:szCs w:val="24"/>
              </w:rPr>
              <w:t>Loup</w:t>
            </w:r>
          </w:p>
        </w:tc>
        <w:tc>
          <w:tcPr>
            <w:tcW w:w="1440" w:type="dxa"/>
            <w:noWrap/>
          </w:tcPr>
          <w:p w14:paraId="27897008" w14:textId="77777777" w:rsidR="005E0707" w:rsidRPr="005E0707" w:rsidRDefault="005E0707" w:rsidP="005E07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62</w:t>
            </w:r>
          </w:p>
        </w:tc>
        <w:tc>
          <w:tcPr>
            <w:tcW w:w="1483" w:type="dxa"/>
            <w:noWrap/>
          </w:tcPr>
          <w:p w14:paraId="5E9BB4CD" w14:textId="77777777" w:rsidR="005E0707" w:rsidRPr="005E0707" w:rsidRDefault="005E0707" w:rsidP="005E07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51</w:t>
            </w:r>
          </w:p>
        </w:tc>
        <w:tc>
          <w:tcPr>
            <w:tcW w:w="1483" w:type="dxa"/>
          </w:tcPr>
          <w:p w14:paraId="16740AC5" w14:textId="77777777" w:rsidR="005E0707" w:rsidRPr="005E0707" w:rsidRDefault="005E0707" w:rsidP="005E07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-17.7%</w:t>
            </w:r>
          </w:p>
        </w:tc>
      </w:tr>
      <w:tr w:rsidR="005E0707" w:rsidRPr="005E0707" w14:paraId="180318EE" w14:textId="77777777" w:rsidTr="00393BEA">
        <w:trPr>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0280EDD7" w14:textId="77777777" w:rsidR="005E0707" w:rsidRPr="005E0707" w:rsidRDefault="005E0707" w:rsidP="005E0707">
            <w:pPr>
              <w:rPr>
                <w:rFonts w:ascii="Calibri" w:eastAsia="Times New Roman" w:hAnsi="Calibri" w:cs="Times New Roman"/>
                <w:color w:val="000000"/>
                <w:szCs w:val="24"/>
              </w:rPr>
            </w:pPr>
            <w:r w:rsidRPr="005E0707">
              <w:rPr>
                <w:rFonts w:ascii="Calibri" w:eastAsia="Times New Roman" w:hAnsi="Calibri" w:cs="Times New Roman"/>
                <w:color w:val="000000"/>
                <w:szCs w:val="24"/>
              </w:rPr>
              <w:t xml:space="preserve">Sherman </w:t>
            </w:r>
          </w:p>
        </w:tc>
        <w:tc>
          <w:tcPr>
            <w:tcW w:w="1440" w:type="dxa"/>
            <w:noWrap/>
          </w:tcPr>
          <w:p w14:paraId="273112AB" w14:textId="77777777" w:rsidR="005E0707" w:rsidRPr="005E0707" w:rsidRDefault="005E0707" w:rsidP="005E07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314</w:t>
            </w:r>
          </w:p>
        </w:tc>
        <w:tc>
          <w:tcPr>
            <w:tcW w:w="1483" w:type="dxa"/>
            <w:noWrap/>
          </w:tcPr>
          <w:p w14:paraId="20A6017E" w14:textId="77777777" w:rsidR="005E0707" w:rsidRPr="005E0707" w:rsidRDefault="005E0707" w:rsidP="005E07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317</w:t>
            </w:r>
          </w:p>
        </w:tc>
        <w:tc>
          <w:tcPr>
            <w:tcW w:w="1483" w:type="dxa"/>
          </w:tcPr>
          <w:p w14:paraId="1B940150" w14:textId="77777777" w:rsidR="005E0707" w:rsidRPr="005E0707" w:rsidRDefault="005E0707" w:rsidP="005E07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1.0%</w:t>
            </w:r>
          </w:p>
        </w:tc>
      </w:tr>
      <w:tr w:rsidR="005E0707" w:rsidRPr="005E0707" w14:paraId="10A48F8B" w14:textId="77777777" w:rsidTr="005E07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49E02526" w14:textId="77777777" w:rsidR="005E0707" w:rsidRPr="005E0707" w:rsidRDefault="005E0707" w:rsidP="005E0707">
            <w:pPr>
              <w:rPr>
                <w:rFonts w:ascii="Calibri" w:eastAsia="Times New Roman" w:hAnsi="Calibri" w:cs="Times New Roman"/>
                <w:color w:val="000000"/>
                <w:szCs w:val="24"/>
              </w:rPr>
            </w:pPr>
            <w:r w:rsidRPr="005E0707">
              <w:rPr>
                <w:rFonts w:ascii="Calibri" w:eastAsia="Times New Roman" w:hAnsi="Calibri" w:cs="Times New Roman"/>
                <w:color w:val="000000"/>
                <w:szCs w:val="24"/>
              </w:rPr>
              <w:t>Valley</w:t>
            </w:r>
          </w:p>
        </w:tc>
        <w:tc>
          <w:tcPr>
            <w:tcW w:w="1440" w:type="dxa"/>
            <w:noWrap/>
          </w:tcPr>
          <w:p w14:paraId="36FDEF9B" w14:textId="77777777" w:rsidR="005E0707" w:rsidRPr="005E0707" w:rsidRDefault="005E0707" w:rsidP="005E07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452</w:t>
            </w:r>
          </w:p>
        </w:tc>
        <w:tc>
          <w:tcPr>
            <w:tcW w:w="1483" w:type="dxa"/>
            <w:noWrap/>
          </w:tcPr>
          <w:p w14:paraId="46DDEE1E" w14:textId="77777777" w:rsidR="005E0707" w:rsidRPr="005E0707" w:rsidRDefault="005E0707" w:rsidP="005E07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544</w:t>
            </w:r>
          </w:p>
        </w:tc>
        <w:tc>
          <w:tcPr>
            <w:tcW w:w="1483" w:type="dxa"/>
          </w:tcPr>
          <w:p w14:paraId="4B04C273" w14:textId="77777777" w:rsidR="005E0707" w:rsidRPr="005E0707" w:rsidRDefault="005E0707" w:rsidP="005E07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20.4%</w:t>
            </w:r>
          </w:p>
        </w:tc>
      </w:tr>
      <w:tr w:rsidR="005E0707" w:rsidRPr="005E0707" w14:paraId="122AAF86" w14:textId="77777777" w:rsidTr="00393BEA">
        <w:trPr>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14239234" w14:textId="77777777" w:rsidR="005E0707" w:rsidRPr="005E0707" w:rsidRDefault="005E0707" w:rsidP="005E0707">
            <w:pPr>
              <w:rPr>
                <w:rFonts w:ascii="Calibri" w:eastAsia="Times New Roman" w:hAnsi="Calibri" w:cs="Times New Roman"/>
                <w:color w:val="000000"/>
                <w:szCs w:val="24"/>
              </w:rPr>
            </w:pPr>
            <w:r w:rsidRPr="005E0707">
              <w:rPr>
                <w:rFonts w:ascii="Calibri" w:eastAsia="Times New Roman" w:hAnsi="Calibri" w:cs="Times New Roman"/>
                <w:color w:val="000000"/>
                <w:szCs w:val="24"/>
              </w:rPr>
              <w:t xml:space="preserve">Wheeler </w:t>
            </w:r>
          </w:p>
        </w:tc>
        <w:tc>
          <w:tcPr>
            <w:tcW w:w="1440" w:type="dxa"/>
            <w:noWrap/>
          </w:tcPr>
          <w:p w14:paraId="33AC8C0A" w14:textId="77777777" w:rsidR="005E0707" w:rsidRPr="005E0707" w:rsidRDefault="005E0707" w:rsidP="005E07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81</w:t>
            </w:r>
          </w:p>
        </w:tc>
        <w:tc>
          <w:tcPr>
            <w:tcW w:w="1483" w:type="dxa"/>
            <w:noWrap/>
          </w:tcPr>
          <w:p w14:paraId="7D85297B" w14:textId="77777777" w:rsidR="005E0707" w:rsidRPr="005E0707" w:rsidRDefault="005E0707" w:rsidP="005E07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66</w:t>
            </w:r>
          </w:p>
        </w:tc>
        <w:tc>
          <w:tcPr>
            <w:tcW w:w="1483" w:type="dxa"/>
          </w:tcPr>
          <w:p w14:paraId="78954951" w14:textId="77777777" w:rsidR="005E0707" w:rsidRPr="005E0707" w:rsidRDefault="005E0707" w:rsidP="005E07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-18.5%</w:t>
            </w:r>
          </w:p>
        </w:tc>
      </w:tr>
      <w:tr w:rsidR="005E0707" w:rsidRPr="005E0707" w14:paraId="0C7F30D2" w14:textId="77777777" w:rsidTr="005E07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noWrap/>
          </w:tcPr>
          <w:p w14:paraId="0A9C6E57" w14:textId="77777777" w:rsidR="005E0707" w:rsidRPr="005E0707" w:rsidRDefault="005E0707" w:rsidP="005E0707">
            <w:pPr>
              <w:rPr>
                <w:rFonts w:ascii="Calibri" w:eastAsia="Times New Roman" w:hAnsi="Calibri" w:cs="Times New Roman"/>
                <w:color w:val="000000"/>
                <w:szCs w:val="24"/>
              </w:rPr>
            </w:pPr>
            <w:r w:rsidRPr="005E0707">
              <w:rPr>
                <w:rFonts w:ascii="Calibri" w:eastAsia="Times New Roman" w:hAnsi="Calibri" w:cs="Times New Roman"/>
                <w:color w:val="000000"/>
                <w:szCs w:val="24"/>
              </w:rPr>
              <w:t xml:space="preserve">8-County Total </w:t>
            </w:r>
          </w:p>
        </w:tc>
        <w:tc>
          <w:tcPr>
            <w:tcW w:w="1440" w:type="dxa"/>
            <w:noWrap/>
          </w:tcPr>
          <w:p w14:paraId="2E41BE19" w14:textId="77777777" w:rsidR="005E0707" w:rsidRPr="005E0707" w:rsidRDefault="005E0707" w:rsidP="005E07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5E0707">
              <w:rPr>
                <w:rFonts w:ascii="Calibri" w:eastAsia="Times New Roman" w:hAnsi="Calibri" w:cs="Times New Roman"/>
                <w:b/>
                <w:color w:val="000000"/>
                <w:szCs w:val="24"/>
              </w:rPr>
              <w:fldChar w:fldCharType="begin"/>
            </w:r>
            <w:r w:rsidRPr="005E0707">
              <w:rPr>
                <w:rFonts w:ascii="Calibri" w:eastAsia="Times New Roman" w:hAnsi="Calibri" w:cs="Times New Roman"/>
                <w:b/>
                <w:color w:val="000000"/>
                <w:szCs w:val="24"/>
              </w:rPr>
              <w:instrText xml:space="preserve"> =SUM(ABOVE) </w:instrText>
            </w:r>
            <w:r w:rsidRPr="005E0707">
              <w:rPr>
                <w:rFonts w:ascii="Calibri" w:eastAsia="Times New Roman" w:hAnsi="Calibri" w:cs="Times New Roman"/>
                <w:b/>
                <w:color w:val="000000"/>
                <w:szCs w:val="24"/>
              </w:rPr>
              <w:fldChar w:fldCharType="separate"/>
            </w:r>
            <w:r w:rsidRPr="005E0707">
              <w:rPr>
                <w:rFonts w:ascii="Calibri" w:eastAsia="Times New Roman" w:hAnsi="Calibri" w:cs="Times New Roman"/>
                <w:b/>
                <w:noProof/>
                <w:color w:val="000000"/>
                <w:szCs w:val="24"/>
              </w:rPr>
              <w:t>2,814</w:t>
            </w:r>
            <w:r w:rsidRPr="005E0707">
              <w:rPr>
                <w:rFonts w:ascii="Calibri" w:eastAsia="Times New Roman" w:hAnsi="Calibri" w:cs="Times New Roman"/>
                <w:b/>
                <w:color w:val="000000"/>
                <w:szCs w:val="24"/>
              </w:rPr>
              <w:fldChar w:fldCharType="end"/>
            </w:r>
          </w:p>
        </w:tc>
        <w:tc>
          <w:tcPr>
            <w:tcW w:w="1483" w:type="dxa"/>
            <w:noWrap/>
          </w:tcPr>
          <w:p w14:paraId="2B268B4B" w14:textId="77777777" w:rsidR="005E0707" w:rsidRPr="005E0707" w:rsidRDefault="005E0707" w:rsidP="005E07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5E0707">
              <w:rPr>
                <w:rFonts w:ascii="Calibri" w:eastAsia="Times New Roman" w:hAnsi="Calibri" w:cs="Times New Roman"/>
                <w:b/>
                <w:color w:val="000000"/>
                <w:szCs w:val="24"/>
              </w:rPr>
              <w:fldChar w:fldCharType="begin"/>
            </w:r>
            <w:r w:rsidRPr="005E0707">
              <w:rPr>
                <w:rFonts w:ascii="Calibri" w:eastAsia="Times New Roman" w:hAnsi="Calibri" w:cs="Times New Roman"/>
                <w:b/>
                <w:color w:val="000000"/>
                <w:szCs w:val="24"/>
              </w:rPr>
              <w:instrText xml:space="preserve"> =SUM(ABOVE) </w:instrText>
            </w:r>
            <w:r w:rsidRPr="005E0707">
              <w:rPr>
                <w:rFonts w:ascii="Calibri" w:eastAsia="Times New Roman" w:hAnsi="Calibri" w:cs="Times New Roman"/>
                <w:b/>
                <w:color w:val="000000"/>
                <w:szCs w:val="24"/>
              </w:rPr>
              <w:fldChar w:fldCharType="separate"/>
            </w:r>
            <w:r w:rsidRPr="005E0707">
              <w:rPr>
                <w:rFonts w:ascii="Calibri" w:eastAsia="Times New Roman" w:hAnsi="Calibri" w:cs="Times New Roman"/>
                <w:b/>
                <w:noProof/>
                <w:color w:val="000000"/>
                <w:szCs w:val="24"/>
              </w:rPr>
              <w:t>2,761</w:t>
            </w:r>
            <w:r w:rsidRPr="005E0707">
              <w:rPr>
                <w:rFonts w:ascii="Calibri" w:eastAsia="Times New Roman" w:hAnsi="Calibri" w:cs="Times New Roman"/>
                <w:b/>
                <w:color w:val="000000"/>
                <w:szCs w:val="24"/>
              </w:rPr>
              <w:fldChar w:fldCharType="end"/>
            </w:r>
          </w:p>
        </w:tc>
        <w:tc>
          <w:tcPr>
            <w:tcW w:w="1483" w:type="dxa"/>
          </w:tcPr>
          <w:p w14:paraId="00BA774B" w14:textId="77777777" w:rsidR="005E0707" w:rsidRPr="005E0707" w:rsidRDefault="005E0707" w:rsidP="005E07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5E0707">
              <w:rPr>
                <w:rFonts w:ascii="Calibri" w:eastAsia="Times New Roman" w:hAnsi="Calibri" w:cs="Times New Roman"/>
                <w:b/>
                <w:color w:val="000000"/>
                <w:szCs w:val="24"/>
              </w:rPr>
              <w:t>-1.9%</w:t>
            </w:r>
          </w:p>
        </w:tc>
      </w:tr>
      <w:tr w:rsidR="005E0707" w:rsidRPr="005E0707" w14:paraId="795D2809" w14:textId="77777777" w:rsidTr="00393BEA">
        <w:trPr>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0680A117" w14:textId="77777777" w:rsidR="005E0707" w:rsidRPr="005E0707" w:rsidRDefault="005E0707" w:rsidP="005E0707">
            <w:pPr>
              <w:rPr>
                <w:rFonts w:ascii="Calibri" w:eastAsia="Times New Roman" w:hAnsi="Calibri" w:cs="Times New Roman"/>
                <w:color w:val="000000"/>
                <w:szCs w:val="24"/>
              </w:rPr>
            </w:pPr>
            <w:r w:rsidRPr="005E0707">
              <w:rPr>
                <w:rFonts w:ascii="Calibri" w:eastAsia="Times New Roman" w:hAnsi="Calibri" w:cs="Times New Roman"/>
                <w:color w:val="000000"/>
                <w:szCs w:val="24"/>
              </w:rPr>
              <w:t>Nebraska</w:t>
            </w:r>
          </w:p>
        </w:tc>
        <w:tc>
          <w:tcPr>
            <w:tcW w:w="1440" w:type="dxa"/>
            <w:noWrap/>
          </w:tcPr>
          <w:p w14:paraId="0FB0A233" w14:textId="77777777" w:rsidR="005E0707" w:rsidRPr="005E0707" w:rsidRDefault="005E0707" w:rsidP="005E07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217,081</w:t>
            </w:r>
          </w:p>
        </w:tc>
        <w:tc>
          <w:tcPr>
            <w:tcW w:w="1483" w:type="dxa"/>
            <w:noWrap/>
          </w:tcPr>
          <w:p w14:paraId="064B2827" w14:textId="77777777" w:rsidR="005E0707" w:rsidRPr="005E0707" w:rsidRDefault="005E0707" w:rsidP="005E07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219,928</w:t>
            </w:r>
          </w:p>
        </w:tc>
        <w:tc>
          <w:tcPr>
            <w:tcW w:w="1483" w:type="dxa"/>
          </w:tcPr>
          <w:p w14:paraId="0C50230C" w14:textId="77777777" w:rsidR="005E0707" w:rsidRPr="005E0707" w:rsidRDefault="005E0707" w:rsidP="005E07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5E0707">
              <w:rPr>
                <w:rFonts w:ascii="Calibri" w:eastAsia="Times New Roman" w:hAnsi="Calibri" w:cs="Times New Roman"/>
                <w:color w:val="000000"/>
                <w:szCs w:val="24"/>
              </w:rPr>
              <w:t>1.3%</w:t>
            </w:r>
          </w:p>
        </w:tc>
      </w:tr>
    </w:tbl>
    <w:p w14:paraId="601F7205" w14:textId="6B3A6F2B" w:rsidR="005E0707" w:rsidRDefault="005E0707" w:rsidP="00DB55BE"/>
    <w:p w14:paraId="4DF31780" w14:textId="3ED02E48" w:rsidR="00BE4B22" w:rsidRPr="00C826C4" w:rsidRDefault="00BE4B22" w:rsidP="00BE4B22">
      <w:pPr>
        <w:pStyle w:val="Heading2"/>
        <w:pBdr>
          <w:bottom w:val="single" w:sz="4" w:space="1" w:color="auto"/>
        </w:pBdr>
        <w:rPr>
          <w:b/>
          <w:color w:val="auto"/>
        </w:rPr>
      </w:pPr>
      <w:bookmarkStart w:id="3" w:name="_Toc4894036"/>
      <w:r>
        <w:rPr>
          <w:b/>
          <w:color w:val="auto"/>
        </w:rPr>
        <w:t>Poverty</w:t>
      </w:r>
    </w:p>
    <w:p w14:paraId="4B1E743B" w14:textId="77777777" w:rsidR="00BE4B22" w:rsidRDefault="00BE4B22" w:rsidP="00390229">
      <w:pPr>
        <w:keepNext/>
        <w:rPr>
          <w:rFonts w:ascii="Calibri" w:eastAsia="Calibri" w:hAnsi="Calibri" w:cs="Arial"/>
          <w:iCs/>
          <w:color w:val="000000"/>
          <w:sz w:val="22"/>
          <w:szCs w:val="28"/>
        </w:rPr>
      </w:pPr>
    </w:p>
    <w:p w14:paraId="5C25F2D8" w14:textId="20990831" w:rsidR="00D7101C" w:rsidRPr="00390229" w:rsidRDefault="00556A1C" w:rsidP="00D7101C">
      <w:pPr>
        <w:keepNext/>
        <w:rPr>
          <w:rFonts w:ascii="Calibri" w:eastAsia="Calibri" w:hAnsi="Calibri" w:cs="Arial"/>
          <w:iCs/>
          <w:color w:val="000000"/>
          <w:sz w:val="22"/>
          <w:szCs w:val="28"/>
        </w:rPr>
      </w:pPr>
      <w:r>
        <w:rPr>
          <w:rFonts w:ascii="Calibri" w:eastAsia="Calibri" w:hAnsi="Calibri" w:cs="Arial"/>
          <w:iCs/>
          <w:color w:val="000000"/>
          <w:sz w:val="22"/>
          <w:szCs w:val="28"/>
        </w:rPr>
        <w:t>While poverty levels were higher than the state in 2012</w:t>
      </w:r>
      <w:r w:rsidR="00D7101C">
        <w:rPr>
          <w:rFonts w:ascii="Calibri" w:eastAsia="Calibri" w:hAnsi="Calibri" w:cs="Arial"/>
          <w:iCs/>
          <w:color w:val="000000"/>
          <w:sz w:val="22"/>
          <w:szCs w:val="28"/>
        </w:rPr>
        <w:t xml:space="preserve"> in most counties</w:t>
      </w:r>
      <w:r>
        <w:rPr>
          <w:rFonts w:ascii="Calibri" w:eastAsia="Calibri" w:hAnsi="Calibri" w:cs="Arial"/>
          <w:iCs/>
          <w:color w:val="000000"/>
          <w:sz w:val="22"/>
          <w:szCs w:val="28"/>
        </w:rPr>
        <w:t xml:space="preserve">, by 2017, poverty levels </w:t>
      </w:r>
      <w:r w:rsidR="00D7101C">
        <w:rPr>
          <w:rFonts w:ascii="Calibri" w:eastAsia="Calibri" w:hAnsi="Calibri" w:cs="Arial"/>
          <w:iCs/>
          <w:color w:val="000000"/>
          <w:sz w:val="22"/>
          <w:szCs w:val="28"/>
        </w:rPr>
        <w:t>were</w:t>
      </w:r>
      <w:r>
        <w:rPr>
          <w:rFonts w:ascii="Calibri" w:eastAsia="Calibri" w:hAnsi="Calibri" w:cs="Arial"/>
          <w:iCs/>
          <w:color w:val="000000"/>
          <w:sz w:val="22"/>
          <w:szCs w:val="28"/>
        </w:rPr>
        <w:t xml:space="preserve"> lower in all eight counties by 2017</w:t>
      </w:r>
      <w:r w:rsidR="00AF1470">
        <w:rPr>
          <w:rFonts w:ascii="Calibri" w:eastAsia="Calibri" w:hAnsi="Calibri" w:cs="Arial"/>
          <w:iCs/>
          <w:color w:val="000000"/>
          <w:sz w:val="22"/>
          <w:szCs w:val="28"/>
        </w:rPr>
        <w:t xml:space="preserve">. </w:t>
      </w:r>
      <w:r w:rsidR="00D7101C">
        <w:rPr>
          <w:rFonts w:ascii="Calibri" w:eastAsia="Calibri" w:hAnsi="Calibri" w:cs="Arial"/>
          <w:iCs/>
          <w:color w:val="000000"/>
          <w:sz w:val="22"/>
          <w:szCs w:val="28"/>
        </w:rPr>
        <w:t>Over the six years</w:t>
      </w:r>
      <w:r w:rsidR="00AF1470">
        <w:rPr>
          <w:rFonts w:ascii="Calibri" w:eastAsia="Calibri" w:hAnsi="Calibri" w:cs="Arial"/>
          <w:iCs/>
          <w:color w:val="000000"/>
          <w:sz w:val="22"/>
          <w:szCs w:val="28"/>
        </w:rPr>
        <w:t xml:space="preserve"> of 2012 to 2017</w:t>
      </w:r>
      <w:r w:rsidR="00D7101C">
        <w:rPr>
          <w:rFonts w:ascii="Calibri" w:eastAsia="Calibri" w:hAnsi="Calibri" w:cs="Arial"/>
          <w:iCs/>
          <w:color w:val="000000"/>
          <w:sz w:val="22"/>
          <w:szCs w:val="28"/>
        </w:rPr>
        <w:t>, Blaine, Loup, Sherman and Valley experienced more years of higher poverty rates</w:t>
      </w:r>
      <w:r w:rsidR="00AF1470">
        <w:rPr>
          <w:rFonts w:ascii="Calibri" w:eastAsia="Calibri" w:hAnsi="Calibri" w:cs="Arial"/>
          <w:iCs/>
          <w:color w:val="000000"/>
          <w:sz w:val="22"/>
          <w:szCs w:val="28"/>
        </w:rPr>
        <w:t xml:space="preserve"> than the state (Table 3)</w:t>
      </w:r>
      <w:r w:rsidR="00D7101C">
        <w:rPr>
          <w:rFonts w:ascii="Calibri" w:eastAsia="Calibri" w:hAnsi="Calibri" w:cs="Arial"/>
          <w:iCs/>
          <w:color w:val="000000"/>
          <w:sz w:val="22"/>
          <w:szCs w:val="28"/>
        </w:rPr>
        <w:t>. However, please note that d</w:t>
      </w:r>
      <w:r w:rsidR="00D7101C" w:rsidRPr="00390229">
        <w:rPr>
          <w:rFonts w:ascii="Calibri" w:eastAsia="Calibri" w:hAnsi="Calibri" w:cs="Arial"/>
          <w:iCs/>
          <w:color w:val="000000"/>
          <w:sz w:val="22"/>
          <w:szCs w:val="28"/>
        </w:rPr>
        <w:t>ata on poverty fluctuate dramatically due to a wide margin of error in the data source (U.S. Census Bureau’s American Community Survey).</w:t>
      </w:r>
    </w:p>
    <w:p w14:paraId="3BA17FC4" w14:textId="4C1937AB" w:rsidR="00390229" w:rsidRPr="00556A1C" w:rsidRDefault="00390229" w:rsidP="00390229">
      <w:pPr>
        <w:keepNext/>
        <w:rPr>
          <w:rFonts w:ascii="Calibri" w:eastAsia="Calibri" w:hAnsi="Calibri" w:cs="Arial"/>
          <w:iCs/>
          <w:color w:val="000000"/>
          <w:sz w:val="22"/>
          <w:szCs w:val="28"/>
        </w:rPr>
      </w:pPr>
    </w:p>
    <w:p w14:paraId="02A09A4D" w14:textId="486EE2A6" w:rsidR="00390229" w:rsidRPr="006E1CB8" w:rsidRDefault="00390229" w:rsidP="00390229">
      <w:pPr>
        <w:keepNext/>
        <w:rPr>
          <w:rFonts w:ascii="Calibri" w:eastAsia="Calibri" w:hAnsi="Calibri" w:cs="Times New Roman"/>
          <w:b/>
          <w:iCs/>
          <w:color w:val="000000"/>
          <w:szCs w:val="18"/>
        </w:rPr>
      </w:pPr>
      <w:r w:rsidRPr="006E1CB8">
        <w:rPr>
          <w:rFonts w:ascii="Calibri" w:eastAsia="Calibri" w:hAnsi="Calibri" w:cs="Arial"/>
          <w:b/>
          <w:iCs/>
          <w:color w:val="000000"/>
          <w:szCs w:val="28"/>
        </w:rPr>
        <w:t>Table 3. Percent of population below poverty</w:t>
      </w:r>
      <w:r w:rsidR="002F4E39" w:rsidRPr="006E1CB8">
        <w:rPr>
          <w:rFonts w:ascii="Calibri" w:eastAsia="Calibri" w:hAnsi="Calibri" w:cs="Arial"/>
          <w:b/>
          <w:iCs/>
          <w:color w:val="000000"/>
          <w:szCs w:val="28"/>
        </w:rPr>
        <w:t xml:space="preserve"> (red indicates a higher rate compared to the state)</w:t>
      </w:r>
      <w:r w:rsidRPr="006E1CB8">
        <w:rPr>
          <w:rFonts w:ascii="Calibri" w:eastAsia="Calibri" w:hAnsi="Calibri" w:cs="Times New Roman"/>
          <w:b/>
          <w:iCs/>
          <w:color w:val="000000"/>
          <w:szCs w:val="18"/>
          <w:vertAlign w:val="superscript"/>
        </w:rPr>
        <w:footnoteReference w:id="3"/>
      </w:r>
      <w:bookmarkEnd w:id="3"/>
    </w:p>
    <w:tbl>
      <w:tblPr>
        <w:tblStyle w:val="GridTable6Colorful-Accent21"/>
        <w:tblW w:w="9311" w:type="dxa"/>
        <w:tblLook w:val="04A0" w:firstRow="1" w:lastRow="0" w:firstColumn="1" w:lastColumn="0" w:noHBand="0" w:noVBand="1"/>
      </w:tblPr>
      <w:tblGrid>
        <w:gridCol w:w="1407"/>
        <w:gridCol w:w="1317"/>
        <w:gridCol w:w="1317"/>
        <w:gridCol w:w="1319"/>
        <w:gridCol w:w="1317"/>
        <w:gridCol w:w="1317"/>
        <w:gridCol w:w="1317"/>
      </w:tblGrid>
      <w:tr w:rsidR="00390229" w:rsidRPr="00E56AF1" w14:paraId="60548CF5" w14:textId="77777777" w:rsidTr="00393BEA">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664C24E2" w14:textId="77777777" w:rsidR="00390229" w:rsidRPr="00E56AF1" w:rsidRDefault="00390229" w:rsidP="00393BEA">
            <w:pPr>
              <w:rPr>
                <w:rFonts w:ascii="Times New Roman" w:eastAsia="Times New Roman" w:hAnsi="Times New Roman" w:cs="Times New Roman"/>
                <w:sz w:val="20"/>
                <w:szCs w:val="20"/>
              </w:rPr>
            </w:pPr>
          </w:p>
        </w:tc>
        <w:tc>
          <w:tcPr>
            <w:tcW w:w="1317" w:type="dxa"/>
            <w:noWrap/>
            <w:hideMark/>
          </w:tcPr>
          <w:p w14:paraId="122FD2B1" w14:textId="77777777" w:rsidR="00390229" w:rsidRPr="00E56AF1" w:rsidRDefault="00390229" w:rsidP="00393B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2012</w:t>
            </w:r>
          </w:p>
        </w:tc>
        <w:tc>
          <w:tcPr>
            <w:tcW w:w="1317" w:type="dxa"/>
            <w:noWrap/>
            <w:hideMark/>
          </w:tcPr>
          <w:p w14:paraId="4FB27996" w14:textId="77777777" w:rsidR="00390229" w:rsidRPr="00E56AF1" w:rsidRDefault="00390229" w:rsidP="00393B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2013</w:t>
            </w:r>
          </w:p>
        </w:tc>
        <w:tc>
          <w:tcPr>
            <w:tcW w:w="1319" w:type="dxa"/>
            <w:noWrap/>
            <w:hideMark/>
          </w:tcPr>
          <w:p w14:paraId="0CEF4C8E" w14:textId="77777777" w:rsidR="00390229" w:rsidRPr="00E56AF1" w:rsidRDefault="00390229" w:rsidP="00393B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2014</w:t>
            </w:r>
          </w:p>
        </w:tc>
        <w:tc>
          <w:tcPr>
            <w:tcW w:w="1317" w:type="dxa"/>
            <w:noWrap/>
            <w:hideMark/>
          </w:tcPr>
          <w:p w14:paraId="5358ADFD" w14:textId="77777777" w:rsidR="00390229" w:rsidRPr="00E56AF1" w:rsidRDefault="00390229" w:rsidP="00393B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2015</w:t>
            </w:r>
          </w:p>
        </w:tc>
        <w:tc>
          <w:tcPr>
            <w:tcW w:w="1317" w:type="dxa"/>
            <w:noWrap/>
            <w:hideMark/>
          </w:tcPr>
          <w:p w14:paraId="0C17AAEA" w14:textId="77777777" w:rsidR="00390229" w:rsidRPr="00E56AF1" w:rsidRDefault="00390229" w:rsidP="00393B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2016</w:t>
            </w:r>
          </w:p>
        </w:tc>
        <w:tc>
          <w:tcPr>
            <w:tcW w:w="1317" w:type="dxa"/>
            <w:noWrap/>
            <w:hideMark/>
          </w:tcPr>
          <w:p w14:paraId="03048AFC" w14:textId="77777777" w:rsidR="00390229" w:rsidRPr="00E56AF1" w:rsidRDefault="00390229" w:rsidP="00393B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2017</w:t>
            </w:r>
          </w:p>
        </w:tc>
      </w:tr>
      <w:tr w:rsidR="00390229" w:rsidRPr="00E56AF1" w14:paraId="18E7FB2B" w14:textId="77777777" w:rsidTr="00393BEA">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26B081AD" w14:textId="77777777" w:rsidR="00390229" w:rsidRPr="00E56AF1" w:rsidRDefault="00390229" w:rsidP="00393BEA">
            <w:pPr>
              <w:rPr>
                <w:rFonts w:ascii="Calibri" w:eastAsia="Times New Roman" w:hAnsi="Calibri" w:cs="Times New Roman"/>
                <w:color w:val="000000"/>
                <w:szCs w:val="24"/>
              </w:rPr>
            </w:pPr>
            <w:r w:rsidRPr="00E56AF1">
              <w:rPr>
                <w:rFonts w:ascii="Calibri" w:eastAsia="Times New Roman" w:hAnsi="Calibri" w:cs="Times New Roman"/>
                <w:color w:val="000000"/>
                <w:szCs w:val="24"/>
              </w:rPr>
              <w:t>Blaine</w:t>
            </w:r>
          </w:p>
        </w:tc>
        <w:tc>
          <w:tcPr>
            <w:tcW w:w="1317" w:type="dxa"/>
            <w:noWrap/>
            <w:hideMark/>
          </w:tcPr>
          <w:p w14:paraId="5C6B9F31"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E56AF1">
              <w:rPr>
                <w:rFonts w:ascii="Calibri" w:eastAsia="Times New Roman" w:hAnsi="Calibri" w:cs="Times New Roman"/>
                <w:color w:val="FF0000"/>
                <w:szCs w:val="24"/>
              </w:rPr>
              <w:t>19.3%</w:t>
            </w:r>
          </w:p>
        </w:tc>
        <w:tc>
          <w:tcPr>
            <w:tcW w:w="1317" w:type="dxa"/>
            <w:noWrap/>
            <w:hideMark/>
          </w:tcPr>
          <w:p w14:paraId="27C6F05F"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E56AF1">
              <w:rPr>
                <w:rFonts w:ascii="Calibri" w:eastAsia="Times New Roman" w:hAnsi="Calibri" w:cs="Times New Roman"/>
                <w:color w:val="FF0000"/>
                <w:szCs w:val="24"/>
              </w:rPr>
              <w:t>17.7%</w:t>
            </w:r>
          </w:p>
        </w:tc>
        <w:tc>
          <w:tcPr>
            <w:tcW w:w="1319" w:type="dxa"/>
            <w:noWrap/>
            <w:hideMark/>
          </w:tcPr>
          <w:p w14:paraId="160030A0"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E56AF1">
              <w:rPr>
                <w:rFonts w:ascii="Calibri" w:eastAsia="Times New Roman" w:hAnsi="Calibri" w:cs="Times New Roman"/>
                <w:color w:val="FF0000"/>
                <w:szCs w:val="24"/>
              </w:rPr>
              <w:t>16.3%</w:t>
            </w:r>
          </w:p>
        </w:tc>
        <w:tc>
          <w:tcPr>
            <w:tcW w:w="1317" w:type="dxa"/>
            <w:noWrap/>
            <w:hideMark/>
          </w:tcPr>
          <w:p w14:paraId="205621E0"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E56AF1">
              <w:rPr>
                <w:rFonts w:ascii="Calibri" w:eastAsia="Times New Roman" w:hAnsi="Calibri" w:cs="Times New Roman"/>
                <w:color w:val="FF0000"/>
                <w:szCs w:val="24"/>
              </w:rPr>
              <w:t>19.2%</w:t>
            </w:r>
          </w:p>
        </w:tc>
        <w:tc>
          <w:tcPr>
            <w:tcW w:w="1317" w:type="dxa"/>
            <w:noWrap/>
            <w:hideMark/>
          </w:tcPr>
          <w:p w14:paraId="235E473F"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E56AF1">
              <w:rPr>
                <w:rFonts w:ascii="Calibri" w:eastAsia="Times New Roman" w:hAnsi="Calibri" w:cs="Times New Roman"/>
                <w:color w:val="FF0000"/>
                <w:szCs w:val="24"/>
              </w:rPr>
              <w:t>16.2%</w:t>
            </w:r>
          </w:p>
        </w:tc>
        <w:tc>
          <w:tcPr>
            <w:tcW w:w="1317" w:type="dxa"/>
            <w:noWrap/>
            <w:hideMark/>
          </w:tcPr>
          <w:p w14:paraId="72E0108E"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9.8%</w:t>
            </w:r>
          </w:p>
        </w:tc>
      </w:tr>
      <w:tr w:rsidR="00390229" w:rsidRPr="00E56AF1" w14:paraId="17BEF09E" w14:textId="77777777" w:rsidTr="00393BEA">
        <w:trPr>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169B6389" w14:textId="77777777" w:rsidR="00390229" w:rsidRPr="00E56AF1" w:rsidRDefault="00390229" w:rsidP="00393BEA">
            <w:pPr>
              <w:rPr>
                <w:rFonts w:ascii="Calibri" w:eastAsia="Times New Roman" w:hAnsi="Calibri" w:cs="Times New Roman"/>
                <w:color w:val="000000"/>
                <w:szCs w:val="24"/>
              </w:rPr>
            </w:pPr>
            <w:r w:rsidRPr="00E56AF1">
              <w:rPr>
                <w:rFonts w:ascii="Calibri" w:eastAsia="Times New Roman" w:hAnsi="Calibri" w:cs="Times New Roman"/>
                <w:color w:val="000000"/>
                <w:szCs w:val="24"/>
              </w:rPr>
              <w:t xml:space="preserve">Custer </w:t>
            </w:r>
          </w:p>
        </w:tc>
        <w:tc>
          <w:tcPr>
            <w:tcW w:w="1317" w:type="dxa"/>
            <w:noWrap/>
            <w:hideMark/>
          </w:tcPr>
          <w:p w14:paraId="62463A1C"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9.6%</w:t>
            </w:r>
          </w:p>
        </w:tc>
        <w:tc>
          <w:tcPr>
            <w:tcW w:w="1317" w:type="dxa"/>
            <w:noWrap/>
            <w:hideMark/>
          </w:tcPr>
          <w:p w14:paraId="3B303EFB"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11.5%</w:t>
            </w:r>
          </w:p>
        </w:tc>
        <w:tc>
          <w:tcPr>
            <w:tcW w:w="1319" w:type="dxa"/>
            <w:noWrap/>
            <w:hideMark/>
          </w:tcPr>
          <w:p w14:paraId="44ECF1DC"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11.3%</w:t>
            </w:r>
          </w:p>
        </w:tc>
        <w:tc>
          <w:tcPr>
            <w:tcW w:w="1317" w:type="dxa"/>
            <w:noWrap/>
            <w:hideMark/>
          </w:tcPr>
          <w:p w14:paraId="5107541F"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10.9%</w:t>
            </w:r>
          </w:p>
        </w:tc>
        <w:tc>
          <w:tcPr>
            <w:tcW w:w="1317" w:type="dxa"/>
            <w:noWrap/>
            <w:hideMark/>
          </w:tcPr>
          <w:p w14:paraId="213302E1"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10.0%</w:t>
            </w:r>
          </w:p>
        </w:tc>
        <w:tc>
          <w:tcPr>
            <w:tcW w:w="1317" w:type="dxa"/>
            <w:noWrap/>
            <w:hideMark/>
          </w:tcPr>
          <w:p w14:paraId="3D022E81"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11.9%</w:t>
            </w:r>
          </w:p>
        </w:tc>
      </w:tr>
      <w:tr w:rsidR="00390229" w:rsidRPr="00E56AF1" w14:paraId="64EFD3E3" w14:textId="77777777" w:rsidTr="00393BEA">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1321AA81" w14:textId="77777777" w:rsidR="00390229" w:rsidRPr="00E56AF1" w:rsidRDefault="00390229" w:rsidP="00393BEA">
            <w:pPr>
              <w:rPr>
                <w:rFonts w:ascii="Calibri" w:eastAsia="Times New Roman" w:hAnsi="Calibri" w:cs="Times New Roman"/>
                <w:color w:val="000000"/>
                <w:szCs w:val="24"/>
              </w:rPr>
            </w:pPr>
            <w:r w:rsidRPr="00E56AF1">
              <w:rPr>
                <w:rFonts w:ascii="Calibri" w:eastAsia="Times New Roman" w:hAnsi="Calibri" w:cs="Times New Roman"/>
                <w:color w:val="000000"/>
                <w:szCs w:val="24"/>
              </w:rPr>
              <w:t>Garfield</w:t>
            </w:r>
          </w:p>
        </w:tc>
        <w:tc>
          <w:tcPr>
            <w:tcW w:w="1317" w:type="dxa"/>
            <w:noWrap/>
            <w:hideMark/>
          </w:tcPr>
          <w:p w14:paraId="0D96C6D2"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E56AF1">
              <w:rPr>
                <w:rFonts w:ascii="Calibri" w:eastAsia="Times New Roman" w:hAnsi="Calibri" w:cs="Times New Roman"/>
                <w:color w:val="FF0000"/>
                <w:szCs w:val="24"/>
              </w:rPr>
              <w:t>13.8%</w:t>
            </w:r>
          </w:p>
        </w:tc>
        <w:tc>
          <w:tcPr>
            <w:tcW w:w="1317" w:type="dxa"/>
            <w:noWrap/>
            <w:hideMark/>
          </w:tcPr>
          <w:p w14:paraId="6C56235A"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E56AF1">
              <w:rPr>
                <w:rFonts w:ascii="Calibri" w:eastAsia="Times New Roman" w:hAnsi="Calibri" w:cs="Times New Roman"/>
                <w:color w:val="FF0000"/>
                <w:szCs w:val="24"/>
              </w:rPr>
              <w:t>13.0%</w:t>
            </w:r>
          </w:p>
        </w:tc>
        <w:tc>
          <w:tcPr>
            <w:tcW w:w="1319" w:type="dxa"/>
            <w:noWrap/>
            <w:hideMark/>
          </w:tcPr>
          <w:p w14:paraId="3F973552"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12.0%</w:t>
            </w:r>
          </w:p>
        </w:tc>
        <w:tc>
          <w:tcPr>
            <w:tcW w:w="1317" w:type="dxa"/>
            <w:noWrap/>
            <w:hideMark/>
          </w:tcPr>
          <w:p w14:paraId="26E56DEC"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10.2%</w:t>
            </w:r>
          </w:p>
        </w:tc>
        <w:tc>
          <w:tcPr>
            <w:tcW w:w="1317" w:type="dxa"/>
            <w:noWrap/>
            <w:hideMark/>
          </w:tcPr>
          <w:p w14:paraId="4AB6B620"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7.3%</w:t>
            </w:r>
          </w:p>
        </w:tc>
        <w:tc>
          <w:tcPr>
            <w:tcW w:w="1317" w:type="dxa"/>
            <w:noWrap/>
            <w:hideMark/>
          </w:tcPr>
          <w:p w14:paraId="5E75B6BA"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7.2%</w:t>
            </w:r>
          </w:p>
        </w:tc>
      </w:tr>
      <w:tr w:rsidR="00390229" w:rsidRPr="00E56AF1" w14:paraId="6814A4F6" w14:textId="77777777" w:rsidTr="00393BEA">
        <w:trPr>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5FA08EE5" w14:textId="77777777" w:rsidR="00390229" w:rsidRPr="00E56AF1" w:rsidRDefault="00390229" w:rsidP="00393BEA">
            <w:pPr>
              <w:rPr>
                <w:rFonts w:ascii="Calibri" w:eastAsia="Times New Roman" w:hAnsi="Calibri" w:cs="Times New Roman"/>
                <w:color w:val="000000"/>
                <w:szCs w:val="24"/>
              </w:rPr>
            </w:pPr>
            <w:r w:rsidRPr="00E56AF1">
              <w:rPr>
                <w:rFonts w:ascii="Calibri" w:eastAsia="Times New Roman" w:hAnsi="Calibri" w:cs="Times New Roman"/>
                <w:color w:val="000000"/>
                <w:szCs w:val="24"/>
              </w:rPr>
              <w:t xml:space="preserve">Greeley </w:t>
            </w:r>
          </w:p>
        </w:tc>
        <w:tc>
          <w:tcPr>
            <w:tcW w:w="1317" w:type="dxa"/>
            <w:noWrap/>
            <w:hideMark/>
          </w:tcPr>
          <w:p w14:paraId="2D96C275"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12.1%</w:t>
            </w:r>
          </w:p>
        </w:tc>
        <w:tc>
          <w:tcPr>
            <w:tcW w:w="1317" w:type="dxa"/>
            <w:noWrap/>
            <w:hideMark/>
          </w:tcPr>
          <w:p w14:paraId="0BAEBF20"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12.1%</w:t>
            </w:r>
          </w:p>
        </w:tc>
        <w:tc>
          <w:tcPr>
            <w:tcW w:w="1319" w:type="dxa"/>
            <w:noWrap/>
            <w:hideMark/>
          </w:tcPr>
          <w:p w14:paraId="49E6E014"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11.7%</w:t>
            </w:r>
          </w:p>
        </w:tc>
        <w:tc>
          <w:tcPr>
            <w:tcW w:w="1317" w:type="dxa"/>
            <w:noWrap/>
            <w:hideMark/>
          </w:tcPr>
          <w:p w14:paraId="392F349C"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10.0%</w:t>
            </w:r>
          </w:p>
        </w:tc>
        <w:tc>
          <w:tcPr>
            <w:tcW w:w="1317" w:type="dxa"/>
            <w:noWrap/>
            <w:hideMark/>
          </w:tcPr>
          <w:p w14:paraId="63021A3D"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8.7%</w:t>
            </w:r>
          </w:p>
        </w:tc>
        <w:tc>
          <w:tcPr>
            <w:tcW w:w="1317" w:type="dxa"/>
            <w:noWrap/>
            <w:hideMark/>
          </w:tcPr>
          <w:p w14:paraId="62B580A2"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9.8%</w:t>
            </w:r>
          </w:p>
        </w:tc>
      </w:tr>
      <w:tr w:rsidR="00390229" w:rsidRPr="00E56AF1" w14:paraId="1B369371" w14:textId="77777777" w:rsidTr="00393BEA">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7B095099" w14:textId="77777777" w:rsidR="00390229" w:rsidRPr="00E56AF1" w:rsidRDefault="00390229" w:rsidP="00393BEA">
            <w:pPr>
              <w:rPr>
                <w:rFonts w:ascii="Calibri" w:eastAsia="Times New Roman" w:hAnsi="Calibri" w:cs="Times New Roman"/>
                <w:color w:val="000000"/>
                <w:szCs w:val="24"/>
              </w:rPr>
            </w:pPr>
            <w:r w:rsidRPr="00E56AF1">
              <w:rPr>
                <w:rFonts w:ascii="Calibri" w:eastAsia="Times New Roman" w:hAnsi="Calibri" w:cs="Times New Roman"/>
                <w:color w:val="000000"/>
                <w:szCs w:val="24"/>
              </w:rPr>
              <w:t>Loup</w:t>
            </w:r>
          </w:p>
        </w:tc>
        <w:tc>
          <w:tcPr>
            <w:tcW w:w="1317" w:type="dxa"/>
            <w:noWrap/>
            <w:hideMark/>
          </w:tcPr>
          <w:p w14:paraId="2F65F89E"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E56AF1">
              <w:rPr>
                <w:rFonts w:ascii="Calibri" w:eastAsia="Times New Roman" w:hAnsi="Calibri" w:cs="Times New Roman"/>
                <w:color w:val="FF0000"/>
                <w:szCs w:val="24"/>
              </w:rPr>
              <w:t>23.4%</w:t>
            </w:r>
          </w:p>
        </w:tc>
        <w:tc>
          <w:tcPr>
            <w:tcW w:w="1317" w:type="dxa"/>
            <w:noWrap/>
            <w:hideMark/>
          </w:tcPr>
          <w:p w14:paraId="75FF82C3"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E56AF1">
              <w:rPr>
                <w:rFonts w:ascii="Calibri" w:eastAsia="Times New Roman" w:hAnsi="Calibri" w:cs="Times New Roman"/>
                <w:color w:val="FF0000"/>
                <w:szCs w:val="24"/>
              </w:rPr>
              <w:t>25.8%</w:t>
            </w:r>
          </w:p>
        </w:tc>
        <w:tc>
          <w:tcPr>
            <w:tcW w:w="1319" w:type="dxa"/>
            <w:noWrap/>
            <w:hideMark/>
          </w:tcPr>
          <w:p w14:paraId="664869F9"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E56AF1">
              <w:rPr>
                <w:rFonts w:ascii="Calibri" w:eastAsia="Times New Roman" w:hAnsi="Calibri" w:cs="Times New Roman"/>
                <w:color w:val="FF0000"/>
                <w:szCs w:val="24"/>
              </w:rPr>
              <w:t>20.2%</w:t>
            </w:r>
          </w:p>
        </w:tc>
        <w:tc>
          <w:tcPr>
            <w:tcW w:w="1317" w:type="dxa"/>
            <w:noWrap/>
            <w:hideMark/>
          </w:tcPr>
          <w:p w14:paraId="03166E78"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12.4%</w:t>
            </w:r>
          </w:p>
        </w:tc>
        <w:tc>
          <w:tcPr>
            <w:tcW w:w="1317" w:type="dxa"/>
            <w:noWrap/>
            <w:hideMark/>
          </w:tcPr>
          <w:p w14:paraId="0E98B27C"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10.0%</w:t>
            </w:r>
          </w:p>
        </w:tc>
        <w:tc>
          <w:tcPr>
            <w:tcW w:w="1317" w:type="dxa"/>
            <w:noWrap/>
            <w:hideMark/>
          </w:tcPr>
          <w:p w14:paraId="1303FE11"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8.9%</w:t>
            </w:r>
          </w:p>
        </w:tc>
      </w:tr>
      <w:tr w:rsidR="00390229" w:rsidRPr="00E56AF1" w14:paraId="3EEDE541" w14:textId="77777777" w:rsidTr="00393BEA">
        <w:trPr>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17C3118C" w14:textId="77777777" w:rsidR="00390229" w:rsidRPr="00E56AF1" w:rsidRDefault="00390229" w:rsidP="00393BEA">
            <w:pPr>
              <w:rPr>
                <w:rFonts w:ascii="Calibri" w:eastAsia="Times New Roman" w:hAnsi="Calibri" w:cs="Times New Roman"/>
                <w:color w:val="000000"/>
                <w:szCs w:val="24"/>
              </w:rPr>
            </w:pPr>
            <w:r w:rsidRPr="00E56AF1">
              <w:rPr>
                <w:rFonts w:ascii="Calibri" w:eastAsia="Times New Roman" w:hAnsi="Calibri" w:cs="Times New Roman"/>
                <w:color w:val="000000"/>
                <w:szCs w:val="24"/>
              </w:rPr>
              <w:t xml:space="preserve">Sherman </w:t>
            </w:r>
          </w:p>
        </w:tc>
        <w:tc>
          <w:tcPr>
            <w:tcW w:w="1317" w:type="dxa"/>
            <w:noWrap/>
            <w:hideMark/>
          </w:tcPr>
          <w:p w14:paraId="3184E3E1"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10.3%</w:t>
            </w:r>
          </w:p>
        </w:tc>
        <w:tc>
          <w:tcPr>
            <w:tcW w:w="1317" w:type="dxa"/>
            <w:noWrap/>
            <w:hideMark/>
          </w:tcPr>
          <w:p w14:paraId="5226F52C"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E56AF1">
              <w:rPr>
                <w:rFonts w:ascii="Calibri" w:eastAsia="Times New Roman" w:hAnsi="Calibri" w:cs="Times New Roman"/>
                <w:color w:val="FF0000"/>
                <w:szCs w:val="24"/>
              </w:rPr>
              <w:t>13.5%</w:t>
            </w:r>
          </w:p>
        </w:tc>
        <w:tc>
          <w:tcPr>
            <w:tcW w:w="1319" w:type="dxa"/>
            <w:noWrap/>
            <w:hideMark/>
          </w:tcPr>
          <w:p w14:paraId="3B9868EF"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11.9%</w:t>
            </w:r>
          </w:p>
        </w:tc>
        <w:tc>
          <w:tcPr>
            <w:tcW w:w="1317" w:type="dxa"/>
            <w:noWrap/>
            <w:hideMark/>
          </w:tcPr>
          <w:p w14:paraId="60FE6B65"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E56AF1">
              <w:rPr>
                <w:rFonts w:ascii="Calibri" w:eastAsia="Times New Roman" w:hAnsi="Calibri" w:cs="Times New Roman"/>
                <w:color w:val="FF0000"/>
                <w:szCs w:val="24"/>
              </w:rPr>
              <w:t>13.5%</w:t>
            </w:r>
          </w:p>
        </w:tc>
        <w:tc>
          <w:tcPr>
            <w:tcW w:w="1317" w:type="dxa"/>
            <w:noWrap/>
            <w:hideMark/>
          </w:tcPr>
          <w:p w14:paraId="1B6AE1FA"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E56AF1">
              <w:rPr>
                <w:rFonts w:ascii="Calibri" w:eastAsia="Times New Roman" w:hAnsi="Calibri" w:cs="Times New Roman"/>
                <w:color w:val="FF0000"/>
                <w:szCs w:val="24"/>
              </w:rPr>
              <w:t>13.3%</w:t>
            </w:r>
          </w:p>
        </w:tc>
        <w:tc>
          <w:tcPr>
            <w:tcW w:w="1317" w:type="dxa"/>
            <w:noWrap/>
            <w:hideMark/>
          </w:tcPr>
          <w:p w14:paraId="6E6BF6F4"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10.7%</w:t>
            </w:r>
          </w:p>
        </w:tc>
      </w:tr>
      <w:tr w:rsidR="00390229" w:rsidRPr="00E56AF1" w14:paraId="7F2F6AF5" w14:textId="77777777" w:rsidTr="00393BEA">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4780B6C5" w14:textId="77777777" w:rsidR="00390229" w:rsidRPr="00E56AF1" w:rsidRDefault="00390229" w:rsidP="00393BEA">
            <w:pPr>
              <w:rPr>
                <w:rFonts w:ascii="Calibri" w:eastAsia="Times New Roman" w:hAnsi="Calibri" w:cs="Times New Roman"/>
                <w:color w:val="000000"/>
                <w:szCs w:val="24"/>
              </w:rPr>
            </w:pPr>
            <w:r w:rsidRPr="00E56AF1">
              <w:rPr>
                <w:rFonts w:ascii="Calibri" w:eastAsia="Times New Roman" w:hAnsi="Calibri" w:cs="Times New Roman"/>
                <w:color w:val="000000"/>
                <w:szCs w:val="24"/>
              </w:rPr>
              <w:t>Valley</w:t>
            </w:r>
          </w:p>
        </w:tc>
        <w:tc>
          <w:tcPr>
            <w:tcW w:w="1317" w:type="dxa"/>
            <w:noWrap/>
            <w:hideMark/>
          </w:tcPr>
          <w:p w14:paraId="2FF07A56"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E56AF1">
              <w:rPr>
                <w:rFonts w:ascii="Calibri" w:eastAsia="Times New Roman" w:hAnsi="Calibri" w:cs="Times New Roman"/>
                <w:color w:val="FF0000"/>
                <w:szCs w:val="24"/>
              </w:rPr>
              <w:t>14%</w:t>
            </w:r>
          </w:p>
        </w:tc>
        <w:tc>
          <w:tcPr>
            <w:tcW w:w="1317" w:type="dxa"/>
            <w:noWrap/>
            <w:hideMark/>
          </w:tcPr>
          <w:p w14:paraId="3791F5C2"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E56AF1">
              <w:rPr>
                <w:rFonts w:ascii="Calibri" w:eastAsia="Times New Roman" w:hAnsi="Calibri" w:cs="Times New Roman"/>
                <w:color w:val="FF0000"/>
                <w:szCs w:val="24"/>
              </w:rPr>
              <w:t>15.2%</w:t>
            </w:r>
          </w:p>
        </w:tc>
        <w:tc>
          <w:tcPr>
            <w:tcW w:w="1319" w:type="dxa"/>
            <w:noWrap/>
            <w:hideMark/>
          </w:tcPr>
          <w:p w14:paraId="758DD603"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13.3%</w:t>
            </w:r>
          </w:p>
        </w:tc>
        <w:tc>
          <w:tcPr>
            <w:tcW w:w="1317" w:type="dxa"/>
            <w:noWrap/>
            <w:hideMark/>
          </w:tcPr>
          <w:p w14:paraId="5D581651"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E56AF1">
              <w:rPr>
                <w:rFonts w:ascii="Calibri" w:eastAsia="Times New Roman" w:hAnsi="Calibri" w:cs="Times New Roman"/>
                <w:color w:val="FF0000"/>
                <w:szCs w:val="24"/>
              </w:rPr>
              <w:t>12.9%</w:t>
            </w:r>
          </w:p>
        </w:tc>
        <w:tc>
          <w:tcPr>
            <w:tcW w:w="1317" w:type="dxa"/>
            <w:noWrap/>
            <w:hideMark/>
          </w:tcPr>
          <w:p w14:paraId="175D0A8E"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E56AF1">
              <w:rPr>
                <w:rFonts w:ascii="Calibri" w:eastAsia="Times New Roman" w:hAnsi="Calibri" w:cs="Times New Roman"/>
                <w:color w:val="FF0000"/>
                <w:szCs w:val="24"/>
              </w:rPr>
              <w:t>12.8%</w:t>
            </w:r>
          </w:p>
        </w:tc>
        <w:tc>
          <w:tcPr>
            <w:tcW w:w="1317" w:type="dxa"/>
            <w:noWrap/>
            <w:hideMark/>
          </w:tcPr>
          <w:p w14:paraId="676A96FE"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11.5%</w:t>
            </w:r>
          </w:p>
        </w:tc>
      </w:tr>
      <w:tr w:rsidR="00390229" w:rsidRPr="00E56AF1" w14:paraId="3D92D2FB" w14:textId="77777777" w:rsidTr="00393BEA">
        <w:trPr>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59272D4B" w14:textId="77777777" w:rsidR="00390229" w:rsidRPr="00E56AF1" w:rsidRDefault="00390229" w:rsidP="00393BEA">
            <w:pPr>
              <w:rPr>
                <w:rFonts w:ascii="Calibri" w:eastAsia="Times New Roman" w:hAnsi="Calibri" w:cs="Times New Roman"/>
                <w:color w:val="000000"/>
                <w:szCs w:val="24"/>
              </w:rPr>
            </w:pPr>
            <w:r w:rsidRPr="00E56AF1">
              <w:rPr>
                <w:rFonts w:ascii="Calibri" w:eastAsia="Times New Roman" w:hAnsi="Calibri" w:cs="Times New Roman"/>
                <w:color w:val="000000"/>
                <w:szCs w:val="24"/>
              </w:rPr>
              <w:t xml:space="preserve">Wheeler </w:t>
            </w:r>
          </w:p>
        </w:tc>
        <w:tc>
          <w:tcPr>
            <w:tcW w:w="1317" w:type="dxa"/>
            <w:noWrap/>
            <w:hideMark/>
          </w:tcPr>
          <w:p w14:paraId="4F016C7D"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E56AF1">
              <w:rPr>
                <w:rFonts w:ascii="Calibri" w:eastAsia="Times New Roman" w:hAnsi="Calibri" w:cs="Times New Roman"/>
                <w:color w:val="FF0000"/>
                <w:szCs w:val="24"/>
              </w:rPr>
              <w:t>15.3%</w:t>
            </w:r>
          </w:p>
        </w:tc>
        <w:tc>
          <w:tcPr>
            <w:tcW w:w="1317" w:type="dxa"/>
            <w:noWrap/>
            <w:hideMark/>
          </w:tcPr>
          <w:p w14:paraId="04ABD3E0"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E56AF1">
              <w:rPr>
                <w:rFonts w:ascii="Calibri" w:eastAsia="Times New Roman" w:hAnsi="Calibri" w:cs="Times New Roman"/>
                <w:color w:val="FF0000"/>
                <w:szCs w:val="24"/>
              </w:rPr>
              <w:t>16%</w:t>
            </w:r>
          </w:p>
        </w:tc>
        <w:tc>
          <w:tcPr>
            <w:tcW w:w="1319" w:type="dxa"/>
            <w:noWrap/>
            <w:hideMark/>
          </w:tcPr>
          <w:p w14:paraId="4EEBF165"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13.1%</w:t>
            </w:r>
          </w:p>
        </w:tc>
        <w:tc>
          <w:tcPr>
            <w:tcW w:w="1317" w:type="dxa"/>
            <w:noWrap/>
            <w:hideMark/>
          </w:tcPr>
          <w:p w14:paraId="4C98924C"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7.2%</w:t>
            </w:r>
          </w:p>
        </w:tc>
        <w:tc>
          <w:tcPr>
            <w:tcW w:w="1317" w:type="dxa"/>
            <w:noWrap/>
            <w:hideMark/>
          </w:tcPr>
          <w:p w14:paraId="143148F3"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5.1%</w:t>
            </w:r>
          </w:p>
        </w:tc>
        <w:tc>
          <w:tcPr>
            <w:tcW w:w="1317" w:type="dxa"/>
            <w:noWrap/>
            <w:hideMark/>
          </w:tcPr>
          <w:p w14:paraId="41C855DD" w14:textId="77777777" w:rsidR="00390229" w:rsidRPr="00E56AF1" w:rsidRDefault="00390229" w:rsidP="00393B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2.6%</w:t>
            </w:r>
          </w:p>
        </w:tc>
      </w:tr>
      <w:tr w:rsidR="00390229" w:rsidRPr="00E56AF1" w14:paraId="1CF6B621" w14:textId="77777777" w:rsidTr="00393BEA">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44B4BCE7" w14:textId="77777777" w:rsidR="00390229" w:rsidRPr="00E56AF1" w:rsidRDefault="00390229" w:rsidP="00393BEA">
            <w:pPr>
              <w:rPr>
                <w:rFonts w:ascii="Calibri" w:eastAsia="Times New Roman" w:hAnsi="Calibri" w:cs="Times New Roman"/>
                <w:color w:val="000000"/>
                <w:szCs w:val="24"/>
              </w:rPr>
            </w:pPr>
            <w:r w:rsidRPr="00E56AF1">
              <w:rPr>
                <w:rFonts w:ascii="Calibri" w:eastAsia="Times New Roman" w:hAnsi="Calibri" w:cs="Times New Roman"/>
                <w:color w:val="000000"/>
                <w:szCs w:val="24"/>
              </w:rPr>
              <w:t>Nebraska</w:t>
            </w:r>
          </w:p>
        </w:tc>
        <w:tc>
          <w:tcPr>
            <w:tcW w:w="1317" w:type="dxa"/>
            <w:noWrap/>
            <w:hideMark/>
          </w:tcPr>
          <w:p w14:paraId="64BFBBF6"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12.4%</w:t>
            </w:r>
          </w:p>
        </w:tc>
        <w:tc>
          <w:tcPr>
            <w:tcW w:w="1317" w:type="dxa"/>
            <w:noWrap/>
            <w:hideMark/>
          </w:tcPr>
          <w:p w14:paraId="2A9AC89A"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12.8%</w:t>
            </w:r>
          </w:p>
        </w:tc>
        <w:tc>
          <w:tcPr>
            <w:tcW w:w="1319" w:type="dxa"/>
            <w:noWrap/>
            <w:hideMark/>
          </w:tcPr>
          <w:p w14:paraId="0F0E7592"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12.9%</w:t>
            </w:r>
          </w:p>
        </w:tc>
        <w:tc>
          <w:tcPr>
            <w:tcW w:w="1317" w:type="dxa"/>
            <w:noWrap/>
            <w:hideMark/>
          </w:tcPr>
          <w:p w14:paraId="38C1094D"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12.7%</w:t>
            </w:r>
          </w:p>
        </w:tc>
        <w:tc>
          <w:tcPr>
            <w:tcW w:w="1317" w:type="dxa"/>
            <w:noWrap/>
            <w:hideMark/>
          </w:tcPr>
          <w:p w14:paraId="608EAFB4"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12.4%</w:t>
            </w:r>
          </w:p>
        </w:tc>
        <w:tc>
          <w:tcPr>
            <w:tcW w:w="1317" w:type="dxa"/>
            <w:noWrap/>
            <w:hideMark/>
          </w:tcPr>
          <w:p w14:paraId="5CF77956" w14:textId="77777777" w:rsidR="00390229" w:rsidRPr="00E56AF1" w:rsidRDefault="00390229" w:rsidP="00393B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12.0%</w:t>
            </w:r>
          </w:p>
        </w:tc>
      </w:tr>
    </w:tbl>
    <w:p w14:paraId="3FB5DA51" w14:textId="387A9C4E" w:rsidR="00390229" w:rsidRDefault="00390229" w:rsidP="00390229">
      <w:pPr>
        <w:rPr>
          <w:rFonts w:ascii="Calibri" w:eastAsia="Calibri" w:hAnsi="Calibri" w:cs="Times New Roman"/>
          <w:szCs w:val="24"/>
        </w:rPr>
      </w:pPr>
    </w:p>
    <w:p w14:paraId="52CB2AA3" w14:textId="77777777" w:rsidR="00B627E7" w:rsidRDefault="00B627E7" w:rsidP="00390229">
      <w:pPr>
        <w:rPr>
          <w:rFonts w:ascii="Calibri" w:eastAsia="Calibri" w:hAnsi="Calibri" w:cs="Times New Roman"/>
          <w:szCs w:val="24"/>
        </w:rPr>
      </w:pPr>
    </w:p>
    <w:p w14:paraId="18D106C4" w14:textId="77777777" w:rsidR="00E06FF9" w:rsidRDefault="00E06FF9" w:rsidP="002F4E39">
      <w:pPr>
        <w:jc w:val="center"/>
        <w:rPr>
          <w:rFonts w:ascii="Calibri" w:eastAsia="Calibri" w:hAnsi="Calibri" w:cs="Times New Roman"/>
          <w:b/>
          <w:bCs/>
          <w:szCs w:val="24"/>
        </w:rPr>
      </w:pPr>
    </w:p>
    <w:p w14:paraId="01CF0C0E" w14:textId="56E2EC44" w:rsidR="00E06FF9" w:rsidRPr="00A529BA" w:rsidRDefault="00A529BA" w:rsidP="00A529BA">
      <w:pPr>
        <w:rPr>
          <w:rFonts w:ascii="Calibri" w:eastAsia="Calibri" w:hAnsi="Calibri" w:cs="Times New Roman"/>
          <w:bCs/>
          <w:szCs w:val="24"/>
        </w:rPr>
      </w:pPr>
      <w:r>
        <w:rPr>
          <w:rFonts w:ascii="Calibri" w:eastAsia="Calibri" w:hAnsi="Calibri" w:cs="Times New Roman"/>
          <w:bCs/>
          <w:szCs w:val="24"/>
        </w:rPr>
        <w:lastRenderedPageBreak/>
        <w:t xml:space="preserve">In 2017, Blaine, Custer, and Sherman </w:t>
      </w:r>
      <w:r w:rsidR="00AF1470">
        <w:rPr>
          <w:rFonts w:ascii="Calibri" w:eastAsia="Calibri" w:hAnsi="Calibri" w:cs="Times New Roman"/>
          <w:bCs/>
          <w:szCs w:val="24"/>
        </w:rPr>
        <w:t xml:space="preserve">Counties’ under 18 population had a higher </w:t>
      </w:r>
      <w:proofErr w:type="spellStart"/>
      <w:r w:rsidR="00AF1470">
        <w:rPr>
          <w:rFonts w:ascii="Calibri" w:eastAsia="Calibri" w:hAnsi="Calibri" w:cs="Times New Roman"/>
          <w:bCs/>
          <w:szCs w:val="24"/>
        </w:rPr>
        <w:t>estiamated</w:t>
      </w:r>
      <w:proofErr w:type="spellEnd"/>
      <w:r w:rsidR="00AF1470">
        <w:rPr>
          <w:rFonts w:ascii="Calibri" w:eastAsia="Calibri" w:hAnsi="Calibri" w:cs="Times New Roman"/>
          <w:bCs/>
          <w:szCs w:val="24"/>
        </w:rPr>
        <w:t xml:space="preserve"> rate of poverty than the state</w:t>
      </w:r>
      <w:r w:rsidR="00947069">
        <w:rPr>
          <w:rFonts w:ascii="Calibri" w:eastAsia="Calibri" w:hAnsi="Calibri" w:cs="Times New Roman"/>
          <w:bCs/>
          <w:szCs w:val="24"/>
        </w:rPr>
        <w:t xml:space="preserve"> (Figure 1)</w:t>
      </w:r>
      <w:r>
        <w:rPr>
          <w:rFonts w:ascii="Calibri" w:eastAsia="Calibri" w:hAnsi="Calibri" w:cs="Times New Roman"/>
          <w:bCs/>
          <w:szCs w:val="24"/>
        </w:rPr>
        <w:t>.</w:t>
      </w:r>
      <w:r w:rsidR="00AF1470">
        <w:rPr>
          <w:rFonts w:ascii="Calibri" w:eastAsia="Calibri" w:hAnsi="Calibri" w:cs="Times New Roman"/>
          <w:bCs/>
          <w:szCs w:val="24"/>
        </w:rPr>
        <w:t xml:space="preserve"> </w:t>
      </w:r>
      <w:r w:rsidR="00947069">
        <w:rPr>
          <w:rFonts w:ascii="Calibri" w:eastAsia="Calibri" w:hAnsi="Calibri" w:cs="Times New Roman"/>
          <w:bCs/>
          <w:szCs w:val="24"/>
        </w:rPr>
        <w:t xml:space="preserve">As another measure of poverty, nine of the 16 school districts in the eight counties were above the state rate for students receiving free and reduced lunch (Figure 2). </w:t>
      </w:r>
      <w:r>
        <w:rPr>
          <w:rFonts w:ascii="Calibri" w:eastAsia="Calibri" w:hAnsi="Calibri" w:cs="Times New Roman"/>
          <w:bCs/>
          <w:szCs w:val="24"/>
        </w:rPr>
        <w:t xml:space="preserve"> </w:t>
      </w:r>
    </w:p>
    <w:p w14:paraId="0903A79C" w14:textId="77777777" w:rsidR="006B7E84" w:rsidRDefault="006B7E84" w:rsidP="00556A1C">
      <w:pPr>
        <w:rPr>
          <w:rFonts w:ascii="Calibri" w:eastAsia="Calibri" w:hAnsi="Calibri" w:cs="Times New Roman"/>
          <w:b/>
          <w:bCs/>
          <w:iCs/>
          <w:color w:val="000000"/>
          <w:sz w:val="22"/>
          <w:szCs w:val="18"/>
        </w:rPr>
      </w:pPr>
      <w:bookmarkStart w:id="4" w:name="_Toc4894037"/>
      <w:bookmarkStart w:id="5" w:name="_Hlk5260653"/>
    </w:p>
    <w:p w14:paraId="769B0913" w14:textId="0A163B1C" w:rsidR="00511E76" w:rsidRPr="00900488" w:rsidRDefault="00511E76" w:rsidP="00511E76">
      <w:pPr>
        <w:jc w:val="center"/>
        <w:rPr>
          <w:rFonts w:ascii="Calibri" w:eastAsia="Calibri" w:hAnsi="Calibri" w:cs="Times New Roman"/>
          <w:b/>
          <w:iCs/>
          <w:color w:val="000000"/>
          <w:szCs w:val="18"/>
        </w:rPr>
      </w:pPr>
      <w:r w:rsidRPr="00900488">
        <w:rPr>
          <w:rFonts w:ascii="Calibri" w:eastAsia="Calibri" w:hAnsi="Calibri" w:cs="Times New Roman"/>
          <w:b/>
          <w:bCs/>
          <w:iCs/>
          <w:color w:val="000000"/>
          <w:szCs w:val="18"/>
        </w:rPr>
        <w:t xml:space="preserve">Figure </w:t>
      </w:r>
      <w:r w:rsidR="00E06FF9">
        <w:rPr>
          <w:rFonts w:ascii="Calibri" w:eastAsia="Calibri" w:hAnsi="Calibri" w:cs="Times New Roman"/>
          <w:b/>
          <w:bCs/>
          <w:iCs/>
          <w:color w:val="000000"/>
          <w:szCs w:val="18"/>
        </w:rPr>
        <w:t>1</w:t>
      </w:r>
      <w:r w:rsidRPr="00900488">
        <w:rPr>
          <w:rFonts w:ascii="Calibri" w:eastAsia="Calibri" w:hAnsi="Calibri" w:cs="Times New Roman"/>
          <w:b/>
          <w:bCs/>
          <w:iCs/>
          <w:color w:val="000000"/>
          <w:szCs w:val="18"/>
        </w:rPr>
        <w:t>. Percent of the under 18 population at or below poverty (2017)</w:t>
      </w:r>
      <w:r w:rsidRPr="00900488">
        <w:rPr>
          <w:rFonts w:ascii="Calibri" w:eastAsia="Calibri" w:hAnsi="Calibri" w:cs="Times New Roman"/>
          <w:b/>
          <w:iCs/>
          <w:color w:val="000000"/>
          <w:szCs w:val="18"/>
          <w:vertAlign w:val="superscript"/>
        </w:rPr>
        <w:t xml:space="preserve"> </w:t>
      </w:r>
      <w:r w:rsidRPr="00900488">
        <w:rPr>
          <w:rFonts w:ascii="Calibri" w:eastAsia="Calibri" w:hAnsi="Calibri" w:cs="Times New Roman"/>
          <w:b/>
          <w:iCs/>
          <w:color w:val="000000"/>
          <w:szCs w:val="18"/>
          <w:vertAlign w:val="superscript"/>
        </w:rPr>
        <w:footnoteReference w:id="4"/>
      </w:r>
    </w:p>
    <w:p w14:paraId="34B816B0" w14:textId="77777777" w:rsidR="00511E76" w:rsidRDefault="00511E76" w:rsidP="006B7E84">
      <w:pPr>
        <w:jc w:val="center"/>
        <w:rPr>
          <w:rFonts w:ascii="Calibri" w:eastAsia="Calibri" w:hAnsi="Calibri" w:cs="Arial"/>
          <w:b/>
          <w:iCs/>
          <w:color w:val="000000"/>
          <w:sz w:val="22"/>
          <w:szCs w:val="18"/>
        </w:rPr>
      </w:pPr>
      <w:r>
        <w:rPr>
          <w:noProof/>
        </w:rPr>
        <w:drawing>
          <wp:inline distT="0" distB="0" distL="0" distR="0" wp14:anchorId="00882BE7" wp14:editId="0FBB0CD9">
            <wp:extent cx="5076825" cy="2324100"/>
            <wp:effectExtent l="0" t="0" r="0" b="0"/>
            <wp:docPr id="3" name="Chart 3">
              <a:extLst xmlns:a="http://schemas.openxmlformats.org/drawingml/2006/main">
                <a:ext uri="{FF2B5EF4-FFF2-40B4-BE49-F238E27FC236}">
                  <a16:creationId xmlns:a16="http://schemas.microsoft.com/office/drawing/2014/main" id="{9C32A4B0-9721-4B63-8E08-88AD9C2A5D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3590D1" w14:textId="77777777" w:rsidR="006B7E84" w:rsidRDefault="006B7E84" w:rsidP="006B7E84">
      <w:pPr>
        <w:rPr>
          <w:rFonts w:ascii="Calibri" w:eastAsia="Calibri" w:hAnsi="Calibri" w:cs="Arial"/>
          <w:b/>
          <w:bCs/>
          <w:iCs/>
          <w:color w:val="000000"/>
          <w:sz w:val="22"/>
          <w:szCs w:val="18"/>
        </w:rPr>
      </w:pPr>
    </w:p>
    <w:p w14:paraId="25336D01" w14:textId="77777777" w:rsidR="00B91FC5" w:rsidRDefault="00B91FC5" w:rsidP="006B7E84">
      <w:pPr>
        <w:jc w:val="center"/>
        <w:rPr>
          <w:rFonts w:ascii="Calibri" w:eastAsia="Calibri" w:hAnsi="Calibri" w:cs="Arial"/>
          <w:b/>
          <w:bCs/>
          <w:iCs/>
          <w:color w:val="000000"/>
          <w:szCs w:val="24"/>
        </w:rPr>
      </w:pPr>
    </w:p>
    <w:p w14:paraId="21601CD6" w14:textId="26CD188C" w:rsidR="006B7E84" w:rsidRPr="00900488" w:rsidRDefault="006B7E84" w:rsidP="006B7E84">
      <w:pPr>
        <w:jc w:val="center"/>
        <w:rPr>
          <w:rFonts w:ascii="Calibri" w:eastAsia="Calibri" w:hAnsi="Calibri" w:cs="Arial"/>
          <w:b/>
          <w:iCs/>
          <w:color w:val="000000"/>
          <w:szCs w:val="24"/>
        </w:rPr>
      </w:pPr>
      <w:r w:rsidRPr="00900488">
        <w:rPr>
          <w:rFonts w:ascii="Calibri" w:eastAsia="Calibri" w:hAnsi="Calibri" w:cs="Arial"/>
          <w:b/>
          <w:bCs/>
          <w:iCs/>
          <w:color w:val="000000"/>
          <w:szCs w:val="24"/>
        </w:rPr>
        <w:t xml:space="preserve">Figure </w:t>
      </w:r>
      <w:r w:rsidR="00E06FF9">
        <w:rPr>
          <w:rFonts w:ascii="Calibri" w:eastAsia="Calibri" w:hAnsi="Calibri" w:cs="Arial"/>
          <w:b/>
          <w:bCs/>
          <w:iCs/>
          <w:color w:val="000000"/>
          <w:szCs w:val="24"/>
        </w:rPr>
        <w:t>2</w:t>
      </w:r>
      <w:r w:rsidRPr="00900488">
        <w:rPr>
          <w:rFonts w:ascii="Calibri" w:eastAsia="Calibri" w:hAnsi="Calibri" w:cs="Arial"/>
          <w:b/>
          <w:bCs/>
          <w:iCs/>
          <w:color w:val="000000"/>
          <w:szCs w:val="24"/>
        </w:rPr>
        <w:t>. Percentage of students receiving free and reduced lunch (2017-2018)</w:t>
      </w:r>
      <w:r w:rsidRPr="00900488">
        <w:rPr>
          <w:rStyle w:val="FootnoteReference"/>
          <w:b/>
          <w:szCs w:val="24"/>
        </w:rPr>
        <w:footnoteReference w:id="5"/>
      </w:r>
    </w:p>
    <w:p w14:paraId="55026167" w14:textId="065E1031" w:rsidR="00511E76" w:rsidRDefault="006B7E84" w:rsidP="00390229">
      <w:pPr>
        <w:keepNext/>
        <w:rPr>
          <w:rFonts w:ascii="Calibri" w:eastAsia="Calibri" w:hAnsi="Calibri" w:cs="Arial"/>
          <w:iCs/>
          <w:color w:val="000000"/>
          <w:sz w:val="22"/>
          <w:szCs w:val="18"/>
        </w:rPr>
      </w:pPr>
      <w:r>
        <w:rPr>
          <w:noProof/>
        </w:rPr>
        <w:drawing>
          <wp:inline distT="0" distB="0" distL="0" distR="0" wp14:anchorId="619FCE16" wp14:editId="55D79997">
            <wp:extent cx="6333490" cy="2943225"/>
            <wp:effectExtent l="0" t="0" r="0" b="0"/>
            <wp:docPr id="8" name="Chart 8">
              <a:extLst xmlns:a="http://schemas.openxmlformats.org/drawingml/2006/main">
                <a:ext uri="{FF2B5EF4-FFF2-40B4-BE49-F238E27FC236}">
                  <a16:creationId xmlns:a16="http://schemas.microsoft.com/office/drawing/2014/main" id="{5B48F5BA-DFE4-4E91-BC07-275887321E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21CEBB" w14:textId="77777777" w:rsidR="006B7E84" w:rsidRDefault="006B7E84">
      <w:pPr>
        <w:rPr>
          <w:rFonts w:ascii="Calibri" w:eastAsia="Calibri" w:hAnsi="Calibri" w:cs="Arial"/>
          <w:iCs/>
          <w:color w:val="000000"/>
          <w:sz w:val="22"/>
          <w:szCs w:val="18"/>
        </w:rPr>
      </w:pPr>
      <w:r>
        <w:rPr>
          <w:rFonts w:ascii="Calibri" w:eastAsia="Calibri" w:hAnsi="Calibri" w:cs="Arial"/>
          <w:iCs/>
          <w:color w:val="000000"/>
          <w:sz w:val="22"/>
          <w:szCs w:val="18"/>
        </w:rPr>
        <w:br w:type="page"/>
      </w:r>
    </w:p>
    <w:p w14:paraId="42624CC8" w14:textId="77777777" w:rsidR="006B7E84" w:rsidRDefault="006B7E84" w:rsidP="00390229">
      <w:pPr>
        <w:keepNext/>
        <w:rPr>
          <w:rFonts w:ascii="Calibri" w:eastAsia="Calibri" w:hAnsi="Calibri" w:cs="Arial"/>
          <w:iCs/>
          <w:color w:val="000000"/>
          <w:sz w:val="22"/>
          <w:szCs w:val="18"/>
        </w:rPr>
        <w:sectPr w:rsidR="006B7E84" w:rsidSect="00E06FF9">
          <w:footerReference w:type="default" r:id="rId11"/>
          <w:pgSz w:w="12240" w:h="15840"/>
          <w:pgMar w:top="1440" w:right="1440" w:bottom="1440" w:left="1440" w:header="720" w:footer="720" w:gutter="0"/>
          <w:cols w:space="720"/>
          <w:docGrid w:linePitch="360"/>
        </w:sectPr>
      </w:pPr>
    </w:p>
    <w:bookmarkEnd w:id="4"/>
    <w:bookmarkEnd w:id="5"/>
    <w:p w14:paraId="52F269B8" w14:textId="78D46094" w:rsidR="002C3A78" w:rsidRPr="002C3A78" w:rsidRDefault="002C3A78" w:rsidP="002C3A78">
      <w:pPr>
        <w:rPr>
          <w:rFonts w:ascii="Calibri" w:eastAsia="Calibri" w:hAnsi="Calibri" w:cs="Times New Roman"/>
          <w:bCs/>
          <w:szCs w:val="24"/>
        </w:rPr>
      </w:pPr>
      <w:r>
        <w:rPr>
          <w:rFonts w:ascii="Calibri" w:eastAsia="Calibri" w:hAnsi="Calibri" w:cs="Times New Roman"/>
          <w:bCs/>
          <w:szCs w:val="24"/>
        </w:rPr>
        <w:lastRenderedPageBreak/>
        <w:t xml:space="preserve">Median household income is lower in all eight counties </w:t>
      </w:r>
      <w:r w:rsidR="0033519C">
        <w:rPr>
          <w:rFonts w:ascii="Calibri" w:eastAsia="Calibri" w:hAnsi="Calibri" w:cs="Times New Roman"/>
          <w:bCs/>
          <w:szCs w:val="24"/>
        </w:rPr>
        <w:t xml:space="preserve">compared to the state by a range of $11,901 to $24,973 (Figure 3). </w:t>
      </w:r>
    </w:p>
    <w:p w14:paraId="6A301BCB" w14:textId="77777777" w:rsidR="002C3A78" w:rsidRDefault="002C3A78" w:rsidP="00E06FF9">
      <w:pPr>
        <w:jc w:val="center"/>
        <w:rPr>
          <w:rFonts w:ascii="Calibri" w:eastAsia="Calibri" w:hAnsi="Calibri" w:cs="Times New Roman"/>
          <w:b/>
          <w:bCs/>
          <w:szCs w:val="24"/>
        </w:rPr>
      </w:pPr>
    </w:p>
    <w:p w14:paraId="0139FB13" w14:textId="448F9275" w:rsidR="00E06FF9" w:rsidRPr="002F4E39" w:rsidRDefault="00E06FF9" w:rsidP="00E06FF9">
      <w:pPr>
        <w:jc w:val="center"/>
        <w:rPr>
          <w:rFonts w:ascii="Calibri" w:eastAsia="Calibri" w:hAnsi="Calibri" w:cs="Times New Roman"/>
          <w:szCs w:val="24"/>
        </w:rPr>
      </w:pPr>
      <w:r w:rsidRPr="002F4E39">
        <w:rPr>
          <w:rFonts w:ascii="Calibri" w:eastAsia="Calibri" w:hAnsi="Calibri" w:cs="Times New Roman"/>
          <w:b/>
          <w:bCs/>
          <w:szCs w:val="24"/>
        </w:rPr>
        <w:t xml:space="preserve">Figure </w:t>
      </w:r>
      <w:r>
        <w:rPr>
          <w:rFonts w:ascii="Calibri" w:eastAsia="Calibri" w:hAnsi="Calibri" w:cs="Times New Roman"/>
          <w:b/>
          <w:bCs/>
          <w:szCs w:val="24"/>
        </w:rPr>
        <w:t>3</w:t>
      </w:r>
      <w:r w:rsidRPr="002F4E39">
        <w:rPr>
          <w:rFonts w:ascii="Calibri" w:eastAsia="Calibri" w:hAnsi="Calibri" w:cs="Times New Roman"/>
          <w:b/>
          <w:bCs/>
          <w:szCs w:val="24"/>
        </w:rPr>
        <w:t>. Median household income (2017)</w:t>
      </w:r>
      <w:r w:rsidRPr="002F4E39">
        <w:rPr>
          <w:rStyle w:val="FootnoteReference"/>
          <w:b/>
        </w:rPr>
        <w:footnoteReference w:id="6"/>
      </w:r>
    </w:p>
    <w:p w14:paraId="2861C592" w14:textId="77777777" w:rsidR="00E06FF9" w:rsidRPr="00E56AF1" w:rsidRDefault="00E06FF9" w:rsidP="00E06FF9">
      <w:pPr>
        <w:rPr>
          <w:rFonts w:ascii="Calibri" w:eastAsia="Calibri" w:hAnsi="Calibri" w:cs="Times New Roman"/>
          <w:szCs w:val="24"/>
        </w:rPr>
      </w:pPr>
      <w:r>
        <w:rPr>
          <w:noProof/>
        </w:rPr>
        <w:drawing>
          <wp:inline distT="0" distB="0" distL="0" distR="0" wp14:anchorId="79AE95AA" wp14:editId="39B08442">
            <wp:extent cx="5943599" cy="2468880"/>
            <wp:effectExtent l="0" t="0" r="635" b="7620"/>
            <wp:docPr id="4" name="Chart 4">
              <a:extLst xmlns:a="http://schemas.openxmlformats.org/drawingml/2006/main">
                <a:ext uri="{FF2B5EF4-FFF2-40B4-BE49-F238E27FC236}">
                  <a16:creationId xmlns:a16="http://schemas.microsoft.com/office/drawing/2014/main" id="{39B044BD-71E3-40A6-A9B6-1D43CC801B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E53853" w14:textId="77777777" w:rsidR="00E06FF9" w:rsidRDefault="00E06FF9" w:rsidP="00E06FF9">
      <w:pPr>
        <w:rPr>
          <w:rFonts w:ascii="Calibri" w:eastAsia="Calibri" w:hAnsi="Calibri" w:cs="Times New Roman"/>
          <w:b/>
          <w:bCs/>
          <w:iCs/>
          <w:color w:val="000000"/>
          <w:sz w:val="22"/>
          <w:szCs w:val="18"/>
        </w:rPr>
      </w:pPr>
    </w:p>
    <w:p w14:paraId="71C9FFF4" w14:textId="3DDEAD7D" w:rsidR="00E06FF9" w:rsidRPr="00C826C4" w:rsidRDefault="00E06FF9" w:rsidP="00E06FF9">
      <w:pPr>
        <w:pStyle w:val="Heading2"/>
        <w:pBdr>
          <w:bottom w:val="single" w:sz="4" w:space="1" w:color="auto"/>
        </w:pBdr>
        <w:rPr>
          <w:b/>
          <w:color w:val="auto"/>
        </w:rPr>
      </w:pPr>
      <w:r>
        <w:rPr>
          <w:b/>
          <w:color w:val="auto"/>
        </w:rPr>
        <w:t>Mobility</w:t>
      </w:r>
    </w:p>
    <w:p w14:paraId="5AA6D1A1" w14:textId="77777777" w:rsidR="00E06FF9" w:rsidRDefault="00E06FF9" w:rsidP="00BE4B22">
      <w:pPr>
        <w:jc w:val="center"/>
        <w:rPr>
          <w:b/>
          <w:bCs/>
        </w:rPr>
      </w:pPr>
    </w:p>
    <w:p w14:paraId="3BDF512D" w14:textId="4EE9DFB0" w:rsidR="00E06FF9" w:rsidRPr="0033519C" w:rsidRDefault="0033519C" w:rsidP="0033519C">
      <w:pPr>
        <w:rPr>
          <w:bCs/>
        </w:rPr>
      </w:pPr>
      <w:r>
        <w:rPr>
          <w:bCs/>
        </w:rPr>
        <w:t>Geographic mobility</w:t>
      </w:r>
      <w:r w:rsidR="00AF1470">
        <w:rPr>
          <w:bCs/>
        </w:rPr>
        <w:t xml:space="preserve"> </w:t>
      </w:r>
      <w:r w:rsidR="00AF1470" w:rsidRPr="00DF6A32">
        <w:t>(having moved within the same county, moved from a different county within the same state, moved from a different state, or moved from abroad)</w:t>
      </w:r>
      <w:r>
        <w:rPr>
          <w:bCs/>
        </w:rPr>
        <w:t xml:space="preserve"> for those under 18 varied substantially from county to county. Blaine, Custer, Greeley, Valley and Wheeler all experienced higher geographic mobility than the state average </w:t>
      </w:r>
      <w:r w:rsidR="008B6E02">
        <w:rPr>
          <w:bCs/>
        </w:rPr>
        <w:t xml:space="preserve">of 15.1% </w:t>
      </w:r>
      <w:r>
        <w:rPr>
          <w:bCs/>
        </w:rPr>
        <w:t xml:space="preserve">(Figure 4). </w:t>
      </w:r>
    </w:p>
    <w:p w14:paraId="13262835" w14:textId="77777777" w:rsidR="0033519C" w:rsidRDefault="0033519C" w:rsidP="00BE4B22">
      <w:pPr>
        <w:jc w:val="center"/>
        <w:rPr>
          <w:b/>
          <w:bCs/>
        </w:rPr>
      </w:pPr>
    </w:p>
    <w:p w14:paraId="3CE619F9" w14:textId="2B842136" w:rsidR="00BE4B22" w:rsidRPr="00962C86" w:rsidRDefault="00BE4B22" w:rsidP="00BE4B22">
      <w:pPr>
        <w:jc w:val="center"/>
      </w:pPr>
      <w:r w:rsidRPr="00962C86">
        <w:rPr>
          <w:b/>
          <w:bCs/>
        </w:rPr>
        <w:t xml:space="preserve">Figure </w:t>
      </w:r>
      <w:r w:rsidR="00E06FF9">
        <w:rPr>
          <w:b/>
          <w:bCs/>
        </w:rPr>
        <w:t>4</w:t>
      </w:r>
      <w:r w:rsidRPr="00962C86">
        <w:rPr>
          <w:b/>
          <w:bCs/>
        </w:rPr>
        <w:t>. Geographic Mobility (moved in the past year) among those under</w:t>
      </w:r>
      <w:r w:rsidR="0033519C">
        <w:rPr>
          <w:b/>
          <w:bCs/>
        </w:rPr>
        <w:t xml:space="preserve"> 18</w:t>
      </w:r>
      <w:r w:rsidRPr="00962C86">
        <w:rPr>
          <w:b/>
          <w:bCs/>
        </w:rPr>
        <w:t xml:space="preserve"> (2017)</w:t>
      </w:r>
      <w:r w:rsidRPr="00962C86">
        <w:rPr>
          <w:rStyle w:val="FootnoteReference"/>
        </w:rPr>
        <w:t xml:space="preserve"> </w:t>
      </w:r>
      <w:r>
        <w:rPr>
          <w:rStyle w:val="FootnoteReference"/>
        </w:rPr>
        <w:footnoteReference w:id="7"/>
      </w:r>
    </w:p>
    <w:p w14:paraId="627F345B" w14:textId="77777777" w:rsidR="00BE4B22" w:rsidRDefault="00BE4B22" w:rsidP="00BE4B22">
      <w:pPr>
        <w:jc w:val="center"/>
      </w:pPr>
      <w:r>
        <w:rPr>
          <w:noProof/>
        </w:rPr>
        <w:drawing>
          <wp:inline distT="0" distB="0" distL="0" distR="0" wp14:anchorId="0700F5C5" wp14:editId="0383C656">
            <wp:extent cx="4781550" cy="1737360"/>
            <wp:effectExtent l="0" t="0" r="0" b="0"/>
            <wp:docPr id="1" name="Chart 1">
              <a:extLst xmlns:a="http://schemas.openxmlformats.org/drawingml/2006/main">
                <a:ext uri="{FF2B5EF4-FFF2-40B4-BE49-F238E27FC236}">
                  <a16:creationId xmlns:a16="http://schemas.microsoft.com/office/drawing/2014/main" id="{C67269A4-157A-410A-98E1-8F048EBAE3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086B2A" w14:textId="77777777" w:rsidR="00BE4B22" w:rsidRDefault="00BE4B22" w:rsidP="00BE4B22">
      <w:pPr>
        <w:jc w:val="center"/>
        <w:rPr>
          <w:b/>
          <w:bCs/>
        </w:rPr>
      </w:pPr>
    </w:p>
    <w:p w14:paraId="1547EADF" w14:textId="77777777" w:rsidR="00E06FF9" w:rsidRDefault="00E06FF9" w:rsidP="00BE4B22">
      <w:pPr>
        <w:jc w:val="center"/>
        <w:rPr>
          <w:b/>
          <w:bCs/>
        </w:rPr>
      </w:pPr>
    </w:p>
    <w:p w14:paraId="39087080" w14:textId="77777777" w:rsidR="00E06FF9" w:rsidRDefault="00E06FF9" w:rsidP="00BE4B22">
      <w:pPr>
        <w:jc w:val="center"/>
        <w:rPr>
          <w:b/>
          <w:bCs/>
        </w:rPr>
      </w:pPr>
    </w:p>
    <w:p w14:paraId="4AA9D9DB" w14:textId="77777777" w:rsidR="00E06FF9" w:rsidRDefault="00E06FF9" w:rsidP="00BE4B22">
      <w:pPr>
        <w:jc w:val="center"/>
        <w:rPr>
          <w:b/>
          <w:bCs/>
        </w:rPr>
      </w:pPr>
    </w:p>
    <w:p w14:paraId="609DE656" w14:textId="7A23EA8B" w:rsidR="008B6E02" w:rsidRDefault="008B6E02" w:rsidP="008B6E02">
      <w:pPr>
        <w:rPr>
          <w:bCs/>
        </w:rPr>
      </w:pPr>
      <w:r>
        <w:rPr>
          <w:bCs/>
        </w:rPr>
        <w:lastRenderedPageBreak/>
        <w:t>School mobility</w:t>
      </w:r>
      <w:r w:rsidR="00AF1470">
        <w:rPr>
          <w:bCs/>
        </w:rPr>
        <w:t xml:space="preserve"> is the</w:t>
      </w:r>
      <w:r>
        <w:rPr>
          <w:bCs/>
        </w:rPr>
        <w:t xml:space="preserve"> percent</w:t>
      </w:r>
      <w:r w:rsidR="00AF1470">
        <w:rPr>
          <w:bCs/>
        </w:rPr>
        <w:t>age</w:t>
      </w:r>
      <w:r>
        <w:rPr>
          <w:bCs/>
        </w:rPr>
        <w:t xml:space="preserve"> of students within each school district that changed schools during the school year</w:t>
      </w:r>
      <w:r w:rsidR="00AF1470">
        <w:rPr>
          <w:bCs/>
        </w:rPr>
        <w:t>.</w:t>
      </w:r>
      <w:r>
        <w:rPr>
          <w:bCs/>
        </w:rPr>
        <w:t xml:space="preserve"> </w:t>
      </w:r>
      <w:r w:rsidR="00AF1470">
        <w:rPr>
          <w:bCs/>
        </w:rPr>
        <w:t>S</w:t>
      </w:r>
      <w:r>
        <w:rPr>
          <w:bCs/>
        </w:rPr>
        <w:t>even school districts out of 13 districts with available data</w:t>
      </w:r>
      <w:r w:rsidR="00AF1470">
        <w:rPr>
          <w:bCs/>
        </w:rPr>
        <w:t xml:space="preserve"> were </w:t>
      </w:r>
      <w:r>
        <w:rPr>
          <w:bCs/>
        </w:rPr>
        <w:t xml:space="preserve">higher </w:t>
      </w:r>
      <w:r w:rsidR="00AF1470">
        <w:rPr>
          <w:bCs/>
        </w:rPr>
        <w:t xml:space="preserve">in terms of school mobility </w:t>
      </w:r>
      <w:r>
        <w:rPr>
          <w:bCs/>
        </w:rPr>
        <w:t xml:space="preserve">than the 11% state average (Figure 5). </w:t>
      </w:r>
    </w:p>
    <w:p w14:paraId="36DD092B" w14:textId="77777777" w:rsidR="008B6E02" w:rsidRPr="008B6E02" w:rsidRDefault="008B6E02" w:rsidP="008B6E02">
      <w:pPr>
        <w:rPr>
          <w:bCs/>
        </w:rPr>
      </w:pPr>
    </w:p>
    <w:p w14:paraId="6F03F782" w14:textId="061EA49E" w:rsidR="00BE4B22" w:rsidRPr="00390229" w:rsidRDefault="00BE4B22" w:rsidP="00BE4B22">
      <w:pPr>
        <w:jc w:val="center"/>
      </w:pPr>
      <w:r w:rsidRPr="00390229">
        <w:rPr>
          <w:b/>
          <w:bCs/>
        </w:rPr>
        <w:t xml:space="preserve">Figure </w:t>
      </w:r>
      <w:r w:rsidR="00E06FF9">
        <w:rPr>
          <w:b/>
          <w:bCs/>
        </w:rPr>
        <w:t>5</w:t>
      </w:r>
      <w:r w:rsidRPr="00390229">
        <w:rPr>
          <w:b/>
          <w:bCs/>
        </w:rPr>
        <w:t>. School mobility (changed schools in the past year) (2017-2018)</w:t>
      </w:r>
      <w:r>
        <w:rPr>
          <w:rStyle w:val="FootnoteReference"/>
          <w:b/>
          <w:bCs/>
        </w:rPr>
        <w:footnoteReference w:id="8"/>
      </w:r>
    </w:p>
    <w:p w14:paraId="063B1A7C" w14:textId="77777777" w:rsidR="00BE4B22" w:rsidRDefault="00BE4B22" w:rsidP="00BE4B22">
      <w:pPr>
        <w:jc w:val="center"/>
      </w:pPr>
      <w:r>
        <w:rPr>
          <w:noProof/>
        </w:rPr>
        <w:drawing>
          <wp:inline distT="0" distB="0" distL="0" distR="0" wp14:anchorId="3C90D446" wp14:editId="1B2C537B">
            <wp:extent cx="5981700" cy="2466975"/>
            <wp:effectExtent l="0" t="0" r="0" b="0"/>
            <wp:docPr id="2" name="Chart 2">
              <a:extLst xmlns:a="http://schemas.openxmlformats.org/drawingml/2006/main">
                <a:ext uri="{FF2B5EF4-FFF2-40B4-BE49-F238E27FC236}">
                  <a16:creationId xmlns:a16="http://schemas.microsoft.com/office/drawing/2014/main" id="{ED8E4AB3-2D81-47BB-A511-E7C97358D6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73BC06" w14:textId="77777777" w:rsidR="00BE4B22" w:rsidRDefault="00BE4B22" w:rsidP="00BE4B22">
      <w:pPr>
        <w:ind w:left="180" w:right="270"/>
        <w:rPr>
          <w:sz w:val="18"/>
          <w:szCs w:val="18"/>
        </w:rPr>
      </w:pPr>
      <w:r w:rsidRPr="00390229">
        <w:rPr>
          <w:sz w:val="18"/>
          <w:szCs w:val="18"/>
        </w:rPr>
        <w:t xml:space="preserve">Note: some data have been masked to protect the privacy of students. </w:t>
      </w:r>
    </w:p>
    <w:p w14:paraId="32B5A13F" w14:textId="77777777" w:rsidR="00E06FF9" w:rsidRDefault="00E06FF9" w:rsidP="00E06FF9">
      <w:pPr>
        <w:pStyle w:val="Heading2"/>
        <w:pBdr>
          <w:bottom w:val="single" w:sz="4" w:space="1" w:color="auto"/>
        </w:pBdr>
        <w:rPr>
          <w:b/>
          <w:color w:val="auto"/>
        </w:rPr>
      </w:pPr>
    </w:p>
    <w:p w14:paraId="330875BE" w14:textId="3187EED7" w:rsidR="00E06FF9" w:rsidRPr="00C826C4" w:rsidRDefault="00E06FF9" w:rsidP="00E06FF9">
      <w:pPr>
        <w:pStyle w:val="Heading2"/>
        <w:pBdr>
          <w:bottom w:val="single" w:sz="4" w:space="1" w:color="auto"/>
        </w:pBdr>
        <w:rPr>
          <w:b/>
          <w:color w:val="auto"/>
        </w:rPr>
      </w:pPr>
      <w:r>
        <w:rPr>
          <w:b/>
          <w:color w:val="auto"/>
        </w:rPr>
        <w:t>Education</w:t>
      </w:r>
    </w:p>
    <w:p w14:paraId="4019E800" w14:textId="46E27031" w:rsidR="00BE4B22" w:rsidRDefault="00BE4B22">
      <w:pPr>
        <w:rPr>
          <w:b/>
          <w:bCs/>
          <w:szCs w:val="24"/>
        </w:rPr>
      </w:pPr>
    </w:p>
    <w:p w14:paraId="11FD2426" w14:textId="106FCF16" w:rsidR="000B3DB2" w:rsidRPr="007A14A7" w:rsidRDefault="007A14A7" w:rsidP="000B3DB2">
      <w:pPr>
        <w:rPr>
          <w:bCs/>
          <w:szCs w:val="24"/>
        </w:rPr>
      </w:pPr>
      <w:r>
        <w:rPr>
          <w:bCs/>
          <w:szCs w:val="24"/>
        </w:rPr>
        <w:t>In all counties, the percent</w:t>
      </w:r>
      <w:r w:rsidR="00AF1470">
        <w:rPr>
          <w:bCs/>
          <w:szCs w:val="24"/>
        </w:rPr>
        <w:t>age</w:t>
      </w:r>
      <w:r>
        <w:rPr>
          <w:bCs/>
          <w:szCs w:val="24"/>
        </w:rPr>
        <w:t xml:space="preserve"> of the adult population with a high school degree or higher is well </w:t>
      </w:r>
      <w:r w:rsidR="00AF1470">
        <w:rPr>
          <w:bCs/>
          <w:szCs w:val="24"/>
        </w:rPr>
        <w:t>greater than</w:t>
      </w:r>
      <w:r>
        <w:rPr>
          <w:bCs/>
          <w:szCs w:val="24"/>
        </w:rPr>
        <w:t xml:space="preserve"> state average of 90.0%</w:t>
      </w:r>
      <w:r w:rsidR="00AF1470">
        <w:rPr>
          <w:bCs/>
          <w:szCs w:val="24"/>
        </w:rPr>
        <w:t>.</w:t>
      </w:r>
      <w:r>
        <w:rPr>
          <w:bCs/>
          <w:szCs w:val="24"/>
        </w:rPr>
        <w:t xml:space="preserve"> </w:t>
      </w:r>
      <w:r w:rsidR="00AF1470">
        <w:rPr>
          <w:bCs/>
          <w:szCs w:val="24"/>
        </w:rPr>
        <w:t>T</w:t>
      </w:r>
      <w:r>
        <w:rPr>
          <w:bCs/>
          <w:szCs w:val="24"/>
        </w:rPr>
        <w:t>wo counties</w:t>
      </w:r>
      <w:r w:rsidR="00AF1470">
        <w:rPr>
          <w:bCs/>
          <w:szCs w:val="24"/>
        </w:rPr>
        <w:t xml:space="preserve"> (Blaine and Loup) have</w:t>
      </w:r>
      <w:r>
        <w:rPr>
          <w:bCs/>
          <w:szCs w:val="24"/>
        </w:rPr>
        <w:t xml:space="preserve"> over 98% of the adult population</w:t>
      </w:r>
      <w:r w:rsidR="00AF1470">
        <w:rPr>
          <w:bCs/>
          <w:szCs w:val="24"/>
        </w:rPr>
        <w:t xml:space="preserve"> with a high school degree or higher</w:t>
      </w:r>
      <w:r>
        <w:rPr>
          <w:bCs/>
          <w:szCs w:val="24"/>
        </w:rPr>
        <w:t xml:space="preserve"> (Figure 6). </w:t>
      </w:r>
    </w:p>
    <w:p w14:paraId="0B86CBEB" w14:textId="77777777" w:rsidR="000B3DB2" w:rsidRDefault="000B3DB2" w:rsidP="00511E76">
      <w:pPr>
        <w:jc w:val="center"/>
        <w:rPr>
          <w:b/>
          <w:bCs/>
          <w:szCs w:val="24"/>
        </w:rPr>
      </w:pPr>
    </w:p>
    <w:p w14:paraId="10C1BAF7" w14:textId="37607C21" w:rsidR="00511E76" w:rsidRPr="00511E76" w:rsidRDefault="00511E76" w:rsidP="00511E76">
      <w:pPr>
        <w:jc w:val="center"/>
        <w:rPr>
          <w:szCs w:val="24"/>
        </w:rPr>
      </w:pPr>
      <w:r w:rsidRPr="00511E76">
        <w:rPr>
          <w:b/>
          <w:bCs/>
          <w:szCs w:val="24"/>
        </w:rPr>
        <w:t xml:space="preserve">Figure </w:t>
      </w:r>
      <w:r w:rsidR="006B7E84">
        <w:rPr>
          <w:b/>
          <w:bCs/>
          <w:szCs w:val="24"/>
        </w:rPr>
        <w:t>6</w:t>
      </w:r>
      <w:r w:rsidRPr="00511E76">
        <w:rPr>
          <w:b/>
          <w:bCs/>
          <w:szCs w:val="24"/>
        </w:rPr>
        <w:t xml:space="preserve">. Percent of the population age 25 and older with a </w:t>
      </w:r>
      <w:r w:rsidRPr="00511E76">
        <w:rPr>
          <w:b/>
          <w:bCs/>
          <w:szCs w:val="24"/>
          <w:u w:val="single"/>
        </w:rPr>
        <w:t>high school degree or higher</w:t>
      </w:r>
      <w:r w:rsidRPr="00511E76">
        <w:rPr>
          <w:b/>
          <w:bCs/>
          <w:szCs w:val="24"/>
        </w:rPr>
        <w:t xml:space="preserve"> (2017)</w:t>
      </w:r>
      <w:r w:rsidRPr="006B7E84">
        <w:rPr>
          <w:rStyle w:val="FootnoteReference"/>
          <w:b/>
          <w:sz w:val="21"/>
          <w:szCs w:val="21"/>
        </w:rPr>
        <w:footnoteReference w:id="9"/>
      </w:r>
    </w:p>
    <w:p w14:paraId="20218C42" w14:textId="77777777" w:rsidR="00511E76" w:rsidRDefault="00B627E7" w:rsidP="00B91FC5">
      <w:pPr>
        <w:jc w:val="center"/>
        <w:rPr>
          <w:szCs w:val="24"/>
        </w:rPr>
      </w:pPr>
      <w:r>
        <w:rPr>
          <w:noProof/>
        </w:rPr>
        <w:drawing>
          <wp:inline distT="0" distB="0" distL="0" distR="0" wp14:anchorId="664F813F" wp14:editId="2A8B4205">
            <wp:extent cx="5009515" cy="2038350"/>
            <wp:effectExtent l="0" t="0" r="635" b="0"/>
            <wp:docPr id="5" name="Chart 5">
              <a:extLst xmlns:a="http://schemas.openxmlformats.org/drawingml/2006/main">
                <a:ext uri="{FF2B5EF4-FFF2-40B4-BE49-F238E27FC236}">
                  <a16:creationId xmlns:a16="http://schemas.microsoft.com/office/drawing/2014/main" id="{736CB60C-E77F-4F64-BD36-145A26497A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D01737" w14:textId="77F6E994" w:rsidR="006B7E84" w:rsidRDefault="006B7E84">
      <w:pPr>
        <w:rPr>
          <w:b/>
          <w:bCs/>
          <w:szCs w:val="24"/>
        </w:rPr>
      </w:pPr>
    </w:p>
    <w:p w14:paraId="566BD48A" w14:textId="01C5A30E" w:rsidR="00E06FF9" w:rsidRDefault="00E06FF9">
      <w:pPr>
        <w:rPr>
          <w:b/>
          <w:bCs/>
          <w:szCs w:val="24"/>
        </w:rPr>
      </w:pPr>
    </w:p>
    <w:p w14:paraId="49C0E224" w14:textId="467B8C16" w:rsidR="00E06FF9" w:rsidRDefault="00983D38">
      <w:pPr>
        <w:rPr>
          <w:b/>
          <w:bCs/>
          <w:szCs w:val="24"/>
        </w:rPr>
      </w:pPr>
      <w:r>
        <w:rPr>
          <w:bCs/>
          <w:szCs w:val="24"/>
        </w:rPr>
        <w:lastRenderedPageBreak/>
        <w:t>Again, the percent</w:t>
      </w:r>
      <w:r w:rsidR="00AF1470">
        <w:rPr>
          <w:bCs/>
          <w:szCs w:val="24"/>
        </w:rPr>
        <w:t>age</w:t>
      </w:r>
      <w:r>
        <w:rPr>
          <w:bCs/>
          <w:szCs w:val="24"/>
        </w:rPr>
        <w:t xml:space="preserve"> of the adult population that have had some college or an Associate’s degree is higher than the average for the state across all </w:t>
      </w:r>
      <w:r w:rsidR="00AF1470">
        <w:rPr>
          <w:bCs/>
          <w:szCs w:val="24"/>
        </w:rPr>
        <w:t>eight counties in the service area</w:t>
      </w:r>
      <w:r>
        <w:rPr>
          <w:bCs/>
          <w:szCs w:val="24"/>
        </w:rPr>
        <w:t xml:space="preserve"> (Figure 7). However, </w:t>
      </w:r>
      <w:r w:rsidR="00AF1470">
        <w:rPr>
          <w:bCs/>
          <w:szCs w:val="24"/>
        </w:rPr>
        <w:t>a lower percentage of</w:t>
      </w:r>
      <w:r>
        <w:rPr>
          <w:bCs/>
          <w:szCs w:val="24"/>
        </w:rPr>
        <w:t xml:space="preserve"> the population</w:t>
      </w:r>
      <w:r w:rsidR="00AF1470">
        <w:rPr>
          <w:bCs/>
          <w:szCs w:val="24"/>
        </w:rPr>
        <w:t xml:space="preserve"> in the eight county area</w:t>
      </w:r>
      <w:r>
        <w:rPr>
          <w:bCs/>
          <w:szCs w:val="24"/>
        </w:rPr>
        <w:t xml:space="preserve"> have received a Bachelor’s degree or higher</w:t>
      </w:r>
      <w:r w:rsidR="00AF1470">
        <w:rPr>
          <w:bCs/>
          <w:szCs w:val="24"/>
        </w:rPr>
        <w:t xml:space="preserve"> compared to the state</w:t>
      </w:r>
      <w:r>
        <w:rPr>
          <w:bCs/>
          <w:szCs w:val="24"/>
        </w:rPr>
        <w:t xml:space="preserve"> (Figure 8). </w:t>
      </w:r>
    </w:p>
    <w:p w14:paraId="1494D26F" w14:textId="77777777" w:rsidR="00E06FF9" w:rsidRDefault="00E06FF9">
      <w:pPr>
        <w:rPr>
          <w:b/>
          <w:bCs/>
          <w:szCs w:val="24"/>
        </w:rPr>
      </w:pPr>
    </w:p>
    <w:p w14:paraId="00CCC830" w14:textId="5B804295" w:rsidR="00511E76" w:rsidRPr="00511E76" w:rsidRDefault="00511E76" w:rsidP="00511E76">
      <w:pPr>
        <w:jc w:val="center"/>
        <w:rPr>
          <w:szCs w:val="24"/>
        </w:rPr>
      </w:pPr>
      <w:r w:rsidRPr="00511E76">
        <w:rPr>
          <w:b/>
          <w:bCs/>
          <w:szCs w:val="24"/>
        </w:rPr>
        <w:t xml:space="preserve">Figure </w:t>
      </w:r>
      <w:r w:rsidR="006B7E84">
        <w:rPr>
          <w:b/>
          <w:bCs/>
          <w:szCs w:val="24"/>
        </w:rPr>
        <w:t>7</w:t>
      </w:r>
      <w:r w:rsidRPr="00511E76">
        <w:rPr>
          <w:b/>
          <w:bCs/>
          <w:szCs w:val="24"/>
        </w:rPr>
        <w:t xml:space="preserve">. Percent of the population age 25 and older </w:t>
      </w:r>
      <w:r w:rsidRPr="00511E76">
        <w:rPr>
          <w:b/>
          <w:bCs/>
          <w:szCs w:val="24"/>
          <w:u w:val="single"/>
        </w:rPr>
        <w:t>with some college (no degree) or an Associate's degree</w:t>
      </w:r>
      <w:r w:rsidRPr="00511E76">
        <w:rPr>
          <w:b/>
          <w:bCs/>
          <w:szCs w:val="24"/>
        </w:rPr>
        <w:t xml:space="preserve"> (2017)</w:t>
      </w:r>
      <w:r w:rsidRPr="006B7E84">
        <w:rPr>
          <w:rStyle w:val="FootnoteReference"/>
          <w:b/>
          <w:sz w:val="21"/>
          <w:szCs w:val="21"/>
        </w:rPr>
        <w:footnoteReference w:id="10"/>
      </w:r>
    </w:p>
    <w:p w14:paraId="533BDF4C" w14:textId="77777777" w:rsidR="00511E76" w:rsidRDefault="00511E76" w:rsidP="00B91FC5">
      <w:pPr>
        <w:jc w:val="center"/>
        <w:rPr>
          <w:szCs w:val="24"/>
        </w:rPr>
      </w:pPr>
      <w:r>
        <w:rPr>
          <w:noProof/>
        </w:rPr>
        <w:drawing>
          <wp:inline distT="0" distB="0" distL="0" distR="0" wp14:anchorId="01337051" wp14:editId="4552798B">
            <wp:extent cx="5066665" cy="2028825"/>
            <wp:effectExtent l="0" t="0" r="635" b="0"/>
            <wp:docPr id="6" name="Chart 6">
              <a:extLst xmlns:a="http://schemas.openxmlformats.org/drawingml/2006/main">
                <a:ext uri="{FF2B5EF4-FFF2-40B4-BE49-F238E27FC236}">
                  <a16:creationId xmlns:a16="http://schemas.microsoft.com/office/drawing/2014/main" id="{8CE4C50C-6E52-43DC-A3E4-0795E72A5C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FBB755" w14:textId="53AB3ED3" w:rsidR="00511E76" w:rsidRDefault="00511E76">
      <w:pPr>
        <w:rPr>
          <w:szCs w:val="24"/>
        </w:rPr>
      </w:pPr>
    </w:p>
    <w:p w14:paraId="6B95FEF0" w14:textId="77777777" w:rsidR="006B7E84" w:rsidRDefault="006B7E84">
      <w:pPr>
        <w:rPr>
          <w:szCs w:val="24"/>
        </w:rPr>
      </w:pPr>
    </w:p>
    <w:p w14:paraId="35CA2956" w14:textId="7E8A78A5" w:rsidR="00511E76" w:rsidRDefault="00E06FF9" w:rsidP="00511E76">
      <w:pPr>
        <w:jc w:val="center"/>
        <w:rPr>
          <w:b/>
          <w:bCs/>
          <w:szCs w:val="24"/>
        </w:rPr>
      </w:pPr>
      <w:r>
        <w:rPr>
          <w:b/>
          <w:bCs/>
          <w:szCs w:val="24"/>
        </w:rPr>
        <w:t>F</w:t>
      </w:r>
      <w:r w:rsidR="00511E76" w:rsidRPr="00511E76">
        <w:rPr>
          <w:b/>
          <w:bCs/>
          <w:szCs w:val="24"/>
        </w:rPr>
        <w:t xml:space="preserve">igure </w:t>
      </w:r>
      <w:r w:rsidR="006B7E84">
        <w:rPr>
          <w:b/>
          <w:bCs/>
          <w:szCs w:val="24"/>
        </w:rPr>
        <w:t>8</w:t>
      </w:r>
      <w:r w:rsidR="00511E76" w:rsidRPr="00511E76">
        <w:rPr>
          <w:b/>
          <w:bCs/>
          <w:szCs w:val="24"/>
        </w:rPr>
        <w:t xml:space="preserve">. Percent of the population age 25 and older with a </w:t>
      </w:r>
      <w:r w:rsidR="00511E76" w:rsidRPr="00511E76">
        <w:rPr>
          <w:b/>
          <w:bCs/>
          <w:szCs w:val="24"/>
          <w:u w:val="single"/>
        </w:rPr>
        <w:t>Bachelor's degree or higher</w:t>
      </w:r>
      <w:r w:rsidR="00511E76" w:rsidRPr="00511E76">
        <w:rPr>
          <w:b/>
          <w:bCs/>
          <w:szCs w:val="24"/>
        </w:rPr>
        <w:t xml:space="preserve"> </w:t>
      </w:r>
    </w:p>
    <w:p w14:paraId="1CF85560" w14:textId="5C59B444" w:rsidR="00511E76" w:rsidRPr="00511E76" w:rsidRDefault="00511E76" w:rsidP="00511E76">
      <w:pPr>
        <w:jc w:val="center"/>
        <w:rPr>
          <w:szCs w:val="24"/>
        </w:rPr>
      </w:pPr>
      <w:r w:rsidRPr="00511E76">
        <w:rPr>
          <w:b/>
          <w:bCs/>
          <w:szCs w:val="24"/>
        </w:rPr>
        <w:t>(2017)</w:t>
      </w:r>
      <w:r w:rsidRPr="006B7E84">
        <w:rPr>
          <w:rStyle w:val="FootnoteReference"/>
          <w:b/>
          <w:sz w:val="21"/>
          <w:szCs w:val="21"/>
        </w:rPr>
        <w:footnoteReference w:id="11"/>
      </w:r>
    </w:p>
    <w:p w14:paraId="134A3F78" w14:textId="77777777" w:rsidR="00900488" w:rsidRDefault="00511E76" w:rsidP="00B91FC5">
      <w:pPr>
        <w:jc w:val="center"/>
        <w:rPr>
          <w:szCs w:val="24"/>
        </w:rPr>
      </w:pPr>
      <w:r>
        <w:rPr>
          <w:noProof/>
        </w:rPr>
        <w:drawing>
          <wp:inline distT="0" distB="0" distL="0" distR="0" wp14:anchorId="475D43ED" wp14:editId="666C51C8">
            <wp:extent cx="5266690" cy="1971675"/>
            <wp:effectExtent l="0" t="0" r="0" b="0"/>
            <wp:docPr id="7" name="Chart 7">
              <a:extLst xmlns:a="http://schemas.openxmlformats.org/drawingml/2006/main">
                <a:ext uri="{FF2B5EF4-FFF2-40B4-BE49-F238E27FC236}">
                  <a16:creationId xmlns:a16="http://schemas.microsoft.com/office/drawing/2014/main" id="{42B0DBC4-42E9-4F00-AF75-415712676F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B174189" w14:textId="6218EE7E" w:rsidR="00900488" w:rsidRDefault="00900488">
      <w:pPr>
        <w:rPr>
          <w:szCs w:val="24"/>
        </w:rPr>
      </w:pPr>
    </w:p>
    <w:p w14:paraId="71823AE7" w14:textId="2C1A95AC" w:rsidR="00093956" w:rsidRDefault="00093956">
      <w:pPr>
        <w:rPr>
          <w:szCs w:val="24"/>
        </w:rPr>
      </w:pPr>
    </w:p>
    <w:p w14:paraId="12ECB4BD" w14:textId="54158060" w:rsidR="00093956" w:rsidRDefault="00093956">
      <w:pPr>
        <w:rPr>
          <w:szCs w:val="24"/>
        </w:rPr>
      </w:pPr>
    </w:p>
    <w:p w14:paraId="57EACA46" w14:textId="6300C764" w:rsidR="00093956" w:rsidRDefault="00093956">
      <w:pPr>
        <w:rPr>
          <w:szCs w:val="24"/>
        </w:rPr>
      </w:pPr>
    </w:p>
    <w:p w14:paraId="2FEE30AE" w14:textId="5B0C14C0" w:rsidR="00093956" w:rsidRDefault="00093956">
      <w:pPr>
        <w:rPr>
          <w:szCs w:val="24"/>
        </w:rPr>
      </w:pPr>
    </w:p>
    <w:p w14:paraId="7984FA5D" w14:textId="30A699C1" w:rsidR="00093956" w:rsidRDefault="00093956">
      <w:pPr>
        <w:rPr>
          <w:szCs w:val="24"/>
        </w:rPr>
      </w:pPr>
    </w:p>
    <w:p w14:paraId="02655663" w14:textId="0E32F188" w:rsidR="00093956" w:rsidRDefault="00093956">
      <w:pPr>
        <w:rPr>
          <w:szCs w:val="24"/>
        </w:rPr>
      </w:pPr>
    </w:p>
    <w:p w14:paraId="53689884" w14:textId="54ED8005" w:rsidR="00093956" w:rsidRDefault="00093956">
      <w:pPr>
        <w:rPr>
          <w:szCs w:val="24"/>
        </w:rPr>
      </w:pPr>
    </w:p>
    <w:p w14:paraId="36552259" w14:textId="2B92F26E" w:rsidR="00093956" w:rsidRDefault="00093956">
      <w:pPr>
        <w:rPr>
          <w:szCs w:val="24"/>
        </w:rPr>
      </w:pPr>
    </w:p>
    <w:p w14:paraId="44A370B1" w14:textId="350C38BF" w:rsidR="00093956" w:rsidRPr="00C826C4" w:rsidRDefault="00093956" w:rsidP="00093956">
      <w:pPr>
        <w:pStyle w:val="Heading2"/>
        <w:pBdr>
          <w:bottom w:val="single" w:sz="4" w:space="1" w:color="auto"/>
        </w:pBdr>
        <w:rPr>
          <w:b/>
          <w:color w:val="auto"/>
        </w:rPr>
      </w:pPr>
      <w:r>
        <w:rPr>
          <w:b/>
          <w:color w:val="auto"/>
        </w:rPr>
        <w:lastRenderedPageBreak/>
        <w:t>Access to Healthcare</w:t>
      </w:r>
    </w:p>
    <w:p w14:paraId="4ABB6752" w14:textId="1B319BD5" w:rsidR="00093956" w:rsidRDefault="00093956">
      <w:pPr>
        <w:rPr>
          <w:szCs w:val="24"/>
        </w:rPr>
      </w:pPr>
    </w:p>
    <w:p w14:paraId="5933F532" w14:textId="1F962CB2" w:rsidR="00983D38" w:rsidRDefault="00983D38">
      <w:pPr>
        <w:rPr>
          <w:szCs w:val="24"/>
        </w:rPr>
      </w:pPr>
      <w:r>
        <w:rPr>
          <w:szCs w:val="24"/>
        </w:rPr>
        <w:t>Table 4 indicates the shortage of health professionals in the eight counties</w:t>
      </w:r>
      <w:r w:rsidR="00884CF9">
        <w:rPr>
          <w:szCs w:val="24"/>
        </w:rPr>
        <w:t xml:space="preserve"> in 2016</w:t>
      </w:r>
      <w:r w:rsidR="00A427C2">
        <w:rPr>
          <w:szCs w:val="24"/>
        </w:rPr>
        <w:t xml:space="preserve"> as designated by Nebraska DHHS.</w:t>
      </w:r>
      <w:r>
        <w:rPr>
          <w:szCs w:val="24"/>
        </w:rPr>
        <w:t xml:space="preserve"> </w:t>
      </w:r>
    </w:p>
    <w:p w14:paraId="2A8E861C" w14:textId="77777777" w:rsidR="00983D38" w:rsidRDefault="00983D38">
      <w:pPr>
        <w:rPr>
          <w:szCs w:val="24"/>
        </w:rPr>
      </w:pPr>
    </w:p>
    <w:tbl>
      <w:tblPr>
        <w:tblStyle w:val="GridTable2-Accent21"/>
        <w:tblW w:w="9360" w:type="dxa"/>
        <w:tblLayout w:type="fixed"/>
        <w:tblLook w:val="04A0" w:firstRow="1" w:lastRow="0" w:firstColumn="1" w:lastColumn="0" w:noHBand="0" w:noVBand="1"/>
      </w:tblPr>
      <w:tblGrid>
        <w:gridCol w:w="1188"/>
        <w:gridCol w:w="817"/>
        <w:gridCol w:w="817"/>
        <w:gridCol w:w="817"/>
        <w:gridCol w:w="817"/>
        <w:gridCol w:w="818"/>
        <w:gridCol w:w="817"/>
        <w:gridCol w:w="817"/>
        <w:gridCol w:w="817"/>
        <w:gridCol w:w="817"/>
        <w:gridCol w:w="818"/>
      </w:tblGrid>
      <w:tr w:rsidR="00853207" w:rsidRPr="006E1CB8" w14:paraId="574345F8" w14:textId="77777777" w:rsidTr="00853207">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9360" w:type="dxa"/>
            <w:gridSpan w:val="11"/>
            <w:noWrap/>
            <w:hideMark/>
          </w:tcPr>
          <w:p w14:paraId="3F4BBA9F" w14:textId="55D89F24" w:rsidR="00853207" w:rsidRPr="006E1CB8" w:rsidRDefault="00853207" w:rsidP="00853207">
            <w:pPr>
              <w:rPr>
                <w:rFonts w:ascii="Times New Roman" w:eastAsia="Times New Roman" w:hAnsi="Times New Roman" w:cs="Times New Roman"/>
                <w:i/>
                <w:sz w:val="24"/>
                <w:szCs w:val="2"/>
              </w:rPr>
            </w:pPr>
            <w:bookmarkStart w:id="6" w:name="_Toc4894061"/>
            <w:r w:rsidRPr="006E1CB8">
              <w:rPr>
                <w:rFonts w:ascii="Calibri" w:eastAsia="Calibri" w:hAnsi="Calibri" w:cs="Times New Roman"/>
                <w:sz w:val="24"/>
                <w:szCs w:val="24"/>
              </w:rPr>
              <w:t xml:space="preserve">Table </w:t>
            </w:r>
            <w:r w:rsidR="00900488" w:rsidRPr="006E1CB8">
              <w:rPr>
                <w:rFonts w:ascii="Calibri" w:eastAsia="Calibri" w:hAnsi="Calibri" w:cs="Times New Roman"/>
                <w:sz w:val="24"/>
                <w:szCs w:val="24"/>
              </w:rPr>
              <w:t>4</w:t>
            </w:r>
            <w:r w:rsidRPr="006E1CB8">
              <w:rPr>
                <w:rFonts w:ascii="Calibri" w:eastAsia="Calibri" w:hAnsi="Calibri" w:cs="Times New Roman"/>
                <w:sz w:val="24"/>
                <w:szCs w:val="24"/>
              </w:rPr>
              <w:t>: State designated health professional shortage areas (2016)</w:t>
            </w:r>
            <w:r w:rsidRPr="006E1CB8">
              <w:rPr>
                <w:rFonts w:ascii="Calibri" w:eastAsia="Calibri" w:hAnsi="Calibri" w:cs="Times New Roman"/>
                <w:sz w:val="24"/>
                <w:szCs w:val="24"/>
                <w:vertAlign w:val="superscript"/>
              </w:rPr>
              <w:footnoteReference w:id="12"/>
            </w:r>
            <w:bookmarkEnd w:id="6"/>
          </w:p>
        </w:tc>
      </w:tr>
      <w:tr w:rsidR="00853207" w:rsidRPr="00853207" w14:paraId="55515711" w14:textId="77777777" w:rsidTr="00853207">
        <w:trPr>
          <w:cnfStyle w:val="000000100000" w:firstRow="0" w:lastRow="0" w:firstColumn="0" w:lastColumn="0" w:oddVBand="0" w:evenVBand="0" w:oddHBand="1" w:evenHBand="0" w:firstRowFirstColumn="0" w:firstRowLastColumn="0" w:lastRowFirstColumn="0" w:lastRowLastColumn="0"/>
          <w:trHeight w:val="1543"/>
        </w:trPr>
        <w:tc>
          <w:tcPr>
            <w:cnfStyle w:val="001000000000" w:firstRow="0" w:lastRow="0" w:firstColumn="1" w:lastColumn="0" w:oddVBand="0" w:evenVBand="0" w:oddHBand="0" w:evenHBand="0" w:firstRowFirstColumn="0" w:firstRowLastColumn="0" w:lastRowFirstColumn="0" w:lastRowLastColumn="0"/>
            <w:tcW w:w="1188" w:type="dxa"/>
            <w:noWrap/>
            <w:hideMark/>
          </w:tcPr>
          <w:p w14:paraId="4AE01DA0" w14:textId="77777777" w:rsidR="00853207" w:rsidRPr="00853207" w:rsidRDefault="00853207" w:rsidP="00853207">
            <w:pPr>
              <w:rPr>
                <w:rFonts w:ascii="Times New Roman" w:eastAsia="Times New Roman" w:hAnsi="Times New Roman" w:cs="Times New Roman"/>
                <w:sz w:val="21"/>
                <w:szCs w:val="21"/>
              </w:rPr>
            </w:pPr>
          </w:p>
        </w:tc>
        <w:tc>
          <w:tcPr>
            <w:tcW w:w="817" w:type="dxa"/>
            <w:noWrap/>
            <w:textDirection w:val="btLr"/>
            <w:hideMark/>
          </w:tcPr>
          <w:p w14:paraId="12DD577F" w14:textId="77777777" w:rsidR="00853207" w:rsidRPr="00853207" w:rsidRDefault="00853207" w:rsidP="00853207">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853207">
              <w:rPr>
                <w:rFonts w:ascii="Calibri" w:eastAsia="Times New Roman" w:hAnsi="Calibri" w:cs="Times New Roman"/>
                <w:b/>
                <w:color w:val="000000"/>
                <w:szCs w:val="24"/>
              </w:rPr>
              <w:t>Family Medicine</w:t>
            </w:r>
          </w:p>
        </w:tc>
        <w:tc>
          <w:tcPr>
            <w:tcW w:w="817" w:type="dxa"/>
            <w:noWrap/>
            <w:textDirection w:val="btLr"/>
            <w:hideMark/>
          </w:tcPr>
          <w:p w14:paraId="50726AD8" w14:textId="77777777" w:rsidR="00853207" w:rsidRPr="00853207" w:rsidRDefault="00853207" w:rsidP="00853207">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853207">
              <w:rPr>
                <w:rFonts w:ascii="Calibri" w:eastAsia="Times New Roman" w:hAnsi="Calibri" w:cs="Times New Roman"/>
                <w:b/>
                <w:color w:val="000000"/>
                <w:szCs w:val="24"/>
              </w:rPr>
              <w:t>Internal Medicine</w:t>
            </w:r>
          </w:p>
        </w:tc>
        <w:tc>
          <w:tcPr>
            <w:tcW w:w="817" w:type="dxa"/>
            <w:noWrap/>
            <w:textDirection w:val="btLr"/>
            <w:hideMark/>
          </w:tcPr>
          <w:p w14:paraId="5079B3CA" w14:textId="77777777" w:rsidR="00853207" w:rsidRPr="00853207" w:rsidRDefault="00853207" w:rsidP="00853207">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853207">
              <w:rPr>
                <w:rFonts w:ascii="Calibri" w:eastAsia="Times New Roman" w:hAnsi="Calibri" w:cs="Times New Roman"/>
                <w:b/>
                <w:color w:val="000000"/>
                <w:szCs w:val="24"/>
              </w:rPr>
              <w:t>Pediatrics</w:t>
            </w:r>
          </w:p>
        </w:tc>
        <w:tc>
          <w:tcPr>
            <w:tcW w:w="817" w:type="dxa"/>
            <w:noWrap/>
            <w:textDirection w:val="btLr"/>
            <w:hideMark/>
          </w:tcPr>
          <w:p w14:paraId="67F3259F" w14:textId="77777777" w:rsidR="00853207" w:rsidRPr="00853207" w:rsidRDefault="00853207" w:rsidP="00853207">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853207">
              <w:rPr>
                <w:rFonts w:ascii="Calibri" w:eastAsia="Times New Roman" w:hAnsi="Calibri" w:cs="Times New Roman"/>
                <w:b/>
                <w:color w:val="000000"/>
                <w:szCs w:val="24"/>
              </w:rPr>
              <w:t>OB/GYN</w:t>
            </w:r>
          </w:p>
        </w:tc>
        <w:tc>
          <w:tcPr>
            <w:tcW w:w="818" w:type="dxa"/>
            <w:noWrap/>
            <w:textDirection w:val="btLr"/>
            <w:hideMark/>
          </w:tcPr>
          <w:p w14:paraId="75F72B69" w14:textId="77777777" w:rsidR="00853207" w:rsidRPr="00853207" w:rsidRDefault="00853207" w:rsidP="00853207">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853207">
              <w:rPr>
                <w:rFonts w:ascii="Calibri" w:eastAsia="Times New Roman" w:hAnsi="Calibri" w:cs="Times New Roman"/>
                <w:b/>
                <w:color w:val="000000"/>
                <w:szCs w:val="24"/>
              </w:rPr>
              <w:t>Psychiatry</w:t>
            </w:r>
          </w:p>
        </w:tc>
        <w:tc>
          <w:tcPr>
            <w:tcW w:w="817" w:type="dxa"/>
            <w:noWrap/>
            <w:textDirection w:val="btLr"/>
            <w:hideMark/>
          </w:tcPr>
          <w:p w14:paraId="26495581" w14:textId="77777777" w:rsidR="00853207" w:rsidRPr="00853207" w:rsidRDefault="00853207" w:rsidP="00853207">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853207">
              <w:rPr>
                <w:rFonts w:ascii="Calibri" w:eastAsia="Times New Roman" w:hAnsi="Calibri" w:cs="Times New Roman"/>
                <w:b/>
                <w:color w:val="000000"/>
                <w:szCs w:val="24"/>
              </w:rPr>
              <w:t>General Surgery</w:t>
            </w:r>
          </w:p>
        </w:tc>
        <w:tc>
          <w:tcPr>
            <w:tcW w:w="817" w:type="dxa"/>
            <w:noWrap/>
            <w:textDirection w:val="btLr"/>
            <w:hideMark/>
          </w:tcPr>
          <w:p w14:paraId="6662012A" w14:textId="77777777" w:rsidR="00853207" w:rsidRPr="00853207" w:rsidRDefault="00853207" w:rsidP="00853207">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853207">
              <w:rPr>
                <w:rFonts w:ascii="Calibri" w:eastAsia="Times New Roman" w:hAnsi="Calibri" w:cs="Times New Roman"/>
                <w:b/>
                <w:color w:val="000000"/>
                <w:szCs w:val="24"/>
              </w:rPr>
              <w:t>Dentistry</w:t>
            </w:r>
          </w:p>
        </w:tc>
        <w:tc>
          <w:tcPr>
            <w:tcW w:w="817" w:type="dxa"/>
            <w:noWrap/>
            <w:textDirection w:val="btLr"/>
            <w:hideMark/>
          </w:tcPr>
          <w:p w14:paraId="58D39727" w14:textId="77777777" w:rsidR="00853207" w:rsidRPr="00853207" w:rsidRDefault="00853207" w:rsidP="00853207">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853207">
              <w:rPr>
                <w:rFonts w:ascii="Calibri" w:eastAsia="Times New Roman" w:hAnsi="Calibri" w:cs="Times New Roman"/>
                <w:b/>
                <w:color w:val="000000"/>
                <w:szCs w:val="24"/>
              </w:rPr>
              <w:t>Pharmacy</w:t>
            </w:r>
          </w:p>
        </w:tc>
        <w:tc>
          <w:tcPr>
            <w:tcW w:w="817" w:type="dxa"/>
            <w:noWrap/>
            <w:textDirection w:val="btLr"/>
            <w:hideMark/>
          </w:tcPr>
          <w:p w14:paraId="485A866A" w14:textId="77777777" w:rsidR="00853207" w:rsidRPr="00853207" w:rsidRDefault="00853207" w:rsidP="00853207">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853207">
              <w:rPr>
                <w:rFonts w:ascii="Calibri" w:eastAsia="Times New Roman" w:hAnsi="Calibri" w:cs="Times New Roman"/>
                <w:b/>
                <w:color w:val="000000"/>
                <w:szCs w:val="24"/>
              </w:rPr>
              <w:t>Occupational Therapy</w:t>
            </w:r>
          </w:p>
        </w:tc>
        <w:tc>
          <w:tcPr>
            <w:tcW w:w="818" w:type="dxa"/>
            <w:noWrap/>
            <w:textDirection w:val="btLr"/>
            <w:hideMark/>
          </w:tcPr>
          <w:p w14:paraId="53E362C7" w14:textId="77777777" w:rsidR="00853207" w:rsidRPr="00853207" w:rsidRDefault="00853207" w:rsidP="00853207">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853207">
              <w:rPr>
                <w:rFonts w:ascii="Calibri" w:eastAsia="Times New Roman" w:hAnsi="Calibri" w:cs="Times New Roman"/>
                <w:b/>
                <w:color w:val="000000"/>
                <w:szCs w:val="24"/>
              </w:rPr>
              <w:t>Physical Therapy</w:t>
            </w:r>
          </w:p>
        </w:tc>
      </w:tr>
      <w:tr w:rsidR="00853207" w:rsidRPr="00853207" w14:paraId="31D0C778" w14:textId="77777777" w:rsidTr="00393BEA">
        <w:trPr>
          <w:trHeight w:val="279"/>
        </w:trPr>
        <w:tc>
          <w:tcPr>
            <w:cnfStyle w:val="001000000000" w:firstRow="0" w:lastRow="0" w:firstColumn="1" w:lastColumn="0" w:oddVBand="0" w:evenVBand="0" w:oddHBand="0" w:evenHBand="0" w:firstRowFirstColumn="0" w:firstRowLastColumn="0" w:lastRowFirstColumn="0" w:lastRowLastColumn="0"/>
            <w:tcW w:w="1188" w:type="dxa"/>
            <w:noWrap/>
            <w:hideMark/>
          </w:tcPr>
          <w:p w14:paraId="2C85FACC" w14:textId="77777777" w:rsidR="00853207" w:rsidRPr="00853207" w:rsidRDefault="00853207" w:rsidP="00853207">
            <w:pPr>
              <w:rPr>
                <w:rFonts w:ascii="Calibri" w:eastAsia="Times New Roman" w:hAnsi="Calibri" w:cs="Times New Roman"/>
                <w:color w:val="000000"/>
                <w:szCs w:val="24"/>
              </w:rPr>
            </w:pPr>
            <w:r w:rsidRPr="00853207">
              <w:rPr>
                <w:rFonts w:ascii="Calibri" w:eastAsia="Times New Roman" w:hAnsi="Calibri" w:cs="Times New Roman"/>
                <w:color w:val="000000"/>
                <w:szCs w:val="24"/>
              </w:rPr>
              <w:t>Blaine</w:t>
            </w:r>
          </w:p>
        </w:tc>
        <w:tc>
          <w:tcPr>
            <w:tcW w:w="817" w:type="dxa"/>
            <w:noWrap/>
            <w:hideMark/>
          </w:tcPr>
          <w:p w14:paraId="2AF332DC"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4EF2F817"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5A245FD9"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407DEB56"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8" w:type="dxa"/>
            <w:noWrap/>
            <w:hideMark/>
          </w:tcPr>
          <w:p w14:paraId="39BA2479"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351614D1"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2B296E1E"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6F7246B8"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0E0FE82C"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6A6A6" w:themeColor="background1" w:themeShade="A6"/>
                <w:szCs w:val="24"/>
              </w:rPr>
            </w:pPr>
            <w:r w:rsidRPr="00983D38">
              <w:rPr>
                <w:rFonts w:ascii="Calibri" w:eastAsia="Times New Roman" w:hAnsi="Calibri" w:cs="Times New Roman"/>
                <w:color w:val="A6A6A6" w:themeColor="background1" w:themeShade="A6"/>
                <w:szCs w:val="24"/>
              </w:rPr>
              <w:t>No</w:t>
            </w:r>
          </w:p>
        </w:tc>
        <w:tc>
          <w:tcPr>
            <w:tcW w:w="818" w:type="dxa"/>
            <w:noWrap/>
            <w:hideMark/>
          </w:tcPr>
          <w:p w14:paraId="134AA60C" w14:textId="77777777" w:rsidR="00853207" w:rsidRPr="00853207"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853207">
              <w:rPr>
                <w:rFonts w:ascii="Calibri" w:eastAsia="Times New Roman" w:hAnsi="Calibri" w:cs="Times New Roman"/>
                <w:color w:val="000000"/>
                <w:szCs w:val="24"/>
              </w:rPr>
              <w:t>Y</w:t>
            </w:r>
            <w:r w:rsidRPr="00983D38">
              <w:rPr>
                <w:rFonts w:ascii="Calibri" w:eastAsia="Times New Roman" w:hAnsi="Calibri" w:cs="Times New Roman"/>
                <w:b/>
                <w:color w:val="000000"/>
                <w:szCs w:val="24"/>
              </w:rPr>
              <w:t>es</w:t>
            </w:r>
          </w:p>
        </w:tc>
      </w:tr>
      <w:tr w:rsidR="00853207" w:rsidRPr="00853207" w14:paraId="48A0386D" w14:textId="77777777" w:rsidTr="0085320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188" w:type="dxa"/>
            <w:noWrap/>
            <w:hideMark/>
          </w:tcPr>
          <w:p w14:paraId="31810768" w14:textId="77777777" w:rsidR="00853207" w:rsidRPr="00853207" w:rsidRDefault="00853207" w:rsidP="00853207">
            <w:pPr>
              <w:rPr>
                <w:rFonts w:ascii="Calibri" w:eastAsia="Times New Roman" w:hAnsi="Calibri" w:cs="Times New Roman"/>
                <w:color w:val="000000"/>
                <w:szCs w:val="24"/>
              </w:rPr>
            </w:pPr>
            <w:r w:rsidRPr="00853207">
              <w:rPr>
                <w:rFonts w:ascii="Calibri" w:eastAsia="Times New Roman" w:hAnsi="Calibri" w:cs="Times New Roman"/>
                <w:color w:val="000000"/>
                <w:szCs w:val="24"/>
              </w:rPr>
              <w:t xml:space="preserve">Custer </w:t>
            </w:r>
          </w:p>
        </w:tc>
        <w:tc>
          <w:tcPr>
            <w:tcW w:w="817" w:type="dxa"/>
            <w:noWrap/>
            <w:hideMark/>
          </w:tcPr>
          <w:p w14:paraId="3E05FF31"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071BCF8C"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50F5F20B"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06537514"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8" w:type="dxa"/>
            <w:noWrap/>
            <w:hideMark/>
          </w:tcPr>
          <w:p w14:paraId="4ABF3504"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2461AF80"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52967B32"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720101C1"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2BAD4C17"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6A6A6" w:themeColor="background1" w:themeShade="A6"/>
                <w:szCs w:val="24"/>
              </w:rPr>
            </w:pPr>
            <w:r w:rsidRPr="00983D38">
              <w:rPr>
                <w:rFonts w:ascii="Calibri" w:eastAsia="Times New Roman" w:hAnsi="Calibri" w:cs="Times New Roman"/>
                <w:color w:val="A6A6A6" w:themeColor="background1" w:themeShade="A6"/>
                <w:szCs w:val="24"/>
              </w:rPr>
              <w:t>No</w:t>
            </w:r>
          </w:p>
        </w:tc>
        <w:tc>
          <w:tcPr>
            <w:tcW w:w="818" w:type="dxa"/>
            <w:noWrap/>
            <w:hideMark/>
          </w:tcPr>
          <w:p w14:paraId="324CD550"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6A6A6" w:themeColor="background1" w:themeShade="A6"/>
                <w:szCs w:val="24"/>
              </w:rPr>
            </w:pPr>
            <w:r w:rsidRPr="00983D38">
              <w:rPr>
                <w:rFonts w:ascii="Calibri" w:eastAsia="Times New Roman" w:hAnsi="Calibri" w:cs="Times New Roman"/>
                <w:color w:val="A6A6A6" w:themeColor="background1" w:themeShade="A6"/>
                <w:szCs w:val="24"/>
              </w:rPr>
              <w:t>No</w:t>
            </w:r>
          </w:p>
        </w:tc>
      </w:tr>
      <w:tr w:rsidR="00853207" w:rsidRPr="00853207" w14:paraId="3F00EF46" w14:textId="77777777" w:rsidTr="00393BEA">
        <w:trPr>
          <w:trHeight w:val="279"/>
        </w:trPr>
        <w:tc>
          <w:tcPr>
            <w:cnfStyle w:val="001000000000" w:firstRow="0" w:lastRow="0" w:firstColumn="1" w:lastColumn="0" w:oddVBand="0" w:evenVBand="0" w:oddHBand="0" w:evenHBand="0" w:firstRowFirstColumn="0" w:firstRowLastColumn="0" w:lastRowFirstColumn="0" w:lastRowLastColumn="0"/>
            <w:tcW w:w="1188" w:type="dxa"/>
            <w:noWrap/>
            <w:hideMark/>
          </w:tcPr>
          <w:p w14:paraId="45A189AF" w14:textId="77777777" w:rsidR="00853207" w:rsidRPr="00853207" w:rsidRDefault="00853207" w:rsidP="00853207">
            <w:pPr>
              <w:rPr>
                <w:rFonts w:ascii="Calibri" w:eastAsia="Times New Roman" w:hAnsi="Calibri" w:cs="Times New Roman"/>
                <w:color w:val="000000"/>
                <w:szCs w:val="24"/>
              </w:rPr>
            </w:pPr>
            <w:r w:rsidRPr="00853207">
              <w:rPr>
                <w:rFonts w:ascii="Calibri" w:eastAsia="Times New Roman" w:hAnsi="Calibri" w:cs="Times New Roman"/>
                <w:color w:val="000000"/>
                <w:szCs w:val="24"/>
              </w:rPr>
              <w:t>Garfield</w:t>
            </w:r>
          </w:p>
        </w:tc>
        <w:tc>
          <w:tcPr>
            <w:tcW w:w="817" w:type="dxa"/>
            <w:noWrap/>
            <w:hideMark/>
          </w:tcPr>
          <w:p w14:paraId="612BE17A"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6B75FC87"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2865C6DF"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638B2E5A"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8" w:type="dxa"/>
            <w:noWrap/>
            <w:hideMark/>
          </w:tcPr>
          <w:p w14:paraId="6D7E2EA0"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1CCF9A9A"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636ABDC4"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983D38">
              <w:rPr>
                <w:rFonts w:ascii="Calibri" w:eastAsia="Times New Roman" w:hAnsi="Calibri" w:cs="Times New Roman"/>
                <w:color w:val="A6A6A6" w:themeColor="background1" w:themeShade="A6"/>
                <w:szCs w:val="24"/>
              </w:rPr>
              <w:t>No</w:t>
            </w:r>
          </w:p>
        </w:tc>
        <w:tc>
          <w:tcPr>
            <w:tcW w:w="817" w:type="dxa"/>
            <w:noWrap/>
            <w:hideMark/>
          </w:tcPr>
          <w:p w14:paraId="10FEEE69"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1F0CDC55"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6A6A6" w:themeColor="background1" w:themeShade="A6"/>
                <w:szCs w:val="24"/>
              </w:rPr>
            </w:pPr>
            <w:r w:rsidRPr="00983D38">
              <w:rPr>
                <w:rFonts w:ascii="Calibri" w:eastAsia="Times New Roman" w:hAnsi="Calibri" w:cs="Times New Roman"/>
                <w:color w:val="A6A6A6" w:themeColor="background1" w:themeShade="A6"/>
                <w:szCs w:val="24"/>
              </w:rPr>
              <w:t>No</w:t>
            </w:r>
          </w:p>
        </w:tc>
        <w:tc>
          <w:tcPr>
            <w:tcW w:w="818" w:type="dxa"/>
            <w:noWrap/>
            <w:hideMark/>
          </w:tcPr>
          <w:p w14:paraId="4B6D6678"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6A6A6" w:themeColor="background1" w:themeShade="A6"/>
                <w:szCs w:val="24"/>
              </w:rPr>
            </w:pPr>
            <w:r w:rsidRPr="00983D38">
              <w:rPr>
                <w:rFonts w:ascii="Calibri" w:eastAsia="Times New Roman" w:hAnsi="Calibri" w:cs="Times New Roman"/>
                <w:color w:val="A6A6A6" w:themeColor="background1" w:themeShade="A6"/>
                <w:szCs w:val="24"/>
              </w:rPr>
              <w:t>No</w:t>
            </w:r>
          </w:p>
        </w:tc>
      </w:tr>
      <w:tr w:rsidR="00853207" w:rsidRPr="00853207" w14:paraId="63F120CE" w14:textId="77777777" w:rsidTr="0085320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188" w:type="dxa"/>
            <w:noWrap/>
            <w:hideMark/>
          </w:tcPr>
          <w:p w14:paraId="21E81691" w14:textId="77777777" w:rsidR="00853207" w:rsidRPr="00853207" w:rsidRDefault="00853207" w:rsidP="00853207">
            <w:pPr>
              <w:rPr>
                <w:rFonts w:ascii="Calibri" w:eastAsia="Times New Roman" w:hAnsi="Calibri" w:cs="Times New Roman"/>
                <w:color w:val="000000"/>
                <w:szCs w:val="24"/>
              </w:rPr>
            </w:pPr>
            <w:r w:rsidRPr="00853207">
              <w:rPr>
                <w:rFonts w:ascii="Calibri" w:eastAsia="Times New Roman" w:hAnsi="Calibri" w:cs="Times New Roman"/>
                <w:color w:val="000000"/>
                <w:szCs w:val="24"/>
              </w:rPr>
              <w:t xml:space="preserve">Greeley </w:t>
            </w:r>
          </w:p>
        </w:tc>
        <w:tc>
          <w:tcPr>
            <w:tcW w:w="817" w:type="dxa"/>
            <w:noWrap/>
            <w:hideMark/>
          </w:tcPr>
          <w:p w14:paraId="5FB66CC0"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7476E4CD"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103491A0"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4BC3520F"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8" w:type="dxa"/>
            <w:noWrap/>
            <w:hideMark/>
          </w:tcPr>
          <w:p w14:paraId="1F2FE65D"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0BA53A41"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5CB8997E"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30E5545C"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68E2223D"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6A6A6" w:themeColor="background1" w:themeShade="A6"/>
                <w:szCs w:val="24"/>
              </w:rPr>
            </w:pPr>
            <w:r w:rsidRPr="00983D38">
              <w:rPr>
                <w:rFonts w:ascii="Calibri" w:eastAsia="Times New Roman" w:hAnsi="Calibri" w:cs="Times New Roman"/>
                <w:color w:val="A6A6A6" w:themeColor="background1" w:themeShade="A6"/>
                <w:szCs w:val="24"/>
              </w:rPr>
              <w:t>No</w:t>
            </w:r>
          </w:p>
        </w:tc>
        <w:tc>
          <w:tcPr>
            <w:tcW w:w="818" w:type="dxa"/>
            <w:noWrap/>
            <w:hideMark/>
          </w:tcPr>
          <w:p w14:paraId="46486FAD"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6A6A6" w:themeColor="background1" w:themeShade="A6"/>
                <w:szCs w:val="24"/>
              </w:rPr>
            </w:pPr>
            <w:r w:rsidRPr="00983D38">
              <w:rPr>
                <w:rFonts w:ascii="Calibri" w:eastAsia="Times New Roman" w:hAnsi="Calibri" w:cs="Times New Roman"/>
                <w:color w:val="A6A6A6" w:themeColor="background1" w:themeShade="A6"/>
                <w:szCs w:val="24"/>
              </w:rPr>
              <w:t>No</w:t>
            </w:r>
          </w:p>
        </w:tc>
      </w:tr>
      <w:tr w:rsidR="00853207" w:rsidRPr="00853207" w14:paraId="23437219" w14:textId="77777777" w:rsidTr="00393BEA">
        <w:trPr>
          <w:trHeight w:val="279"/>
        </w:trPr>
        <w:tc>
          <w:tcPr>
            <w:cnfStyle w:val="001000000000" w:firstRow="0" w:lastRow="0" w:firstColumn="1" w:lastColumn="0" w:oddVBand="0" w:evenVBand="0" w:oddHBand="0" w:evenHBand="0" w:firstRowFirstColumn="0" w:firstRowLastColumn="0" w:lastRowFirstColumn="0" w:lastRowLastColumn="0"/>
            <w:tcW w:w="1188" w:type="dxa"/>
            <w:noWrap/>
            <w:hideMark/>
          </w:tcPr>
          <w:p w14:paraId="34845A53" w14:textId="77777777" w:rsidR="00853207" w:rsidRPr="00853207" w:rsidRDefault="00853207" w:rsidP="00853207">
            <w:pPr>
              <w:rPr>
                <w:rFonts w:ascii="Calibri" w:eastAsia="Times New Roman" w:hAnsi="Calibri" w:cs="Times New Roman"/>
                <w:color w:val="000000"/>
                <w:szCs w:val="24"/>
              </w:rPr>
            </w:pPr>
            <w:r w:rsidRPr="00853207">
              <w:rPr>
                <w:rFonts w:ascii="Calibri" w:eastAsia="Times New Roman" w:hAnsi="Calibri" w:cs="Times New Roman"/>
                <w:color w:val="000000"/>
                <w:szCs w:val="24"/>
              </w:rPr>
              <w:t>Loup</w:t>
            </w:r>
          </w:p>
        </w:tc>
        <w:tc>
          <w:tcPr>
            <w:tcW w:w="817" w:type="dxa"/>
            <w:noWrap/>
            <w:hideMark/>
          </w:tcPr>
          <w:p w14:paraId="5489F3AC"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4B55FF4D"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3D300371"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7600D10D"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8" w:type="dxa"/>
            <w:noWrap/>
            <w:hideMark/>
          </w:tcPr>
          <w:p w14:paraId="1860D91C"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5675C489"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7F01B2E7"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7F3940C6"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5276EBAE"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8" w:type="dxa"/>
            <w:noWrap/>
            <w:hideMark/>
          </w:tcPr>
          <w:p w14:paraId="373C66E0"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r>
      <w:tr w:rsidR="00853207" w:rsidRPr="00853207" w14:paraId="52323D09" w14:textId="77777777" w:rsidTr="0085320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188" w:type="dxa"/>
            <w:noWrap/>
            <w:hideMark/>
          </w:tcPr>
          <w:p w14:paraId="6D7CF0F0" w14:textId="77777777" w:rsidR="00853207" w:rsidRPr="00853207" w:rsidRDefault="00853207" w:rsidP="00853207">
            <w:pPr>
              <w:rPr>
                <w:rFonts w:ascii="Calibri" w:eastAsia="Times New Roman" w:hAnsi="Calibri" w:cs="Times New Roman"/>
                <w:color w:val="000000"/>
                <w:szCs w:val="24"/>
              </w:rPr>
            </w:pPr>
            <w:r w:rsidRPr="00853207">
              <w:rPr>
                <w:rFonts w:ascii="Calibri" w:eastAsia="Times New Roman" w:hAnsi="Calibri" w:cs="Times New Roman"/>
                <w:color w:val="000000"/>
                <w:szCs w:val="24"/>
              </w:rPr>
              <w:t xml:space="preserve">Sherman </w:t>
            </w:r>
          </w:p>
        </w:tc>
        <w:tc>
          <w:tcPr>
            <w:tcW w:w="817" w:type="dxa"/>
            <w:noWrap/>
            <w:hideMark/>
          </w:tcPr>
          <w:p w14:paraId="6D340871"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0034CE91"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04E5395E"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68D67076"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8" w:type="dxa"/>
            <w:noWrap/>
            <w:hideMark/>
          </w:tcPr>
          <w:p w14:paraId="05A5589E"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33454864"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03F6F781"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3481B4CE"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6F020B5D"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6A6A6" w:themeColor="background1" w:themeShade="A6"/>
                <w:szCs w:val="24"/>
              </w:rPr>
            </w:pPr>
            <w:r w:rsidRPr="00983D38">
              <w:rPr>
                <w:rFonts w:ascii="Calibri" w:eastAsia="Times New Roman" w:hAnsi="Calibri" w:cs="Times New Roman"/>
                <w:color w:val="A6A6A6" w:themeColor="background1" w:themeShade="A6"/>
                <w:szCs w:val="24"/>
              </w:rPr>
              <w:t>No</w:t>
            </w:r>
          </w:p>
        </w:tc>
        <w:tc>
          <w:tcPr>
            <w:tcW w:w="818" w:type="dxa"/>
            <w:noWrap/>
            <w:hideMark/>
          </w:tcPr>
          <w:p w14:paraId="3C7AE865"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6A6A6" w:themeColor="background1" w:themeShade="A6"/>
                <w:szCs w:val="24"/>
              </w:rPr>
            </w:pPr>
            <w:r w:rsidRPr="00983D38">
              <w:rPr>
                <w:rFonts w:ascii="Calibri" w:eastAsia="Times New Roman" w:hAnsi="Calibri" w:cs="Times New Roman"/>
                <w:color w:val="A6A6A6" w:themeColor="background1" w:themeShade="A6"/>
                <w:szCs w:val="24"/>
              </w:rPr>
              <w:t>No</w:t>
            </w:r>
          </w:p>
        </w:tc>
      </w:tr>
      <w:tr w:rsidR="00853207" w:rsidRPr="00853207" w14:paraId="55AAC6F9" w14:textId="77777777" w:rsidTr="00393BEA">
        <w:trPr>
          <w:trHeight w:val="279"/>
        </w:trPr>
        <w:tc>
          <w:tcPr>
            <w:cnfStyle w:val="001000000000" w:firstRow="0" w:lastRow="0" w:firstColumn="1" w:lastColumn="0" w:oddVBand="0" w:evenVBand="0" w:oddHBand="0" w:evenHBand="0" w:firstRowFirstColumn="0" w:firstRowLastColumn="0" w:lastRowFirstColumn="0" w:lastRowLastColumn="0"/>
            <w:tcW w:w="1188" w:type="dxa"/>
            <w:noWrap/>
            <w:hideMark/>
          </w:tcPr>
          <w:p w14:paraId="6C5C7402" w14:textId="77777777" w:rsidR="00853207" w:rsidRPr="00853207" w:rsidRDefault="00853207" w:rsidP="00853207">
            <w:pPr>
              <w:rPr>
                <w:rFonts w:ascii="Calibri" w:eastAsia="Times New Roman" w:hAnsi="Calibri" w:cs="Times New Roman"/>
                <w:color w:val="000000"/>
                <w:szCs w:val="24"/>
              </w:rPr>
            </w:pPr>
            <w:r w:rsidRPr="00853207">
              <w:rPr>
                <w:rFonts w:ascii="Calibri" w:eastAsia="Times New Roman" w:hAnsi="Calibri" w:cs="Times New Roman"/>
                <w:color w:val="000000"/>
                <w:szCs w:val="24"/>
              </w:rPr>
              <w:t>Valley</w:t>
            </w:r>
          </w:p>
        </w:tc>
        <w:tc>
          <w:tcPr>
            <w:tcW w:w="817" w:type="dxa"/>
            <w:noWrap/>
            <w:hideMark/>
          </w:tcPr>
          <w:p w14:paraId="31DB6697"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48FB7E0E"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731FB8B3"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22FD8E29"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8" w:type="dxa"/>
            <w:noWrap/>
            <w:hideMark/>
          </w:tcPr>
          <w:p w14:paraId="74437A5B"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5BB9EF7D" w14:textId="77777777" w:rsidR="00853207" w:rsidRPr="00853207"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983D38">
              <w:rPr>
                <w:rFonts w:ascii="Calibri" w:eastAsia="Times New Roman" w:hAnsi="Calibri" w:cs="Times New Roman"/>
                <w:color w:val="A6A6A6" w:themeColor="background1" w:themeShade="A6"/>
                <w:szCs w:val="24"/>
              </w:rPr>
              <w:t>No</w:t>
            </w:r>
          </w:p>
        </w:tc>
        <w:tc>
          <w:tcPr>
            <w:tcW w:w="817" w:type="dxa"/>
            <w:noWrap/>
            <w:hideMark/>
          </w:tcPr>
          <w:p w14:paraId="07258720"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6A6A6" w:themeColor="background1" w:themeShade="A6"/>
                <w:szCs w:val="24"/>
              </w:rPr>
            </w:pPr>
            <w:r w:rsidRPr="00983D38">
              <w:rPr>
                <w:rFonts w:ascii="Calibri" w:eastAsia="Times New Roman" w:hAnsi="Calibri" w:cs="Times New Roman"/>
                <w:color w:val="A6A6A6" w:themeColor="background1" w:themeShade="A6"/>
                <w:szCs w:val="24"/>
              </w:rPr>
              <w:t>No</w:t>
            </w:r>
          </w:p>
        </w:tc>
        <w:tc>
          <w:tcPr>
            <w:tcW w:w="817" w:type="dxa"/>
            <w:noWrap/>
            <w:hideMark/>
          </w:tcPr>
          <w:p w14:paraId="45BD7BA4"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113D1215"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6A6A6" w:themeColor="background1" w:themeShade="A6"/>
                <w:szCs w:val="24"/>
              </w:rPr>
            </w:pPr>
            <w:r w:rsidRPr="00983D38">
              <w:rPr>
                <w:rFonts w:ascii="Calibri" w:eastAsia="Times New Roman" w:hAnsi="Calibri" w:cs="Times New Roman"/>
                <w:color w:val="A6A6A6" w:themeColor="background1" w:themeShade="A6"/>
                <w:szCs w:val="24"/>
              </w:rPr>
              <w:t>No</w:t>
            </w:r>
          </w:p>
        </w:tc>
        <w:tc>
          <w:tcPr>
            <w:tcW w:w="818" w:type="dxa"/>
            <w:noWrap/>
            <w:hideMark/>
          </w:tcPr>
          <w:p w14:paraId="6EEB5863" w14:textId="77777777" w:rsidR="00853207" w:rsidRPr="00983D38" w:rsidRDefault="00853207" w:rsidP="008532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6A6A6" w:themeColor="background1" w:themeShade="A6"/>
                <w:szCs w:val="24"/>
              </w:rPr>
            </w:pPr>
            <w:r w:rsidRPr="00983D38">
              <w:rPr>
                <w:rFonts w:ascii="Calibri" w:eastAsia="Times New Roman" w:hAnsi="Calibri" w:cs="Times New Roman"/>
                <w:color w:val="A6A6A6" w:themeColor="background1" w:themeShade="A6"/>
                <w:szCs w:val="24"/>
              </w:rPr>
              <w:t>No</w:t>
            </w:r>
          </w:p>
        </w:tc>
      </w:tr>
      <w:tr w:rsidR="00853207" w:rsidRPr="00853207" w14:paraId="0EE29A9F" w14:textId="77777777" w:rsidTr="0085320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188" w:type="dxa"/>
            <w:noWrap/>
            <w:hideMark/>
          </w:tcPr>
          <w:p w14:paraId="13A025C9" w14:textId="77777777" w:rsidR="00853207" w:rsidRPr="00853207" w:rsidRDefault="00853207" w:rsidP="00853207">
            <w:pPr>
              <w:rPr>
                <w:rFonts w:ascii="Calibri" w:eastAsia="Times New Roman" w:hAnsi="Calibri" w:cs="Times New Roman"/>
                <w:color w:val="000000"/>
                <w:szCs w:val="24"/>
              </w:rPr>
            </w:pPr>
            <w:r w:rsidRPr="00853207">
              <w:rPr>
                <w:rFonts w:ascii="Calibri" w:eastAsia="Times New Roman" w:hAnsi="Calibri" w:cs="Times New Roman"/>
                <w:color w:val="000000"/>
                <w:szCs w:val="24"/>
              </w:rPr>
              <w:t xml:space="preserve">Wheeler </w:t>
            </w:r>
          </w:p>
        </w:tc>
        <w:tc>
          <w:tcPr>
            <w:tcW w:w="817" w:type="dxa"/>
            <w:noWrap/>
            <w:hideMark/>
          </w:tcPr>
          <w:p w14:paraId="01D65602"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16AE30DE"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33957996"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08663E2C"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8" w:type="dxa"/>
            <w:noWrap/>
            <w:hideMark/>
          </w:tcPr>
          <w:p w14:paraId="556BC6D2"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22B73FE8"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6B1B640C"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14DA061D"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7" w:type="dxa"/>
            <w:noWrap/>
            <w:hideMark/>
          </w:tcPr>
          <w:p w14:paraId="0B2953CA"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c>
          <w:tcPr>
            <w:tcW w:w="818" w:type="dxa"/>
            <w:noWrap/>
            <w:hideMark/>
          </w:tcPr>
          <w:p w14:paraId="4B802A46" w14:textId="77777777" w:rsidR="00853207" w:rsidRPr="00983D38" w:rsidRDefault="00853207" w:rsidP="008532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Cs w:val="24"/>
              </w:rPr>
            </w:pPr>
            <w:r w:rsidRPr="00983D38">
              <w:rPr>
                <w:rFonts w:ascii="Calibri" w:eastAsia="Times New Roman" w:hAnsi="Calibri" w:cs="Times New Roman"/>
                <w:b/>
                <w:color w:val="000000"/>
                <w:szCs w:val="24"/>
              </w:rPr>
              <w:t>Yes</w:t>
            </w:r>
          </w:p>
        </w:tc>
      </w:tr>
    </w:tbl>
    <w:p w14:paraId="48E96C0B" w14:textId="65E1C726" w:rsidR="00BF3C8D" w:rsidRDefault="00BF3C8D" w:rsidP="00BF3C8D">
      <w:pPr>
        <w:jc w:val="center"/>
        <w:rPr>
          <w:b/>
          <w:bCs/>
          <w:szCs w:val="24"/>
        </w:rPr>
      </w:pPr>
    </w:p>
    <w:p w14:paraId="59274470" w14:textId="28E1A413" w:rsidR="00093956" w:rsidRPr="00C826C4" w:rsidRDefault="00093956" w:rsidP="00093956">
      <w:pPr>
        <w:pStyle w:val="Heading2"/>
        <w:pBdr>
          <w:bottom w:val="single" w:sz="4" w:space="1" w:color="auto"/>
        </w:pBdr>
        <w:rPr>
          <w:b/>
          <w:color w:val="auto"/>
        </w:rPr>
      </w:pPr>
      <w:r>
        <w:rPr>
          <w:b/>
          <w:color w:val="auto"/>
        </w:rPr>
        <w:t xml:space="preserve">Pregnancy and Parenting </w:t>
      </w:r>
    </w:p>
    <w:p w14:paraId="21A1D9A5" w14:textId="73CFC9F4" w:rsidR="00093956" w:rsidRDefault="00093956" w:rsidP="00BF3C8D">
      <w:pPr>
        <w:jc w:val="center"/>
        <w:rPr>
          <w:b/>
          <w:bCs/>
          <w:szCs w:val="24"/>
        </w:rPr>
      </w:pPr>
    </w:p>
    <w:p w14:paraId="05839D57" w14:textId="7ACBF7B2" w:rsidR="00884CF9" w:rsidRDefault="00884CF9" w:rsidP="00884CF9">
      <w:pPr>
        <w:rPr>
          <w:bCs/>
          <w:szCs w:val="24"/>
        </w:rPr>
      </w:pPr>
      <w:r>
        <w:rPr>
          <w:bCs/>
          <w:szCs w:val="24"/>
        </w:rPr>
        <w:t>The majority of the counties indicated a higher than state average lack of adequate prenatal care for pregnant women</w:t>
      </w:r>
      <w:r w:rsidR="00600476">
        <w:rPr>
          <w:bCs/>
          <w:szCs w:val="24"/>
        </w:rPr>
        <w:t xml:space="preserve"> (Figure 9). </w:t>
      </w:r>
    </w:p>
    <w:p w14:paraId="7DEA591A" w14:textId="77777777" w:rsidR="00600476" w:rsidRPr="00884CF9" w:rsidRDefault="00600476" w:rsidP="00884CF9">
      <w:pPr>
        <w:rPr>
          <w:bCs/>
          <w:szCs w:val="24"/>
        </w:rPr>
      </w:pPr>
    </w:p>
    <w:p w14:paraId="49058B62" w14:textId="3C8FD9E6" w:rsidR="00BF3C8D" w:rsidRDefault="00BF3C8D" w:rsidP="00BF3C8D">
      <w:pPr>
        <w:jc w:val="center"/>
        <w:rPr>
          <w:b/>
          <w:bCs/>
          <w:szCs w:val="24"/>
        </w:rPr>
      </w:pPr>
      <w:r w:rsidRPr="00BF3C8D">
        <w:rPr>
          <w:b/>
          <w:bCs/>
          <w:szCs w:val="24"/>
        </w:rPr>
        <w:t xml:space="preserve">Figure </w:t>
      </w:r>
      <w:r>
        <w:rPr>
          <w:b/>
          <w:bCs/>
          <w:szCs w:val="24"/>
        </w:rPr>
        <w:t>9</w:t>
      </w:r>
      <w:r w:rsidRPr="00BF3C8D">
        <w:rPr>
          <w:b/>
          <w:bCs/>
          <w:szCs w:val="24"/>
        </w:rPr>
        <w:t>. Percent of pregnant women receiving inadequate prenatal care</w:t>
      </w:r>
    </w:p>
    <w:p w14:paraId="248C47D0" w14:textId="463469C7" w:rsidR="00BF3C8D" w:rsidRPr="00BF3C8D" w:rsidRDefault="00BF3C8D" w:rsidP="00BF3C8D">
      <w:pPr>
        <w:jc w:val="center"/>
        <w:rPr>
          <w:szCs w:val="24"/>
        </w:rPr>
      </w:pPr>
      <w:r w:rsidRPr="00BF3C8D">
        <w:rPr>
          <w:b/>
          <w:bCs/>
          <w:szCs w:val="24"/>
        </w:rPr>
        <w:t>(based on Kotelchuk index</w:t>
      </w:r>
      <w:r>
        <w:rPr>
          <w:b/>
          <w:bCs/>
          <w:szCs w:val="24"/>
        </w:rPr>
        <w:t>*</w:t>
      </w:r>
      <w:r w:rsidRPr="00BF3C8D">
        <w:rPr>
          <w:b/>
          <w:bCs/>
          <w:szCs w:val="24"/>
        </w:rPr>
        <w:t>) (2016)</w:t>
      </w:r>
      <w:r w:rsidRPr="00BF3C8D">
        <w:rPr>
          <w:rStyle w:val="FootnoteReference"/>
          <w:b/>
        </w:rPr>
        <w:footnoteReference w:id="13"/>
      </w:r>
    </w:p>
    <w:p w14:paraId="6D28D1F8" w14:textId="77777777" w:rsidR="00BF3C8D" w:rsidRDefault="00BF3C8D" w:rsidP="00B91FC5">
      <w:pPr>
        <w:jc w:val="center"/>
        <w:rPr>
          <w:sz w:val="18"/>
          <w:szCs w:val="18"/>
        </w:rPr>
      </w:pPr>
      <w:r>
        <w:rPr>
          <w:noProof/>
        </w:rPr>
        <w:drawing>
          <wp:inline distT="0" distB="0" distL="0" distR="0" wp14:anchorId="307A824E" wp14:editId="20AEBBAE">
            <wp:extent cx="5361940" cy="2028825"/>
            <wp:effectExtent l="0" t="0" r="0" b="0"/>
            <wp:docPr id="9" name="Chart 9">
              <a:extLst xmlns:a="http://schemas.openxmlformats.org/drawingml/2006/main">
                <a:ext uri="{FF2B5EF4-FFF2-40B4-BE49-F238E27FC236}">
                  <a16:creationId xmlns:a16="http://schemas.microsoft.com/office/drawing/2014/main" id="{E1518878-DFB7-4EE4-AB3F-1FC2E0C7E3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A77D86" w14:textId="77777777" w:rsidR="00900488" w:rsidRPr="00A427C2" w:rsidRDefault="00BF3C8D" w:rsidP="00A427C2">
      <w:pPr>
        <w:ind w:left="720" w:right="720"/>
        <w:rPr>
          <w:sz w:val="12"/>
          <w:szCs w:val="18"/>
        </w:rPr>
      </w:pPr>
      <w:r w:rsidRPr="00A427C2">
        <w:rPr>
          <w:rFonts w:cs="Arial"/>
          <w:sz w:val="18"/>
        </w:rPr>
        <w:t>*Using the initiation of prenatal care and the number of prenatal visits received, the Kotelchuk Index classifies care as adequate, intermediate, or inadequate</w:t>
      </w:r>
      <w:r w:rsidRPr="00A427C2">
        <w:rPr>
          <w:sz w:val="12"/>
          <w:szCs w:val="18"/>
        </w:rPr>
        <w:t xml:space="preserve"> </w:t>
      </w:r>
    </w:p>
    <w:p w14:paraId="66F8A096" w14:textId="237B2637" w:rsidR="00900488" w:rsidRPr="00390229" w:rsidRDefault="00A427C2" w:rsidP="00900488">
      <w:pPr>
        <w:keepNext/>
        <w:rPr>
          <w:rFonts w:ascii="Calibri" w:eastAsia="Calibri" w:hAnsi="Calibri" w:cs="Arial"/>
          <w:iCs/>
          <w:color w:val="000000"/>
          <w:sz w:val="22"/>
          <w:szCs w:val="28"/>
        </w:rPr>
      </w:pPr>
      <w:r>
        <w:rPr>
          <w:rFonts w:ascii="Calibri" w:eastAsia="Calibri" w:hAnsi="Calibri" w:cs="Arial"/>
          <w:iCs/>
          <w:color w:val="000000"/>
          <w:sz w:val="22"/>
          <w:szCs w:val="18"/>
        </w:rPr>
        <w:lastRenderedPageBreak/>
        <w:t>Most of the eight counties in the service area have had higher rates of children living in single parent households as compared to the state from 2012 to 2017</w:t>
      </w:r>
      <w:r w:rsidR="00600476">
        <w:rPr>
          <w:rFonts w:ascii="Calibri" w:eastAsia="Calibri" w:hAnsi="Calibri" w:cs="Arial"/>
          <w:iCs/>
          <w:color w:val="000000"/>
          <w:sz w:val="22"/>
          <w:szCs w:val="18"/>
        </w:rPr>
        <w:t xml:space="preserve"> (Table 5). </w:t>
      </w:r>
      <w:r w:rsidR="00900488" w:rsidRPr="00390229">
        <w:rPr>
          <w:rFonts w:ascii="Calibri" w:eastAsia="Calibri" w:hAnsi="Calibri" w:cs="Arial"/>
          <w:iCs/>
          <w:color w:val="000000"/>
          <w:sz w:val="22"/>
          <w:szCs w:val="18"/>
        </w:rPr>
        <w:t xml:space="preserve">Again, note </w:t>
      </w:r>
      <w:r w:rsidR="00900488" w:rsidRPr="00390229">
        <w:rPr>
          <w:rFonts w:ascii="Calibri" w:eastAsia="Calibri" w:hAnsi="Calibri" w:cs="Arial"/>
          <w:iCs/>
          <w:color w:val="000000"/>
          <w:sz w:val="22"/>
          <w:szCs w:val="28"/>
        </w:rPr>
        <w:t>that data on children living in single parent households fluctuate dramatically due to a wide margin of error in the data source (U.S. Census Bureau’s American Community Survey).</w:t>
      </w:r>
    </w:p>
    <w:p w14:paraId="6B3576BA" w14:textId="77777777" w:rsidR="00900488" w:rsidRDefault="00900488" w:rsidP="00900488">
      <w:pPr>
        <w:keepNext/>
        <w:rPr>
          <w:rFonts w:ascii="Calibri" w:eastAsia="Calibri" w:hAnsi="Calibri" w:cs="Arial"/>
          <w:b/>
          <w:iCs/>
          <w:color w:val="000000"/>
          <w:sz w:val="22"/>
          <w:szCs w:val="18"/>
        </w:rPr>
      </w:pPr>
    </w:p>
    <w:p w14:paraId="7D18AE69" w14:textId="64F1100E" w:rsidR="00900488" w:rsidRPr="00E56AF1" w:rsidRDefault="00900488" w:rsidP="00900488">
      <w:pPr>
        <w:keepNext/>
        <w:rPr>
          <w:rFonts w:ascii="Calibri" w:eastAsia="Calibri" w:hAnsi="Calibri" w:cs="Times New Roman"/>
          <w:b/>
          <w:iCs/>
          <w:color w:val="000000"/>
          <w:sz w:val="22"/>
          <w:szCs w:val="18"/>
        </w:rPr>
      </w:pPr>
      <w:r w:rsidRPr="00E56AF1">
        <w:rPr>
          <w:rFonts w:ascii="Calibri" w:eastAsia="Calibri" w:hAnsi="Calibri" w:cs="Arial"/>
          <w:b/>
          <w:iCs/>
          <w:color w:val="000000"/>
          <w:sz w:val="22"/>
          <w:szCs w:val="18"/>
        </w:rPr>
        <w:t xml:space="preserve">Table </w:t>
      </w:r>
      <w:r>
        <w:rPr>
          <w:rFonts w:ascii="Calibri" w:eastAsia="Calibri" w:hAnsi="Calibri" w:cs="Arial"/>
          <w:b/>
          <w:iCs/>
          <w:color w:val="000000"/>
          <w:sz w:val="22"/>
          <w:szCs w:val="18"/>
        </w:rPr>
        <w:t>5</w:t>
      </w:r>
      <w:r w:rsidRPr="00E56AF1">
        <w:rPr>
          <w:rFonts w:ascii="Calibri" w:eastAsia="Calibri" w:hAnsi="Calibri" w:cs="Arial"/>
          <w:b/>
          <w:iCs/>
          <w:color w:val="000000"/>
          <w:sz w:val="22"/>
          <w:szCs w:val="18"/>
        </w:rPr>
        <w:t>. Percent of children living in single parent households</w:t>
      </w:r>
      <w:r>
        <w:rPr>
          <w:rFonts w:ascii="Calibri" w:eastAsia="Calibri" w:hAnsi="Calibri" w:cs="Arial"/>
          <w:b/>
          <w:iCs/>
          <w:color w:val="000000"/>
          <w:sz w:val="22"/>
          <w:szCs w:val="18"/>
        </w:rPr>
        <w:t xml:space="preserve"> (</w:t>
      </w:r>
      <w:r>
        <w:rPr>
          <w:rFonts w:ascii="Calibri" w:eastAsia="Calibri" w:hAnsi="Calibri" w:cs="Arial"/>
          <w:b/>
          <w:iCs/>
          <w:color w:val="000000"/>
          <w:sz w:val="22"/>
          <w:szCs w:val="28"/>
        </w:rPr>
        <w:t>red indicates a higher rate compared to the state)</w:t>
      </w:r>
      <w:r w:rsidRPr="00E56AF1">
        <w:rPr>
          <w:rFonts w:ascii="Calibri" w:eastAsia="Calibri" w:hAnsi="Calibri" w:cs="Times New Roman"/>
          <w:b/>
          <w:iCs/>
          <w:color w:val="000000"/>
          <w:sz w:val="22"/>
          <w:szCs w:val="18"/>
          <w:vertAlign w:val="superscript"/>
        </w:rPr>
        <w:footnoteReference w:id="14"/>
      </w:r>
    </w:p>
    <w:tbl>
      <w:tblPr>
        <w:tblStyle w:val="GridTable6Colorful-Accent21"/>
        <w:tblW w:w="9313" w:type="dxa"/>
        <w:tblLook w:val="04A0" w:firstRow="1" w:lastRow="0" w:firstColumn="1" w:lastColumn="0" w:noHBand="0" w:noVBand="1"/>
      </w:tblPr>
      <w:tblGrid>
        <w:gridCol w:w="1407"/>
        <w:gridCol w:w="1317"/>
        <w:gridCol w:w="1317"/>
        <w:gridCol w:w="1317"/>
        <w:gridCol w:w="1317"/>
        <w:gridCol w:w="1321"/>
        <w:gridCol w:w="1317"/>
      </w:tblGrid>
      <w:tr w:rsidR="00900488" w:rsidRPr="00E56AF1" w14:paraId="0AA0F223" w14:textId="77777777" w:rsidTr="00C826C4">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36E7E144" w14:textId="77777777" w:rsidR="00900488" w:rsidRPr="00E56AF1" w:rsidRDefault="00900488" w:rsidP="00C826C4">
            <w:pPr>
              <w:jc w:val="center"/>
              <w:rPr>
                <w:rFonts w:ascii="Times New Roman" w:eastAsia="Times New Roman" w:hAnsi="Times New Roman" w:cs="Times New Roman"/>
                <w:sz w:val="20"/>
                <w:szCs w:val="20"/>
              </w:rPr>
            </w:pPr>
          </w:p>
        </w:tc>
        <w:tc>
          <w:tcPr>
            <w:tcW w:w="1317" w:type="dxa"/>
            <w:noWrap/>
            <w:hideMark/>
          </w:tcPr>
          <w:p w14:paraId="78B9AF90" w14:textId="77777777" w:rsidR="00900488" w:rsidRPr="00E56AF1" w:rsidRDefault="00900488" w:rsidP="00C826C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2012</w:t>
            </w:r>
          </w:p>
        </w:tc>
        <w:tc>
          <w:tcPr>
            <w:tcW w:w="1317" w:type="dxa"/>
            <w:noWrap/>
            <w:hideMark/>
          </w:tcPr>
          <w:p w14:paraId="06911A8E" w14:textId="77777777" w:rsidR="00900488" w:rsidRPr="00E56AF1" w:rsidRDefault="00900488" w:rsidP="00C826C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2013</w:t>
            </w:r>
          </w:p>
        </w:tc>
        <w:tc>
          <w:tcPr>
            <w:tcW w:w="1317" w:type="dxa"/>
            <w:noWrap/>
            <w:hideMark/>
          </w:tcPr>
          <w:p w14:paraId="07B47B27" w14:textId="77777777" w:rsidR="00900488" w:rsidRPr="00E56AF1" w:rsidRDefault="00900488" w:rsidP="00C826C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2014</w:t>
            </w:r>
          </w:p>
        </w:tc>
        <w:tc>
          <w:tcPr>
            <w:tcW w:w="1317" w:type="dxa"/>
            <w:noWrap/>
            <w:hideMark/>
          </w:tcPr>
          <w:p w14:paraId="31E5382C" w14:textId="77777777" w:rsidR="00900488" w:rsidRPr="00E56AF1" w:rsidRDefault="00900488" w:rsidP="00C826C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2015</w:t>
            </w:r>
          </w:p>
        </w:tc>
        <w:tc>
          <w:tcPr>
            <w:tcW w:w="1321" w:type="dxa"/>
            <w:noWrap/>
            <w:hideMark/>
          </w:tcPr>
          <w:p w14:paraId="41A8C1E2" w14:textId="77777777" w:rsidR="00900488" w:rsidRPr="00E56AF1" w:rsidRDefault="00900488" w:rsidP="00C826C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2016</w:t>
            </w:r>
          </w:p>
        </w:tc>
        <w:tc>
          <w:tcPr>
            <w:tcW w:w="1317" w:type="dxa"/>
            <w:noWrap/>
            <w:hideMark/>
          </w:tcPr>
          <w:p w14:paraId="0222C309" w14:textId="77777777" w:rsidR="00900488" w:rsidRPr="00E56AF1" w:rsidRDefault="00900488" w:rsidP="00C826C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E56AF1">
              <w:rPr>
                <w:rFonts w:ascii="Calibri" w:eastAsia="Times New Roman" w:hAnsi="Calibri" w:cs="Times New Roman"/>
                <w:color w:val="000000"/>
                <w:szCs w:val="24"/>
              </w:rPr>
              <w:t>2017</w:t>
            </w:r>
          </w:p>
        </w:tc>
      </w:tr>
      <w:tr w:rsidR="00773BAD" w:rsidRPr="00E56AF1" w14:paraId="2F1948CD" w14:textId="77777777" w:rsidTr="00C826C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5B75CF3B" w14:textId="77777777" w:rsidR="00773BAD" w:rsidRPr="00E56AF1" w:rsidRDefault="00773BAD" w:rsidP="00773BAD">
            <w:pPr>
              <w:rPr>
                <w:rFonts w:ascii="Calibri" w:eastAsia="Times New Roman" w:hAnsi="Calibri" w:cs="Times New Roman"/>
                <w:color w:val="000000"/>
                <w:szCs w:val="24"/>
              </w:rPr>
            </w:pPr>
            <w:r w:rsidRPr="00E56AF1">
              <w:rPr>
                <w:rFonts w:ascii="Calibri" w:eastAsia="Times New Roman" w:hAnsi="Calibri" w:cs="Times New Roman"/>
                <w:color w:val="000000"/>
                <w:szCs w:val="24"/>
              </w:rPr>
              <w:t>Blaine</w:t>
            </w:r>
          </w:p>
        </w:tc>
        <w:tc>
          <w:tcPr>
            <w:tcW w:w="1317" w:type="dxa"/>
            <w:noWrap/>
            <w:hideMark/>
          </w:tcPr>
          <w:p w14:paraId="519BE2D7" w14:textId="7DAA61F8"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17.5%</w:t>
            </w:r>
          </w:p>
        </w:tc>
        <w:tc>
          <w:tcPr>
            <w:tcW w:w="1317" w:type="dxa"/>
            <w:noWrap/>
            <w:hideMark/>
          </w:tcPr>
          <w:p w14:paraId="645A298B" w14:textId="430773BD"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18.0%</w:t>
            </w:r>
          </w:p>
        </w:tc>
        <w:tc>
          <w:tcPr>
            <w:tcW w:w="1317" w:type="dxa"/>
            <w:noWrap/>
            <w:hideMark/>
          </w:tcPr>
          <w:p w14:paraId="71F8B8B9" w14:textId="00E203C2"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3A7975">
              <w:rPr>
                <w:rFonts w:eastAsia="Times New Roman" w:cs="Times New Roman"/>
                <w:color w:val="FF0000"/>
              </w:rPr>
              <w:t>34.2%</w:t>
            </w:r>
          </w:p>
        </w:tc>
        <w:tc>
          <w:tcPr>
            <w:tcW w:w="1317" w:type="dxa"/>
            <w:noWrap/>
            <w:hideMark/>
          </w:tcPr>
          <w:p w14:paraId="6DD37B61" w14:textId="75B7C049"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21.7%</w:t>
            </w:r>
          </w:p>
        </w:tc>
        <w:tc>
          <w:tcPr>
            <w:tcW w:w="1321" w:type="dxa"/>
            <w:noWrap/>
            <w:hideMark/>
          </w:tcPr>
          <w:p w14:paraId="653120E9" w14:textId="57C82C36"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07646C">
              <w:rPr>
                <w:rFonts w:eastAsia="Times New Roman" w:cs="Times New Roman"/>
                <w:color w:val="000000"/>
              </w:rPr>
              <w:t>16.0%</w:t>
            </w:r>
          </w:p>
        </w:tc>
        <w:tc>
          <w:tcPr>
            <w:tcW w:w="1317" w:type="dxa"/>
            <w:noWrap/>
            <w:hideMark/>
          </w:tcPr>
          <w:p w14:paraId="28C88168" w14:textId="15B65839"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Pr>
                <w:rFonts w:eastAsia="Times New Roman" w:cs="Times New Roman"/>
                <w:color w:val="000000"/>
              </w:rPr>
              <w:t>6.6%</w:t>
            </w:r>
          </w:p>
        </w:tc>
      </w:tr>
      <w:tr w:rsidR="00773BAD" w:rsidRPr="00E56AF1" w14:paraId="06CA3AB2" w14:textId="77777777" w:rsidTr="00C826C4">
        <w:trPr>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780AA807" w14:textId="77777777" w:rsidR="00773BAD" w:rsidRPr="00E56AF1" w:rsidRDefault="00773BAD" w:rsidP="00773BAD">
            <w:pPr>
              <w:rPr>
                <w:rFonts w:ascii="Calibri" w:eastAsia="Times New Roman" w:hAnsi="Calibri" w:cs="Times New Roman"/>
                <w:color w:val="000000"/>
                <w:szCs w:val="24"/>
              </w:rPr>
            </w:pPr>
            <w:r w:rsidRPr="00E56AF1">
              <w:rPr>
                <w:rFonts w:ascii="Calibri" w:eastAsia="Times New Roman" w:hAnsi="Calibri" w:cs="Times New Roman"/>
                <w:color w:val="000000"/>
                <w:szCs w:val="24"/>
              </w:rPr>
              <w:t xml:space="preserve">Custer </w:t>
            </w:r>
          </w:p>
        </w:tc>
        <w:tc>
          <w:tcPr>
            <w:tcW w:w="1317" w:type="dxa"/>
            <w:noWrap/>
            <w:hideMark/>
          </w:tcPr>
          <w:p w14:paraId="4BDD004A" w14:textId="6D280EFA"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13.2%</w:t>
            </w:r>
          </w:p>
        </w:tc>
        <w:tc>
          <w:tcPr>
            <w:tcW w:w="1317" w:type="dxa"/>
            <w:noWrap/>
            <w:hideMark/>
          </w:tcPr>
          <w:p w14:paraId="7860F883" w14:textId="2E4F84F9"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17.0%</w:t>
            </w:r>
          </w:p>
        </w:tc>
        <w:tc>
          <w:tcPr>
            <w:tcW w:w="1317" w:type="dxa"/>
            <w:noWrap/>
            <w:hideMark/>
          </w:tcPr>
          <w:p w14:paraId="3B2AAD6E" w14:textId="774B6B00"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17.5%</w:t>
            </w:r>
          </w:p>
        </w:tc>
        <w:tc>
          <w:tcPr>
            <w:tcW w:w="1317" w:type="dxa"/>
            <w:noWrap/>
            <w:hideMark/>
          </w:tcPr>
          <w:p w14:paraId="6F4C27E7" w14:textId="07DE9844"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23.4%</w:t>
            </w:r>
          </w:p>
        </w:tc>
        <w:tc>
          <w:tcPr>
            <w:tcW w:w="1321" w:type="dxa"/>
            <w:noWrap/>
            <w:hideMark/>
          </w:tcPr>
          <w:p w14:paraId="57A3CC0B" w14:textId="472260E3"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07646C">
              <w:rPr>
                <w:rFonts w:eastAsia="Times New Roman" w:cs="Times New Roman"/>
                <w:color w:val="000000"/>
              </w:rPr>
              <w:t>25.6%</w:t>
            </w:r>
          </w:p>
        </w:tc>
        <w:tc>
          <w:tcPr>
            <w:tcW w:w="1317" w:type="dxa"/>
            <w:noWrap/>
            <w:hideMark/>
          </w:tcPr>
          <w:p w14:paraId="41D7970A" w14:textId="4BE4E87B"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07646C">
              <w:rPr>
                <w:rFonts w:eastAsia="Times New Roman" w:cs="Times New Roman"/>
                <w:color w:val="000000"/>
              </w:rPr>
              <w:t>25.4%</w:t>
            </w:r>
          </w:p>
        </w:tc>
      </w:tr>
      <w:tr w:rsidR="00773BAD" w:rsidRPr="00E56AF1" w14:paraId="2144099D" w14:textId="77777777" w:rsidTr="00C826C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173A6CE6" w14:textId="77777777" w:rsidR="00773BAD" w:rsidRPr="00E56AF1" w:rsidRDefault="00773BAD" w:rsidP="00773BAD">
            <w:pPr>
              <w:rPr>
                <w:rFonts w:ascii="Calibri" w:eastAsia="Times New Roman" w:hAnsi="Calibri" w:cs="Times New Roman"/>
                <w:color w:val="000000"/>
                <w:szCs w:val="24"/>
              </w:rPr>
            </w:pPr>
            <w:r w:rsidRPr="00E56AF1">
              <w:rPr>
                <w:rFonts w:ascii="Calibri" w:eastAsia="Times New Roman" w:hAnsi="Calibri" w:cs="Times New Roman"/>
                <w:color w:val="000000"/>
                <w:szCs w:val="24"/>
              </w:rPr>
              <w:t>Garfield</w:t>
            </w:r>
          </w:p>
        </w:tc>
        <w:tc>
          <w:tcPr>
            <w:tcW w:w="1317" w:type="dxa"/>
            <w:noWrap/>
            <w:hideMark/>
          </w:tcPr>
          <w:p w14:paraId="377069CE" w14:textId="462ACDA1"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17.7%</w:t>
            </w:r>
          </w:p>
        </w:tc>
        <w:tc>
          <w:tcPr>
            <w:tcW w:w="1317" w:type="dxa"/>
            <w:noWrap/>
            <w:hideMark/>
          </w:tcPr>
          <w:p w14:paraId="6E97CACA" w14:textId="1A7559B9"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21.0%</w:t>
            </w:r>
          </w:p>
        </w:tc>
        <w:tc>
          <w:tcPr>
            <w:tcW w:w="1317" w:type="dxa"/>
            <w:noWrap/>
            <w:hideMark/>
          </w:tcPr>
          <w:p w14:paraId="504BA81C" w14:textId="499C1DE6"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18.9%</w:t>
            </w:r>
          </w:p>
        </w:tc>
        <w:tc>
          <w:tcPr>
            <w:tcW w:w="1317" w:type="dxa"/>
            <w:noWrap/>
            <w:hideMark/>
          </w:tcPr>
          <w:p w14:paraId="017D166A" w14:textId="3392CC3E"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26.7%</w:t>
            </w:r>
          </w:p>
        </w:tc>
        <w:tc>
          <w:tcPr>
            <w:tcW w:w="1321" w:type="dxa"/>
            <w:noWrap/>
            <w:hideMark/>
          </w:tcPr>
          <w:p w14:paraId="36D184A0" w14:textId="4A45B088"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07646C">
              <w:rPr>
                <w:rFonts w:eastAsia="Times New Roman" w:cs="Times New Roman"/>
                <w:color w:val="000000"/>
              </w:rPr>
              <w:t>26.5%</w:t>
            </w:r>
          </w:p>
        </w:tc>
        <w:tc>
          <w:tcPr>
            <w:tcW w:w="1317" w:type="dxa"/>
            <w:noWrap/>
            <w:hideMark/>
          </w:tcPr>
          <w:p w14:paraId="1ED9B6BC" w14:textId="79161B9B"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07646C">
              <w:rPr>
                <w:rFonts w:eastAsia="Times New Roman" w:cs="Times New Roman"/>
                <w:color w:val="000000"/>
              </w:rPr>
              <w:t>24.4%</w:t>
            </w:r>
          </w:p>
        </w:tc>
      </w:tr>
      <w:tr w:rsidR="00773BAD" w:rsidRPr="00E56AF1" w14:paraId="75184200" w14:textId="77777777" w:rsidTr="00C826C4">
        <w:trPr>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4A31922B" w14:textId="77777777" w:rsidR="00773BAD" w:rsidRPr="00E56AF1" w:rsidRDefault="00773BAD" w:rsidP="00773BAD">
            <w:pPr>
              <w:rPr>
                <w:rFonts w:ascii="Calibri" w:eastAsia="Times New Roman" w:hAnsi="Calibri" w:cs="Times New Roman"/>
                <w:color w:val="000000"/>
                <w:szCs w:val="24"/>
              </w:rPr>
            </w:pPr>
            <w:r w:rsidRPr="00E56AF1">
              <w:rPr>
                <w:rFonts w:ascii="Calibri" w:eastAsia="Times New Roman" w:hAnsi="Calibri" w:cs="Times New Roman"/>
                <w:color w:val="000000"/>
                <w:szCs w:val="24"/>
              </w:rPr>
              <w:t xml:space="preserve">Greeley </w:t>
            </w:r>
          </w:p>
        </w:tc>
        <w:tc>
          <w:tcPr>
            <w:tcW w:w="1317" w:type="dxa"/>
            <w:noWrap/>
            <w:hideMark/>
          </w:tcPr>
          <w:p w14:paraId="6AC1560F" w14:textId="6174B53B"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22.2%</w:t>
            </w:r>
          </w:p>
        </w:tc>
        <w:tc>
          <w:tcPr>
            <w:tcW w:w="1317" w:type="dxa"/>
            <w:noWrap/>
            <w:hideMark/>
          </w:tcPr>
          <w:p w14:paraId="160F6082" w14:textId="66E8B1EA"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21.0%</w:t>
            </w:r>
          </w:p>
        </w:tc>
        <w:tc>
          <w:tcPr>
            <w:tcW w:w="1317" w:type="dxa"/>
            <w:noWrap/>
            <w:hideMark/>
          </w:tcPr>
          <w:p w14:paraId="66F613A5" w14:textId="41381468"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18.2%</w:t>
            </w:r>
          </w:p>
        </w:tc>
        <w:tc>
          <w:tcPr>
            <w:tcW w:w="1317" w:type="dxa"/>
            <w:noWrap/>
            <w:hideMark/>
          </w:tcPr>
          <w:p w14:paraId="095C9888" w14:textId="33B35876"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18.0%</w:t>
            </w:r>
          </w:p>
        </w:tc>
        <w:tc>
          <w:tcPr>
            <w:tcW w:w="1321" w:type="dxa"/>
            <w:noWrap/>
            <w:hideMark/>
          </w:tcPr>
          <w:p w14:paraId="405448FC" w14:textId="2517D2DA"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07646C">
              <w:rPr>
                <w:rFonts w:eastAsia="Times New Roman" w:cs="Times New Roman"/>
                <w:color w:val="000000"/>
              </w:rPr>
              <w:t>21.7%</w:t>
            </w:r>
          </w:p>
        </w:tc>
        <w:tc>
          <w:tcPr>
            <w:tcW w:w="1317" w:type="dxa"/>
            <w:noWrap/>
            <w:hideMark/>
          </w:tcPr>
          <w:p w14:paraId="7C80D27F" w14:textId="1B4DCBE9"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07646C">
              <w:rPr>
                <w:rFonts w:eastAsia="Times New Roman" w:cs="Times New Roman"/>
                <w:color w:val="000000"/>
              </w:rPr>
              <w:t>16.6%</w:t>
            </w:r>
          </w:p>
        </w:tc>
      </w:tr>
      <w:tr w:rsidR="00773BAD" w:rsidRPr="00E56AF1" w14:paraId="24A48639" w14:textId="77777777" w:rsidTr="00C826C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3EA9018C" w14:textId="77777777" w:rsidR="00773BAD" w:rsidRPr="00E56AF1" w:rsidRDefault="00773BAD" w:rsidP="00773BAD">
            <w:pPr>
              <w:rPr>
                <w:rFonts w:ascii="Calibri" w:eastAsia="Times New Roman" w:hAnsi="Calibri" w:cs="Times New Roman"/>
                <w:color w:val="000000"/>
                <w:szCs w:val="24"/>
              </w:rPr>
            </w:pPr>
            <w:r w:rsidRPr="00E56AF1">
              <w:rPr>
                <w:rFonts w:ascii="Calibri" w:eastAsia="Times New Roman" w:hAnsi="Calibri" w:cs="Times New Roman"/>
                <w:color w:val="000000"/>
                <w:szCs w:val="24"/>
              </w:rPr>
              <w:t>Loup</w:t>
            </w:r>
          </w:p>
        </w:tc>
        <w:tc>
          <w:tcPr>
            <w:tcW w:w="1317" w:type="dxa"/>
            <w:noWrap/>
            <w:hideMark/>
          </w:tcPr>
          <w:p w14:paraId="74AD21F6" w14:textId="631B2508"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A925B9">
              <w:rPr>
                <w:rFonts w:eastAsia="Times New Roman" w:cs="Times New Roman"/>
                <w:color w:val="000000"/>
              </w:rPr>
              <w:t>2.1</w:t>
            </w:r>
            <w:r>
              <w:rPr>
                <w:rFonts w:eastAsia="Times New Roman" w:cs="Times New Roman"/>
                <w:color w:val="000000"/>
              </w:rPr>
              <w:t>%</w:t>
            </w:r>
          </w:p>
        </w:tc>
        <w:tc>
          <w:tcPr>
            <w:tcW w:w="1317" w:type="dxa"/>
            <w:noWrap/>
            <w:hideMark/>
          </w:tcPr>
          <w:p w14:paraId="30FCCCDC" w14:textId="7E616F61"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A925B9">
              <w:rPr>
                <w:rFonts w:eastAsia="Times New Roman" w:cs="Times New Roman"/>
                <w:color w:val="000000"/>
              </w:rPr>
              <w:t>6</w:t>
            </w:r>
            <w:r>
              <w:rPr>
                <w:rFonts w:eastAsia="Times New Roman" w:cs="Times New Roman"/>
                <w:color w:val="000000"/>
              </w:rPr>
              <w:t>.0%</w:t>
            </w:r>
          </w:p>
        </w:tc>
        <w:tc>
          <w:tcPr>
            <w:tcW w:w="1317" w:type="dxa"/>
            <w:noWrap/>
            <w:hideMark/>
          </w:tcPr>
          <w:p w14:paraId="6D4BDC60" w14:textId="02414B53"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A925B9">
              <w:rPr>
                <w:rFonts w:eastAsia="Times New Roman" w:cs="Times New Roman"/>
                <w:color w:val="000000"/>
              </w:rPr>
              <w:t>11.4</w:t>
            </w:r>
            <w:r>
              <w:rPr>
                <w:rFonts w:eastAsia="Times New Roman" w:cs="Times New Roman"/>
                <w:color w:val="000000"/>
              </w:rPr>
              <w:t>%</w:t>
            </w:r>
          </w:p>
        </w:tc>
        <w:tc>
          <w:tcPr>
            <w:tcW w:w="1317" w:type="dxa"/>
            <w:noWrap/>
            <w:hideMark/>
          </w:tcPr>
          <w:p w14:paraId="12524185" w14:textId="1A5E2BB8"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18.5%</w:t>
            </w:r>
          </w:p>
        </w:tc>
        <w:tc>
          <w:tcPr>
            <w:tcW w:w="1321" w:type="dxa"/>
            <w:noWrap/>
            <w:hideMark/>
          </w:tcPr>
          <w:p w14:paraId="78A83B7E" w14:textId="4664F791"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07646C">
              <w:rPr>
                <w:rFonts w:eastAsia="Times New Roman" w:cs="Times New Roman"/>
                <w:color w:val="000000"/>
              </w:rPr>
              <w:t>20.0%</w:t>
            </w:r>
          </w:p>
        </w:tc>
        <w:tc>
          <w:tcPr>
            <w:tcW w:w="1317" w:type="dxa"/>
            <w:noWrap/>
            <w:hideMark/>
          </w:tcPr>
          <w:p w14:paraId="68FF491B" w14:textId="3196E922"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rPr>
            </w:pPr>
            <w:r w:rsidRPr="00A925B9">
              <w:rPr>
                <w:rFonts w:eastAsia="Times New Roman" w:cs="Times New Roman"/>
                <w:color w:val="000000"/>
              </w:rPr>
              <w:t>9</w:t>
            </w:r>
            <w:r>
              <w:rPr>
                <w:rFonts w:eastAsia="Times New Roman" w:cs="Times New Roman"/>
                <w:color w:val="000000"/>
              </w:rPr>
              <w:t>.</w:t>
            </w:r>
            <w:r w:rsidRPr="00A925B9">
              <w:rPr>
                <w:rFonts w:eastAsia="Times New Roman" w:cs="Times New Roman"/>
                <w:color w:val="000000"/>
              </w:rPr>
              <w:t>6</w:t>
            </w:r>
            <w:r>
              <w:rPr>
                <w:rFonts w:eastAsia="Times New Roman" w:cs="Times New Roman"/>
                <w:color w:val="000000"/>
              </w:rPr>
              <w:t>%</w:t>
            </w:r>
          </w:p>
        </w:tc>
      </w:tr>
      <w:tr w:rsidR="00773BAD" w:rsidRPr="00E56AF1" w14:paraId="5840F6AA" w14:textId="77777777" w:rsidTr="00C826C4">
        <w:trPr>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56BE0462" w14:textId="77777777" w:rsidR="00773BAD" w:rsidRPr="00E56AF1" w:rsidRDefault="00773BAD" w:rsidP="00773BAD">
            <w:pPr>
              <w:rPr>
                <w:rFonts w:ascii="Calibri" w:eastAsia="Times New Roman" w:hAnsi="Calibri" w:cs="Times New Roman"/>
                <w:color w:val="000000"/>
                <w:szCs w:val="24"/>
              </w:rPr>
            </w:pPr>
            <w:r w:rsidRPr="00E56AF1">
              <w:rPr>
                <w:rFonts w:ascii="Calibri" w:eastAsia="Times New Roman" w:hAnsi="Calibri" w:cs="Times New Roman"/>
                <w:color w:val="000000"/>
                <w:szCs w:val="24"/>
              </w:rPr>
              <w:t xml:space="preserve">Sherman </w:t>
            </w:r>
          </w:p>
        </w:tc>
        <w:tc>
          <w:tcPr>
            <w:tcW w:w="1317" w:type="dxa"/>
            <w:noWrap/>
            <w:hideMark/>
          </w:tcPr>
          <w:p w14:paraId="52BB0EF9" w14:textId="4B885EA7"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19.6%</w:t>
            </w:r>
          </w:p>
        </w:tc>
        <w:tc>
          <w:tcPr>
            <w:tcW w:w="1317" w:type="dxa"/>
            <w:noWrap/>
            <w:hideMark/>
          </w:tcPr>
          <w:p w14:paraId="6D3A4B75" w14:textId="357D90AF"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20.0%</w:t>
            </w:r>
          </w:p>
        </w:tc>
        <w:tc>
          <w:tcPr>
            <w:tcW w:w="1317" w:type="dxa"/>
            <w:noWrap/>
            <w:hideMark/>
          </w:tcPr>
          <w:p w14:paraId="706DC202" w14:textId="6529AC28"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16.0%</w:t>
            </w:r>
          </w:p>
        </w:tc>
        <w:tc>
          <w:tcPr>
            <w:tcW w:w="1317" w:type="dxa"/>
            <w:noWrap/>
            <w:hideMark/>
          </w:tcPr>
          <w:p w14:paraId="3DB8C654" w14:textId="44E818F7"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3A7975">
              <w:rPr>
                <w:rFonts w:eastAsia="Times New Roman" w:cs="Times New Roman"/>
                <w:color w:val="FF0000"/>
              </w:rPr>
              <w:t>36.3%</w:t>
            </w:r>
          </w:p>
        </w:tc>
        <w:tc>
          <w:tcPr>
            <w:tcW w:w="1321" w:type="dxa"/>
            <w:noWrap/>
            <w:hideMark/>
          </w:tcPr>
          <w:p w14:paraId="749D6B3D" w14:textId="3F3D30FF"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3A7975">
              <w:rPr>
                <w:rFonts w:eastAsia="Times New Roman" w:cs="Times New Roman"/>
                <w:color w:val="FF0000"/>
              </w:rPr>
              <w:t>30.1%</w:t>
            </w:r>
          </w:p>
        </w:tc>
        <w:tc>
          <w:tcPr>
            <w:tcW w:w="1317" w:type="dxa"/>
            <w:noWrap/>
            <w:hideMark/>
          </w:tcPr>
          <w:p w14:paraId="5628047C" w14:textId="32FCCBB6"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07646C">
              <w:rPr>
                <w:rFonts w:eastAsia="Times New Roman" w:cs="Times New Roman"/>
                <w:color w:val="000000"/>
              </w:rPr>
              <w:t>25.1%</w:t>
            </w:r>
          </w:p>
        </w:tc>
      </w:tr>
      <w:tr w:rsidR="00773BAD" w:rsidRPr="00E56AF1" w14:paraId="2C00F7D0" w14:textId="77777777" w:rsidTr="00C826C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4F43CDFE" w14:textId="77777777" w:rsidR="00773BAD" w:rsidRPr="00E56AF1" w:rsidRDefault="00773BAD" w:rsidP="00773BAD">
            <w:pPr>
              <w:rPr>
                <w:rFonts w:ascii="Calibri" w:eastAsia="Times New Roman" w:hAnsi="Calibri" w:cs="Times New Roman"/>
                <w:color w:val="000000"/>
                <w:szCs w:val="24"/>
              </w:rPr>
            </w:pPr>
            <w:r w:rsidRPr="00E56AF1">
              <w:rPr>
                <w:rFonts w:ascii="Calibri" w:eastAsia="Times New Roman" w:hAnsi="Calibri" w:cs="Times New Roman"/>
                <w:color w:val="000000"/>
                <w:szCs w:val="24"/>
              </w:rPr>
              <w:t>Valley</w:t>
            </w:r>
          </w:p>
        </w:tc>
        <w:tc>
          <w:tcPr>
            <w:tcW w:w="1317" w:type="dxa"/>
            <w:noWrap/>
            <w:hideMark/>
          </w:tcPr>
          <w:p w14:paraId="77427B3C" w14:textId="0B072235"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17.2%</w:t>
            </w:r>
          </w:p>
        </w:tc>
        <w:tc>
          <w:tcPr>
            <w:tcW w:w="1317" w:type="dxa"/>
            <w:noWrap/>
            <w:hideMark/>
          </w:tcPr>
          <w:p w14:paraId="4C7EB790" w14:textId="4DE7AFC4"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18.0%</w:t>
            </w:r>
          </w:p>
        </w:tc>
        <w:tc>
          <w:tcPr>
            <w:tcW w:w="1317" w:type="dxa"/>
            <w:noWrap/>
            <w:hideMark/>
          </w:tcPr>
          <w:p w14:paraId="3454F870" w14:textId="08CDD2F4"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18.2%</w:t>
            </w:r>
          </w:p>
        </w:tc>
        <w:tc>
          <w:tcPr>
            <w:tcW w:w="1317" w:type="dxa"/>
            <w:noWrap/>
            <w:hideMark/>
          </w:tcPr>
          <w:p w14:paraId="3ACBB475" w14:textId="569C131D"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07646C">
              <w:rPr>
                <w:rFonts w:eastAsia="Times New Roman" w:cs="Times New Roman"/>
                <w:color w:val="000000"/>
              </w:rPr>
              <w:t>16.7%</w:t>
            </w:r>
          </w:p>
        </w:tc>
        <w:tc>
          <w:tcPr>
            <w:tcW w:w="1321" w:type="dxa"/>
            <w:noWrap/>
            <w:hideMark/>
          </w:tcPr>
          <w:p w14:paraId="33D6C931" w14:textId="67B10E84"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07646C">
              <w:rPr>
                <w:rFonts w:eastAsia="Times New Roman" w:cs="Times New Roman"/>
                <w:color w:val="000000"/>
              </w:rPr>
              <w:t>20.3%</w:t>
            </w:r>
          </w:p>
        </w:tc>
        <w:tc>
          <w:tcPr>
            <w:tcW w:w="1317" w:type="dxa"/>
            <w:noWrap/>
            <w:hideMark/>
          </w:tcPr>
          <w:p w14:paraId="51F12ABA" w14:textId="645C34DA" w:rsidR="00773BAD" w:rsidRPr="00E56AF1"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Cs w:val="24"/>
              </w:rPr>
            </w:pPr>
            <w:r w:rsidRPr="0007646C">
              <w:rPr>
                <w:rFonts w:eastAsia="Times New Roman" w:cs="Times New Roman"/>
                <w:color w:val="000000"/>
              </w:rPr>
              <w:t>14.2%</w:t>
            </w:r>
          </w:p>
        </w:tc>
      </w:tr>
      <w:tr w:rsidR="00773BAD" w:rsidRPr="00E56AF1" w14:paraId="7F2BB370" w14:textId="77777777" w:rsidTr="00C826C4">
        <w:trPr>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3C2FC306" w14:textId="77777777" w:rsidR="00773BAD" w:rsidRPr="00E56AF1" w:rsidRDefault="00773BAD" w:rsidP="00773BAD">
            <w:pPr>
              <w:rPr>
                <w:rFonts w:ascii="Calibri" w:eastAsia="Times New Roman" w:hAnsi="Calibri" w:cs="Times New Roman"/>
                <w:color w:val="000000"/>
                <w:szCs w:val="24"/>
              </w:rPr>
            </w:pPr>
            <w:r w:rsidRPr="00E56AF1">
              <w:rPr>
                <w:rFonts w:ascii="Calibri" w:eastAsia="Times New Roman" w:hAnsi="Calibri" w:cs="Times New Roman"/>
                <w:color w:val="000000"/>
                <w:szCs w:val="24"/>
              </w:rPr>
              <w:t xml:space="preserve">Wheeler </w:t>
            </w:r>
          </w:p>
        </w:tc>
        <w:tc>
          <w:tcPr>
            <w:tcW w:w="1317" w:type="dxa"/>
            <w:noWrap/>
            <w:hideMark/>
          </w:tcPr>
          <w:p w14:paraId="0F599C91" w14:textId="69B09253"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17.9%</w:t>
            </w:r>
          </w:p>
        </w:tc>
        <w:tc>
          <w:tcPr>
            <w:tcW w:w="1317" w:type="dxa"/>
            <w:noWrap/>
            <w:hideMark/>
          </w:tcPr>
          <w:p w14:paraId="7BD822EA" w14:textId="7BE10F35"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9E7067">
              <w:rPr>
                <w:rFonts w:eastAsia="Times New Roman" w:cs="Times New Roman"/>
                <w:color w:val="000000"/>
              </w:rPr>
              <w:t>16.0%</w:t>
            </w:r>
          </w:p>
        </w:tc>
        <w:tc>
          <w:tcPr>
            <w:tcW w:w="1317" w:type="dxa"/>
            <w:noWrap/>
            <w:hideMark/>
          </w:tcPr>
          <w:p w14:paraId="2DC06CB6" w14:textId="280BA7EA"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rPr>
            </w:pPr>
            <w:r w:rsidRPr="00A925B9">
              <w:rPr>
                <w:rFonts w:eastAsia="Times New Roman" w:cs="Times New Roman"/>
                <w:color w:val="000000"/>
              </w:rPr>
              <w:t>5.5</w:t>
            </w:r>
            <w:r>
              <w:rPr>
                <w:rFonts w:eastAsia="Times New Roman" w:cs="Times New Roman"/>
                <w:color w:val="000000"/>
              </w:rPr>
              <w:t>%</w:t>
            </w:r>
          </w:p>
        </w:tc>
        <w:tc>
          <w:tcPr>
            <w:tcW w:w="1317" w:type="dxa"/>
            <w:noWrap/>
            <w:hideMark/>
          </w:tcPr>
          <w:p w14:paraId="4A1745C7" w14:textId="391C4189"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07646C">
              <w:rPr>
                <w:rFonts w:eastAsia="Times New Roman" w:cs="Times New Roman"/>
                <w:color w:val="000000"/>
              </w:rPr>
              <w:t>18.6%</w:t>
            </w:r>
          </w:p>
        </w:tc>
        <w:tc>
          <w:tcPr>
            <w:tcW w:w="1321" w:type="dxa"/>
            <w:noWrap/>
            <w:hideMark/>
          </w:tcPr>
          <w:p w14:paraId="79DCBDF4" w14:textId="1C43DEF1"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07646C">
              <w:rPr>
                <w:rFonts w:eastAsia="Times New Roman" w:cs="Times New Roman"/>
                <w:color w:val="000000"/>
              </w:rPr>
              <w:t>25.3%</w:t>
            </w:r>
          </w:p>
        </w:tc>
        <w:tc>
          <w:tcPr>
            <w:tcW w:w="1317" w:type="dxa"/>
            <w:noWrap/>
            <w:hideMark/>
          </w:tcPr>
          <w:p w14:paraId="2470319A" w14:textId="2BAE1A4F" w:rsidR="00773BAD" w:rsidRPr="00E56AF1" w:rsidRDefault="00773BAD" w:rsidP="00773B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szCs w:val="24"/>
              </w:rPr>
            </w:pPr>
            <w:r w:rsidRPr="0007646C">
              <w:rPr>
                <w:rFonts w:eastAsia="Times New Roman" w:cs="Times New Roman"/>
                <w:color w:val="000000"/>
              </w:rPr>
              <w:t>21.7%</w:t>
            </w:r>
          </w:p>
        </w:tc>
      </w:tr>
      <w:tr w:rsidR="00773BAD" w:rsidRPr="00E56AF1" w14:paraId="4178BC85" w14:textId="77777777" w:rsidTr="00C826C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07" w:type="dxa"/>
            <w:noWrap/>
            <w:hideMark/>
          </w:tcPr>
          <w:p w14:paraId="4A8FCF5D" w14:textId="77777777" w:rsidR="00773BAD" w:rsidRPr="00E56AF1" w:rsidRDefault="00773BAD" w:rsidP="00773BAD">
            <w:pPr>
              <w:rPr>
                <w:rFonts w:ascii="Calibri" w:eastAsia="Times New Roman" w:hAnsi="Calibri" w:cs="Times New Roman"/>
                <w:color w:val="000000"/>
                <w:szCs w:val="24"/>
              </w:rPr>
            </w:pPr>
            <w:bookmarkStart w:id="7" w:name="_GoBack" w:colFirst="1" w:colLast="6"/>
            <w:r w:rsidRPr="00E56AF1">
              <w:rPr>
                <w:rFonts w:ascii="Calibri" w:eastAsia="Times New Roman" w:hAnsi="Calibri" w:cs="Times New Roman"/>
                <w:color w:val="000000"/>
                <w:szCs w:val="24"/>
              </w:rPr>
              <w:t>Nebraska</w:t>
            </w:r>
          </w:p>
        </w:tc>
        <w:tc>
          <w:tcPr>
            <w:tcW w:w="1317" w:type="dxa"/>
            <w:noWrap/>
            <w:hideMark/>
          </w:tcPr>
          <w:p w14:paraId="0A131069" w14:textId="542FC711" w:rsidR="00773BAD" w:rsidRPr="00773BAD"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Cs w:val="24"/>
              </w:rPr>
            </w:pPr>
            <w:r w:rsidRPr="00773BAD">
              <w:rPr>
                <w:rFonts w:eastAsia="Times New Roman" w:cs="Times New Roman"/>
                <w:b/>
                <w:bCs/>
                <w:color w:val="000000"/>
              </w:rPr>
              <w:t>26.3%</w:t>
            </w:r>
          </w:p>
        </w:tc>
        <w:tc>
          <w:tcPr>
            <w:tcW w:w="1317" w:type="dxa"/>
            <w:noWrap/>
            <w:hideMark/>
          </w:tcPr>
          <w:p w14:paraId="186935A8" w14:textId="14961155" w:rsidR="00773BAD" w:rsidRPr="00773BAD"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Cs w:val="24"/>
              </w:rPr>
            </w:pPr>
            <w:r w:rsidRPr="00773BAD">
              <w:rPr>
                <w:rFonts w:eastAsia="Times New Roman" w:cs="Times New Roman"/>
                <w:b/>
                <w:bCs/>
                <w:color w:val="000000"/>
              </w:rPr>
              <w:t>27.0%</w:t>
            </w:r>
          </w:p>
        </w:tc>
        <w:tc>
          <w:tcPr>
            <w:tcW w:w="1317" w:type="dxa"/>
            <w:noWrap/>
            <w:hideMark/>
          </w:tcPr>
          <w:p w14:paraId="173C39A3" w14:textId="5BF9CD82" w:rsidR="00773BAD" w:rsidRPr="00773BAD"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Cs w:val="24"/>
              </w:rPr>
            </w:pPr>
            <w:r w:rsidRPr="00773BAD">
              <w:rPr>
                <w:rFonts w:eastAsia="Times New Roman" w:cs="Times New Roman"/>
                <w:b/>
                <w:bCs/>
                <w:color w:val="000000"/>
              </w:rPr>
              <w:t>27.7%</w:t>
            </w:r>
          </w:p>
        </w:tc>
        <w:tc>
          <w:tcPr>
            <w:tcW w:w="1317" w:type="dxa"/>
            <w:noWrap/>
            <w:hideMark/>
          </w:tcPr>
          <w:p w14:paraId="7C7BE041" w14:textId="59712DA4" w:rsidR="00773BAD" w:rsidRPr="00773BAD"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Cs w:val="24"/>
              </w:rPr>
            </w:pPr>
            <w:r w:rsidRPr="00773BAD">
              <w:rPr>
                <w:rFonts w:eastAsia="Times New Roman" w:cs="Times New Roman"/>
                <w:b/>
                <w:bCs/>
                <w:color w:val="000000"/>
              </w:rPr>
              <w:t>28.7%</w:t>
            </w:r>
          </w:p>
        </w:tc>
        <w:tc>
          <w:tcPr>
            <w:tcW w:w="1321" w:type="dxa"/>
            <w:noWrap/>
            <w:hideMark/>
          </w:tcPr>
          <w:p w14:paraId="375706BD" w14:textId="600193AA" w:rsidR="00773BAD" w:rsidRPr="00773BAD"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Cs w:val="24"/>
              </w:rPr>
            </w:pPr>
            <w:r w:rsidRPr="00773BAD">
              <w:rPr>
                <w:rFonts w:eastAsia="Times New Roman" w:cs="Times New Roman"/>
                <w:b/>
                <w:bCs/>
                <w:color w:val="000000"/>
              </w:rPr>
              <w:t>28.8%</w:t>
            </w:r>
          </w:p>
        </w:tc>
        <w:tc>
          <w:tcPr>
            <w:tcW w:w="1317" w:type="dxa"/>
            <w:noWrap/>
            <w:hideMark/>
          </w:tcPr>
          <w:p w14:paraId="20AA5482" w14:textId="6172C240" w:rsidR="00773BAD" w:rsidRPr="00773BAD" w:rsidRDefault="00773BAD" w:rsidP="00773BA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Cs w:val="24"/>
              </w:rPr>
            </w:pPr>
            <w:r w:rsidRPr="00773BAD">
              <w:rPr>
                <w:rFonts w:eastAsia="Times New Roman" w:cs="Times New Roman"/>
                <w:b/>
                <w:bCs/>
                <w:color w:val="000000"/>
              </w:rPr>
              <w:t>26.3%</w:t>
            </w:r>
          </w:p>
        </w:tc>
      </w:tr>
      <w:bookmarkEnd w:id="7"/>
    </w:tbl>
    <w:p w14:paraId="4FE5041F" w14:textId="77777777" w:rsidR="00900488" w:rsidRPr="00E56AF1" w:rsidRDefault="00900488" w:rsidP="00900488">
      <w:pPr>
        <w:rPr>
          <w:rFonts w:ascii="Calibri" w:eastAsia="Calibri" w:hAnsi="Calibri" w:cs="Times New Roman"/>
          <w:szCs w:val="24"/>
        </w:rPr>
      </w:pPr>
    </w:p>
    <w:p w14:paraId="6B5028D4" w14:textId="6469D854" w:rsidR="004D7F6F" w:rsidRPr="00C826C4" w:rsidRDefault="004D7F6F" w:rsidP="004D7F6F">
      <w:pPr>
        <w:pStyle w:val="Heading2"/>
        <w:pBdr>
          <w:bottom w:val="single" w:sz="4" w:space="1" w:color="auto"/>
        </w:pBdr>
        <w:rPr>
          <w:b/>
          <w:color w:val="auto"/>
        </w:rPr>
      </w:pPr>
      <w:r>
        <w:rPr>
          <w:b/>
          <w:color w:val="auto"/>
        </w:rPr>
        <w:t xml:space="preserve">Substance Abuse and Mental Health </w:t>
      </w:r>
    </w:p>
    <w:p w14:paraId="404A7F25" w14:textId="17030E81" w:rsidR="00900488" w:rsidRDefault="00900488">
      <w:pPr>
        <w:rPr>
          <w:sz w:val="14"/>
          <w:szCs w:val="18"/>
        </w:rPr>
      </w:pPr>
    </w:p>
    <w:p w14:paraId="2878A8BC" w14:textId="0301EAC2" w:rsidR="0085011F" w:rsidRPr="00600476" w:rsidRDefault="00A427C2" w:rsidP="0085011F">
      <w:pPr>
        <w:ind w:right="270"/>
        <w:rPr>
          <w:bCs/>
          <w:szCs w:val="24"/>
        </w:rPr>
      </w:pPr>
      <w:r>
        <w:rPr>
          <w:bCs/>
          <w:szCs w:val="24"/>
        </w:rPr>
        <w:t>R</w:t>
      </w:r>
      <w:r w:rsidR="0085011F">
        <w:rPr>
          <w:bCs/>
          <w:szCs w:val="24"/>
        </w:rPr>
        <w:t>eports of alcohol use among students in the nine county Loup Basin region over time</w:t>
      </w:r>
      <w:r>
        <w:rPr>
          <w:bCs/>
          <w:szCs w:val="24"/>
        </w:rPr>
        <w:t xml:space="preserve"> (the eight counties in the service area plus Howard County) are displayed below in Figure 10 and 11</w:t>
      </w:r>
      <w:r w:rsidR="0085011F">
        <w:rPr>
          <w:bCs/>
          <w:szCs w:val="24"/>
        </w:rPr>
        <w:t>.</w:t>
      </w:r>
      <w:r>
        <w:rPr>
          <w:bCs/>
          <w:szCs w:val="24"/>
        </w:rPr>
        <w:t xml:space="preserve"> Among 12</w:t>
      </w:r>
      <w:r w:rsidRPr="00A427C2">
        <w:rPr>
          <w:bCs/>
          <w:szCs w:val="24"/>
          <w:vertAlign w:val="superscript"/>
        </w:rPr>
        <w:t>th</w:t>
      </w:r>
      <w:r>
        <w:rPr>
          <w:bCs/>
          <w:szCs w:val="24"/>
        </w:rPr>
        <w:t xml:space="preserve"> graders, the reported use of alcohol in the past 30 days has increased since 2010. However, as of 2016, the rates were comparable between Loup Basin and the State among 12</w:t>
      </w:r>
      <w:r w:rsidRPr="00A427C2">
        <w:rPr>
          <w:bCs/>
          <w:szCs w:val="24"/>
          <w:vertAlign w:val="superscript"/>
        </w:rPr>
        <w:t>th</w:t>
      </w:r>
      <w:r>
        <w:rPr>
          <w:bCs/>
          <w:szCs w:val="24"/>
        </w:rPr>
        <w:t xml:space="preserve"> graders. </w:t>
      </w:r>
    </w:p>
    <w:p w14:paraId="6992EE71" w14:textId="77777777" w:rsidR="00600476" w:rsidRDefault="00600476" w:rsidP="00900488">
      <w:pPr>
        <w:ind w:left="270" w:right="270"/>
        <w:jc w:val="center"/>
        <w:rPr>
          <w:b/>
          <w:bCs/>
          <w:szCs w:val="24"/>
        </w:rPr>
      </w:pPr>
    </w:p>
    <w:p w14:paraId="5E4A4BB6" w14:textId="555F2194" w:rsidR="00900488" w:rsidRPr="00900488" w:rsidRDefault="00600476" w:rsidP="00900488">
      <w:pPr>
        <w:ind w:left="270" w:right="270"/>
        <w:jc w:val="center"/>
        <w:rPr>
          <w:szCs w:val="24"/>
        </w:rPr>
      </w:pPr>
      <w:r>
        <w:rPr>
          <w:b/>
          <w:bCs/>
          <w:szCs w:val="24"/>
        </w:rPr>
        <w:t>F</w:t>
      </w:r>
      <w:r w:rsidR="00900488" w:rsidRPr="00900488">
        <w:rPr>
          <w:b/>
          <w:bCs/>
          <w:szCs w:val="24"/>
        </w:rPr>
        <w:t xml:space="preserve">igure </w:t>
      </w:r>
      <w:r w:rsidR="00900488">
        <w:rPr>
          <w:b/>
          <w:bCs/>
          <w:szCs w:val="24"/>
        </w:rPr>
        <w:t>10</w:t>
      </w:r>
      <w:r w:rsidR="00900488" w:rsidRPr="00900488">
        <w:rPr>
          <w:b/>
          <w:bCs/>
          <w:szCs w:val="24"/>
        </w:rPr>
        <w:t>. Reported use of alcohol in the past 30 days</w:t>
      </w:r>
      <w:r w:rsidR="00900488" w:rsidRPr="00900488">
        <w:rPr>
          <w:rStyle w:val="FootnoteReference"/>
          <w:b/>
        </w:rPr>
        <w:footnoteReference w:id="15"/>
      </w:r>
    </w:p>
    <w:p w14:paraId="3AECF3F8" w14:textId="03E0738E" w:rsidR="00390229" w:rsidRDefault="00E55477" w:rsidP="00393BEA">
      <w:pPr>
        <w:rPr>
          <w:sz w:val="18"/>
          <w:szCs w:val="18"/>
        </w:rPr>
      </w:pPr>
      <w:r>
        <w:rPr>
          <w:noProof/>
        </w:rPr>
        <w:drawing>
          <wp:inline distT="0" distB="0" distL="0" distR="0" wp14:anchorId="54BDBADE" wp14:editId="7C0C2956">
            <wp:extent cx="5476875" cy="2762250"/>
            <wp:effectExtent l="0" t="0" r="0" b="0"/>
            <wp:docPr id="15" name="Chart 15">
              <a:extLst xmlns:a="http://schemas.openxmlformats.org/drawingml/2006/main">
                <a:ext uri="{FF2B5EF4-FFF2-40B4-BE49-F238E27FC236}">
                  <a16:creationId xmlns:a16="http://schemas.microsoft.com/office/drawing/2014/main" id="{212E1EA8-83A2-455A-8DE9-A6C7C55377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AD83074" w14:textId="21B118DB" w:rsidR="00393BEA" w:rsidRDefault="00393BEA" w:rsidP="00393BEA">
      <w:pPr>
        <w:ind w:left="360"/>
        <w:rPr>
          <w:sz w:val="18"/>
          <w:szCs w:val="18"/>
        </w:rPr>
      </w:pPr>
      <w:r>
        <w:rPr>
          <w:sz w:val="18"/>
          <w:szCs w:val="18"/>
        </w:rPr>
        <w:t xml:space="preserve">*Loup Basin includes the eight counties in the service area plus Howard County. </w:t>
      </w:r>
    </w:p>
    <w:p w14:paraId="65D32CC3" w14:textId="77777777" w:rsidR="00377584" w:rsidRDefault="00A427C2" w:rsidP="00A427C2">
      <w:pPr>
        <w:ind w:right="270"/>
        <w:rPr>
          <w:bCs/>
          <w:szCs w:val="24"/>
        </w:rPr>
      </w:pPr>
      <w:r>
        <w:rPr>
          <w:bCs/>
          <w:szCs w:val="24"/>
        </w:rPr>
        <w:lastRenderedPageBreak/>
        <w:t>Reports of cigarette use among students in the nine county Loup Basin region over time (the eight counties in the service area plus Howard County) are displayed below in Figure 10 and 11. Across the state, reported use of cigarettes is decreasing, and this trend holds true for 12</w:t>
      </w:r>
      <w:r w:rsidRPr="00A427C2">
        <w:rPr>
          <w:bCs/>
          <w:szCs w:val="24"/>
          <w:vertAlign w:val="superscript"/>
        </w:rPr>
        <w:t>th</w:t>
      </w:r>
      <w:r>
        <w:rPr>
          <w:bCs/>
          <w:szCs w:val="24"/>
        </w:rPr>
        <w:t xml:space="preserve"> graders in the Loup Basin district. However, 10</w:t>
      </w:r>
      <w:r w:rsidRPr="00A427C2">
        <w:rPr>
          <w:bCs/>
          <w:szCs w:val="24"/>
          <w:vertAlign w:val="superscript"/>
        </w:rPr>
        <w:t>th</w:t>
      </w:r>
      <w:r>
        <w:rPr>
          <w:bCs/>
          <w:szCs w:val="24"/>
        </w:rPr>
        <w:t xml:space="preserve"> graders reported an increase in cigarette use in the past 30 days in 2016.</w:t>
      </w:r>
    </w:p>
    <w:p w14:paraId="676072B8" w14:textId="0FAFC988" w:rsidR="00A427C2" w:rsidRPr="00600476" w:rsidRDefault="00A427C2" w:rsidP="00A427C2">
      <w:pPr>
        <w:ind w:right="270"/>
        <w:rPr>
          <w:bCs/>
          <w:szCs w:val="24"/>
        </w:rPr>
      </w:pPr>
      <w:r>
        <w:rPr>
          <w:bCs/>
          <w:szCs w:val="24"/>
        </w:rPr>
        <w:t xml:space="preserve"> </w:t>
      </w:r>
    </w:p>
    <w:p w14:paraId="0F71502F" w14:textId="77777777" w:rsidR="00A427C2" w:rsidRDefault="00A427C2" w:rsidP="00900488">
      <w:pPr>
        <w:ind w:left="270" w:right="270"/>
        <w:jc w:val="center"/>
        <w:rPr>
          <w:b/>
          <w:bCs/>
          <w:szCs w:val="24"/>
        </w:rPr>
      </w:pPr>
    </w:p>
    <w:p w14:paraId="09709BA1" w14:textId="4CFFE141" w:rsidR="00900488" w:rsidRPr="00900488" w:rsidRDefault="00900488" w:rsidP="00900488">
      <w:pPr>
        <w:ind w:left="270" w:right="270"/>
        <w:jc w:val="center"/>
        <w:rPr>
          <w:b/>
          <w:bCs/>
          <w:szCs w:val="24"/>
        </w:rPr>
      </w:pPr>
      <w:r w:rsidRPr="00900488">
        <w:rPr>
          <w:b/>
          <w:bCs/>
          <w:szCs w:val="24"/>
        </w:rPr>
        <w:t xml:space="preserve">Figure </w:t>
      </w:r>
      <w:r>
        <w:rPr>
          <w:b/>
          <w:bCs/>
          <w:szCs w:val="24"/>
        </w:rPr>
        <w:t>11</w:t>
      </w:r>
      <w:r w:rsidRPr="00900488">
        <w:rPr>
          <w:b/>
          <w:bCs/>
          <w:szCs w:val="24"/>
        </w:rPr>
        <w:t>. Reported use of cigarettes in the past 30 days</w:t>
      </w:r>
      <w:r w:rsidRPr="00900488">
        <w:rPr>
          <w:rStyle w:val="FootnoteReference"/>
          <w:b/>
        </w:rPr>
        <w:footnoteReference w:id="16"/>
      </w:r>
    </w:p>
    <w:p w14:paraId="110C5B90" w14:textId="0B53E914" w:rsidR="00393BEA" w:rsidRDefault="00393BEA" w:rsidP="00393BEA">
      <w:pPr>
        <w:rPr>
          <w:sz w:val="20"/>
          <w:szCs w:val="18"/>
        </w:rPr>
      </w:pPr>
      <w:r>
        <w:rPr>
          <w:noProof/>
        </w:rPr>
        <w:drawing>
          <wp:inline distT="0" distB="0" distL="0" distR="0" wp14:anchorId="4B322720" wp14:editId="340E0300">
            <wp:extent cx="5295900" cy="2486025"/>
            <wp:effectExtent l="0" t="0" r="0" b="0"/>
            <wp:docPr id="11" name="Chart 11">
              <a:extLst xmlns:a="http://schemas.openxmlformats.org/drawingml/2006/main">
                <a:ext uri="{FF2B5EF4-FFF2-40B4-BE49-F238E27FC236}">
                  <a16:creationId xmlns:a16="http://schemas.microsoft.com/office/drawing/2014/main" id="{31F6B889-4591-40CC-AD06-59AC2FED1D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918069A" w14:textId="77777777" w:rsidR="00393BEA" w:rsidRDefault="00393BEA" w:rsidP="00393BEA">
      <w:pPr>
        <w:ind w:left="360"/>
        <w:rPr>
          <w:sz w:val="18"/>
          <w:szCs w:val="18"/>
        </w:rPr>
      </w:pPr>
      <w:r>
        <w:rPr>
          <w:sz w:val="18"/>
          <w:szCs w:val="18"/>
        </w:rPr>
        <w:t xml:space="preserve">*Loup Basin includes the eight counties in the service area plus Howard County. </w:t>
      </w:r>
    </w:p>
    <w:p w14:paraId="6D657B90" w14:textId="3AFA03B7" w:rsidR="00393BEA" w:rsidRPr="00900488" w:rsidRDefault="00393BEA" w:rsidP="00393BEA">
      <w:pPr>
        <w:rPr>
          <w:b/>
          <w:bCs/>
          <w:szCs w:val="24"/>
        </w:rPr>
      </w:pPr>
    </w:p>
    <w:sectPr w:rsidR="00393BEA" w:rsidRPr="00900488" w:rsidSect="006B7E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763EF" w14:textId="77777777" w:rsidR="00C46F7E" w:rsidRDefault="00C46F7E" w:rsidP="005E0707">
      <w:r>
        <w:separator/>
      </w:r>
    </w:p>
  </w:endnote>
  <w:endnote w:type="continuationSeparator" w:id="0">
    <w:p w14:paraId="5B2FE566" w14:textId="77777777" w:rsidR="00C46F7E" w:rsidRDefault="00C46F7E" w:rsidP="005E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326931"/>
      <w:docPartObj>
        <w:docPartGallery w:val="Page Numbers (Bottom of Page)"/>
        <w:docPartUnique/>
      </w:docPartObj>
    </w:sdtPr>
    <w:sdtEndPr>
      <w:rPr>
        <w:noProof/>
      </w:rPr>
    </w:sdtEndPr>
    <w:sdtContent>
      <w:p w14:paraId="1D41E606" w14:textId="315A5B89" w:rsidR="00AF1470" w:rsidRDefault="00AF14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F6428A" w14:textId="77777777" w:rsidR="00AF1470" w:rsidRDefault="00AF1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F4BCE" w14:textId="77777777" w:rsidR="00C46F7E" w:rsidRDefault="00C46F7E" w:rsidP="005E0707">
      <w:r>
        <w:separator/>
      </w:r>
    </w:p>
  </w:footnote>
  <w:footnote w:type="continuationSeparator" w:id="0">
    <w:p w14:paraId="23BA5939" w14:textId="77777777" w:rsidR="00C46F7E" w:rsidRDefault="00C46F7E" w:rsidP="005E0707">
      <w:r>
        <w:continuationSeparator/>
      </w:r>
    </w:p>
  </w:footnote>
  <w:footnote w:id="1">
    <w:p w14:paraId="267EB674" w14:textId="77777777" w:rsidR="00AF1470" w:rsidRDefault="00AF1470" w:rsidP="00EE0372">
      <w:pPr>
        <w:pStyle w:val="FootnoteText"/>
      </w:pPr>
      <w:r>
        <w:rPr>
          <w:rStyle w:val="FootnoteReference"/>
        </w:rPr>
        <w:footnoteRef/>
      </w:r>
      <w:r>
        <w:t xml:space="preserve"> U.S. Census Bureau, </w:t>
      </w:r>
      <w:hyperlink r:id="rId1" w:history="1">
        <w:r w:rsidRPr="00F779A9">
          <w:rPr>
            <w:rStyle w:val="Hyperlink"/>
          </w:rPr>
          <w:t>American Community Survey</w:t>
        </w:r>
      </w:hyperlink>
      <w:r>
        <w:t>, 5-year estimates, Table DP05</w:t>
      </w:r>
    </w:p>
  </w:footnote>
  <w:footnote w:id="2">
    <w:p w14:paraId="05D5CAF6" w14:textId="77777777" w:rsidR="00AF1470" w:rsidRDefault="00AF1470" w:rsidP="005E0707">
      <w:pPr>
        <w:pStyle w:val="FootnoteText"/>
      </w:pPr>
      <w:r>
        <w:rPr>
          <w:rStyle w:val="FootnoteReference"/>
        </w:rPr>
        <w:footnoteRef/>
      </w:r>
      <w:r>
        <w:t xml:space="preserve"> U.S. Census Bureau, </w:t>
      </w:r>
      <w:hyperlink r:id="rId2" w:history="1">
        <w:r w:rsidRPr="00F779A9">
          <w:rPr>
            <w:rStyle w:val="Hyperlink"/>
          </w:rPr>
          <w:t>American Community Survey</w:t>
        </w:r>
      </w:hyperlink>
      <w:r>
        <w:t>, 5-year estimates, Table S1101</w:t>
      </w:r>
    </w:p>
  </w:footnote>
  <w:footnote w:id="3">
    <w:p w14:paraId="493BA5A6" w14:textId="77777777" w:rsidR="00AF1470" w:rsidRDefault="00AF1470" w:rsidP="00390229">
      <w:pPr>
        <w:pStyle w:val="FootnoteText1"/>
      </w:pPr>
      <w:r>
        <w:rPr>
          <w:rStyle w:val="FootnoteReference"/>
        </w:rPr>
        <w:footnoteRef/>
      </w:r>
      <w:r>
        <w:t xml:space="preserve"> U.S. Census Bureau, </w:t>
      </w:r>
      <w:hyperlink r:id="rId3" w:history="1">
        <w:r w:rsidRPr="00BC4D17">
          <w:rPr>
            <w:rStyle w:val="Hyperlink"/>
          </w:rPr>
          <w:t>American Community Survey</w:t>
        </w:r>
      </w:hyperlink>
      <w:r>
        <w:t>, 5-year estimates, Table S1701</w:t>
      </w:r>
    </w:p>
  </w:footnote>
  <w:footnote w:id="4">
    <w:p w14:paraId="076E7637" w14:textId="77777777" w:rsidR="00AF1470" w:rsidRDefault="00AF1470" w:rsidP="00511E76">
      <w:pPr>
        <w:pStyle w:val="FootnoteText1"/>
      </w:pPr>
      <w:r>
        <w:rPr>
          <w:rStyle w:val="FootnoteReference"/>
        </w:rPr>
        <w:footnoteRef/>
      </w:r>
      <w:r>
        <w:t xml:space="preserve"> U.S. Census Bureau, </w:t>
      </w:r>
      <w:hyperlink r:id="rId4" w:history="1">
        <w:r w:rsidRPr="00BC4D17">
          <w:rPr>
            <w:rStyle w:val="Hyperlink"/>
          </w:rPr>
          <w:t>American Community Survey</w:t>
        </w:r>
      </w:hyperlink>
      <w:r>
        <w:t>, 5-year estimates, Table S1701</w:t>
      </w:r>
    </w:p>
  </w:footnote>
  <w:footnote w:id="5">
    <w:p w14:paraId="73B3CED4" w14:textId="77777777" w:rsidR="00AF1470" w:rsidRDefault="00AF1470" w:rsidP="006B7E84">
      <w:pPr>
        <w:pStyle w:val="FootnoteText"/>
      </w:pPr>
      <w:r>
        <w:rPr>
          <w:rStyle w:val="FootnoteReference"/>
        </w:rPr>
        <w:footnoteRef/>
      </w:r>
      <w:r>
        <w:t xml:space="preserve"> NE Department of Education, </w:t>
      </w:r>
      <w:hyperlink r:id="rId5" w:history="1">
        <w:r w:rsidRPr="00441224">
          <w:rPr>
            <w:rStyle w:val="Hyperlink"/>
          </w:rPr>
          <w:t>Nebraska Education Profile</w:t>
        </w:r>
      </w:hyperlink>
    </w:p>
  </w:footnote>
  <w:footnote w:id="6">
    <w:p w14:paraId="43CEA83A" w14:textId="77777777" w:rsidR="00AF1470" w:rsidRDefault="00AF1470" w:rsidP="00E06FF9">
      <w:pPr>
        <w:pStyle w:val="FootnoteText"/>
      </w:pPr>
      <w:r>
        <w:rPr>
          <w:rStyle w:val="FootnoteReference"/>
        </w:rPr>
        <w:footnoteRef/>
      </w:r>
      <w:r>
        <w:t xml:space="preserve"> U.S. Census Bureau, </w:t>
      </w:r>
      <w:hyperlink r:id="rId6" w:history="1">
        <w:r w:rsidRPr="00F779A9">
          <w:rPr>
            <w:rStyle w:val="Hyperlink"/>
          </w:rPr>
          <w:t>American Community Survey</w:t>
        </w:r>
      </w:hyperlink>
      <w:r>
        <w:t>, 5-year estimates, Table DP03</w:t>
      </w:r>
    </w:p>
  </w:footnote>
  <w:footnote w:id="7">
    <w:p w14:paraId="0E8B4531" w14:textId="77777777" w:rsidR="00AF1470" w:rsidRDefault="00AF1470" w:rsidP="00BE4B22">
      <w:pPr>
        <w:pStyle w:val="FootnoteText"/>
      </w:pPr>
      <w:r>
        <w:rPr>
          <w:rStyle w:val="FootnoteReference"/>
        </w:rPr>
        <w:footnoteRef/>
      </w:r>
      <w:r>
        <w:t xml:space="preserve"> U.S. Census Bureau, </w:t>
      </w:r>
      <w:hyperlink r:id="rId7" w:history="1">
        <w:r w:rsidRPr="00F779A9">
          <w:rPr>
            <w:rStyle w:val="Hyperlink"/>
          </w:rPr>
          <w:t>American Community Survey</w:t>
        </w:r>
      </w:hyperlink>
      <w:r>
        <w:t>, 5-year estimates, Table S0701</w:t>
      </w:r>
    </w:p>
  </w:footnote>
  <w:footnote w:id="8">
    <w:p w14:paraId="0FEA226D" w14:textId="77777777" w:rsidR="00AF1470" w:rsidRDefault="00AF1470" w:rsidP="00BE4B22">
      <w:pPr>
        <w:pStyle w:val="FootnoteText"/>
      </w:pPr>
      <w:r>
        <w:rPr>
          <w:rStyle w:val="FootnoteReference"/>
        </w:rPr>
        <w:footnoteRef/>
      </w:r>
      <w:r>
        <w:t xml:space="preserve"> NE Department of Education, </w:t>
      </w:r>
      <w:hyperlink r:id="rId8" w:history="1">
        <w:r w:rsidRPr="00441224">
          <w:rPr>
            <w:rStyle w:val="Hyperlink"/>
          </w:rPr>
          <w:t>Nebraska Education Profile</w:t>
        </w:r>
      </w:hyperlink>
    </w:p>
  </w:footnote>
  <w:footnote w:id="9">
    <w:p w14:paraId="20DBE86A" w14:textId="0D2FE3D4" w:rsidR="00AF1470" w:rsidRDefault="00AF1470" w:rsidP="00511E76">
      <w:pPr>
        <w:pStyle w:val="FootnoteText"/>
      </w:pPr>
      <w:r>
        <w:rPr>
          <w:rStyle w:val="FootnoteReference"/>
        </w:rPr>
        <w:footnoteRef/>
      </w:r>
      <w:r>
        <w:t xml:space="preserve">U.S. Census Bureau, </w:t>
      </w:r>
      <w:hyperlink r:id="rId9" w:history="1">
        <w:r w:rsidRPr="00F779A9">
          <w:rPr>
            <w:rStyle w:val="Hyperlink"/>
          </w:rPr>
          <w:t>American Community Survey</w:t>
        </w:r>
      </w:hyperlink>
      <w:r>
        <w:t>, 5-year estimates, Table S1501</w:t>
      </w:r>
    </w:p>
  </w:footnote>
  <w:footnote w:id="10">
    <w:p w14:paraId="11EFD162" w14:textId="6771A0BA" w:rsidR="00AF1470" w:rsidRDefault="00AF1470" w:rsidP="00511E76">
      <w:pPr>
        <w:pStyle w:val="FootnoteText"/>
      </w:pPr>
      <w:r>
        <w:rPr>
          <w:rStyle w:val="FootnoteReference"/>
        </w:rPr>
        <w:footnoteRef/>
      </w:r>
      <w:r>
        <w:t xml:space="preserve">U.S. Census Bureau, </w:t>
      </w:r>
      <w:hyperlink r:id="rId10" w:history="1">
        <w:r w:rsidRPr="00F779A9">
          <w:rPr>
            <w:rStyle w:val="Hyperlink"/>
          </w:rPr>
          <w:t>American Community Survey</w:t>
        </w:r>
      </w:hyperlink>
      <w:r>
        <w:t>, 5-year estimates, Table S1501</w:t>
      </w:r>
    </w:p>
  </w:footnote>
  <w:footnote w:id="11">
    <w:p w14:paraId="6D1C2BDC" w14:textId="77777777" w:rsidR="00AF1470" w:rsidRDefault="00AF1470" w:rsidP="00511E76">
      <w:pPr>
        <w:pStyle w:val="FootnoteText"/>
      </w:pPr>
      <w:r>
        <w:rPr>
          <w:rStyle w:val="FootnoteReference"/>
        </w:rPr>
        <w:footnoteRef/>
      </w:r>
      <w:r>
        <w:t xml:space="preserve">U.S. Census Bureau, </w:t>
      </w:r>
      <w:hyperlink r:id="rId11" w:history="1">
        <w:r w:rsidRPr="00F779A9">
          <w:rPr>
            <w:rStyle w:val="Hyperlink"/>
          </w:rPr>
          <w:t>American Community Survey</w:t>
        </w:r>
      </w:hyperlink>
      <w:r>
        <w:t>, 5-year estimates, Table S1501</w:t>
      </w:r>
    </w:p>
  </w:footnote>
  <w:footnote w:id="12">
    <w:p w14:paraId="26527B6A" w14:textId="77777777" w:rsidR="00AF1470" w:rsidRDefault="00AF1470" w:rsidP="00853207">
      <w:pPr>
        <w:pStyle w:val="FootnoteText"/>
      </w:pPr>
      <w:r>
        <w:rPr>
          <w:rStyle w:val="FootnoteReference"/>
        </w:rPr>
        <w:footnoteRef/>
      </w:r>
      <w:r>
        <w:t xml:space="preserve"> NE DHHS Office of Rural Health </w:t>
      </w:r>
      <w:hyperlink r:id="rId12" w:history="1">
        <w:r w:rsidRPr="009028B7">
          <w:rPr>
            <w:rStyle w:val="Hyperlink"/>
          </w:rPr>
          <w:t>Disciplines and Shortage Areas</w:t>
        </w:r>
      </w:hyperlink>
    </w:p>
  </w:footnote>
  <w:footnote w:id="13">
    <w:p w14:paraId="5812C634" w14:textId="77777777" w:rsidR="00AF1470" w:rsidRDefault="00AF1470" w:rsidP="00BF3C8D">
      <w:pPr>
        <w:pStyle w:val="FootnoteText"/>
      </w:pPr>
      <w:r>
        <w:rPr>
          <w:rStyle w:val="FootnoteReference"/>
        </w:rPr>
        <w:footnoteRef/>
      </w:r>
      <w:r>
        <w:t xml:space="preserve"> NE DHHS </w:t>
      </w:r>
      <w:hyperlink r:id="rId13" w:history="1">
        <w:r w:rsidRPr="009D7F33">
          <w:rPr>
            <w:rStyle w:val="Hyperlink"/>
          </w:rPr>
          <w:t>Vital Statistics</w:t>
        </w:r>
      </w:hyperlink>
      <w:r>
        <w:t>, 2016, Table 13</w:t>
      </w:r>
    </w:p>
  </w:footnote>
  <w:footnote w:id="14">
    <w:p w14:paraId="1FDBEFE2" w14:textId="77777777" w:rsidR="00AF1470" w:rsidRDefault="00AF1470" w:rsidP="00900488">
      <w:pPr>
        <w:pStyle w:val="FootnoteText1"/>
      </w:pPr>
      <w:r>
        <w:rPr>
          <w:rStyle w:val="FootnoteReference"/>
        </w:rPr>
        <w:footnoteRef/>
      </w:r>
      <w:r>
        <w:t xml:space="preserve"> U.S. Census Bureau, </w:t>
      </w:r>
      <w:hyperlink r:id="rId14" w:history="1">
        <w:r w:rsidRPr="00F779A9">
          <w:rPr>
            <w:rStyle w:val="Hyperlink"/>
          </w:rPr>
          <w:t>American Community Survey</w:t>
        </w:r>
      </w:hyperlink>
      <w:r>
        <w:t>, 5-year estimates, Table B09005</w:t>
      </w:r>
    </w:p>
  </w:footnote>
  <w:footnote w:id="15">
    <w:p w14:paraId="223AFC9A" w14:textId="77777777" w:rsidR="00AF1470" w:rsidRDefault="00AF1470" w:rsidP="00900488">
      <w:pPr>
        <w:pStyle w:val="FootnoteText"/>
      </w:pPr>
      <w:r>
        <w:rPr>
          <w:rStyle w:val="FootnoteReference"/>
        </w:rPr>
        <w:footnoteRef/>
      </w:r>
      <w:r>
        <w:t xml:space="preserve"> Nebraska Risk and Protective Factor Student Survey, 2016, </w:t>
      </w:r>
      <w:hyperlink r:id="rId15" w:history="1">
        <w:r w:rsidRPr="002566E8">
          <w:rPr>
            <w:rStyle w:val="Hyperlink"/>
          </w:rPr>
          <w:t>Loup Basin Public Health Department</w:t>
        </w:r>
      </w:hyperlink>
    </w:p>
  </w:footnote>
  <w:footnote w:id="16">
    <w:p w14:paraId="331F08E0" w14:textId="77777777" w:rsidR="00AF1470" w:rsidRDefault="00AF1470" w:rsidP="00900488">
      <w:pPr>
        <w:pStyle w:val="FootnoteText"/>
      </w:pPr>
      <w:r>
        <w:rPr>
          <w:rStyle w:val="FootnoteReference"/>
        </w:rPr>
        <w:footnoteRef/>
      </w:r>
      <w:r>
        <w:t xml:space="preserve"> Nebraska Risk and Protective Factor Student Survey, 2016, </w:t>
      </w:r>
      <w:hyperlink r:id="rId16" w:history="1">
        <w:r w:rsidRPr="002566E8">
          <w:rPr>
            <w:rStyle w:val="Hyperlink"/>
          </w:rPr>
          <w:t>Loup Basin Public Health Department</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FD"/>
    <w:rsid w:val="00000B65"/>
    <w:rsid w:val="00093956"/>
    <w:rsid w:val="000B3DB2"/>
    <w:rsid w:val="000F5D70"/>
    <w:rsid w:val="001177C7"/>
    <w:rsid w:val="00117817"/>
    <w:rsid w:val="001E2BCC"/>
    <w:rsid w:val="002B781C"/>
    <w:rsid w:val="002C3A78"/>
    <w:rsid w:val="002F4E39"/>
    <w:rsid w:val="002F79CA"/>
    <w:rsid w:val="0033519C"/>
    <w:rsid w:val="00377584"/>
    <w:rsid w:val="00390229"/>
    <w:rsid w:val="00393BEA"/>
    <w:rsid w:val="003A3B5C"/>
    <w:rsid w:val="003D1D56"/>
    <w:rsid w:val="004233ED"/>
    <w:rsid w:val="004249C8"/>
    <w:rsid w:val="004D7F6F"/>
    <w:rsid w:val="00511E76"/>
    <w:rsid w:val="00556A1C"/>
    <w:rsid w:val="0056091A"/>
    <w:rsid w:val="005B0803"/>
    <w:rsid w:val="005E0707"/>
    <w:rsid w:val="00600476"/>
    <w:rsid w:val="00625850"/>
    <w:rsid w:val="006B7E84"/>
    <w:rsid w:val="006E1CB8"/>
    <w:rsid w:val="00773BAD"/>
    <w:rsid w:val="007A14A7"/>
    <w:rsid w:val="007A4B45"/>
    <w:rsid w:val="007C03FB"/>
    <w:rsid w:val="007D5EFD"/>
    <w:rsid w:val="00822D8E"/>
    <w:rsid w:val="0085011F"/>
    <w:rsid w:val="00853207"/>
    <w:rsid w:val="00854046"/>
    <w:rsid w:val="00884CF9"/>
    <w:rsid w:val="008B6E02"/>
    <w:rsid w:val="008C5378"/>
    <w:rsid w:val="008F5759"/>
    <w:rsid w:val="00900488"/>
    <w:rsid w:val="0093605C"/>
    <w:rsid w:val="00944193"/>
    <w:rsid w:val="00947069"/>
    <w:rsid w:val="00962C86"/>
    <w:rsid w:val="00972AC8"/>
    <w:rsid w:val="00983D38"/>
    <w:rsid w:val="00A16546"/>
    <w:rsid w:val="00A20FEC"/>
    <w:rsid w:val="00A427C2"/>
    <w:rsid w:val="00A529BA"/>
    <w:rsid w:val="00AE11A2"/>
    <w:rsid w:val="00AF1470"/>
    <w:rsid w:val="00B627E7"/>
    <w:rsid w:val="00B91FC5"/>
    <w:rsid w:val="00BE4B22"/>
    <w:rsid w:val="00BF3C8D"/>
    <w:rsid w:val="00C46F7E"/>
    <w:rsid w:val="00C826C4"/>
    <w:rsid w:val="00CF0125"/>
    <w:rsid w:val="00D7101C"/>
    <w:rsid w:val="00DB019A"/>
    <w:rsid w:val="00DB55BE"/>
    <w:rsid w:val="00E06FF9"/>
    <w:rsid w:val="00E55477"/>
    <w:rsid w:val="00E97CCD"/>
    <w:rsid w:val="00EE0372"/>
    <w:rsid w:val="00EE6DA0"/>
    <w:rsid w:val="00F61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AE78"/>
  <w15:chartTrackingRefBased/>
  <w15:docId w15:val="{60F81BAF-8CB7-4486-9992-A3232DDB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6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26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26C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B55BE"/>
    <w:pPr>
      <w:jc w:val="center"/>
    </w:pPr>
    <w:rPr>
      <w:rFonts w:ascii="Calibri" w:eastAsia="Times New Roman" w:hAnsi="Calibri" w:cs="Times New Roman"/>
      <w:b/>
      <w:sz w:val="28"/>
      <w:szCs w:val="20"/>
    </w:rPr>
  </w:style>
  <w:style w:type="character" w:customStyle="1" w:styleId="TitleChar">
    <w:name w:val="Title Char"/>
    <w:basedOn w:val="DefaultParagraphFont"/>
    <w:link w:val="Title"/>
    <w:uiPriority w:val="10"/>
    <w:rsid w:val="00DB55BE"/>
    <w:rPr>
      <w:rFonts w:ascii="Calibri" w:eastAsia="Times New Roman" w:hAnsi="Calibri" w:cs="Times New Roman"/>
      <w:b/>
      <w:sz w:val="28"/>
      <w:szCs w:val="20"/>
    </w:rPr>
  </w:style>
  <w:style w:type="character" w:styleId="Hyperlink">
    <w:name w:val="Hyperlink"/>
    <w:basedOn w:val="DefaultParagraphFont"/>
    <w:uiPriority w:val="99"/>
    <w:unhideWhenUsed/>
    <w:rsid w:val="005E0707"/>
    <w:rPr>
      <w:color w:val="0000FF"/>
      <w:u w:val="single"/>
    </w:rPr>
  </w:style>
  <w:style w:type="paragraph" w:styleId="FootnoteText">
    <w:name w:val="footnote text"/>
    <w:basedOn w:val="Normal"/>
    <w:link w:val="FootnoteTextChar"/>
    <w:uiPriority w:val="99"/>
    <w:semiHidden/>
    <w:unhideWhenUsed/>
    <w:rsid w:val="005E0707"/>
    <w:rPr>
      <w:rFonts w:ascii="Calibri" w:hAnsi="Calibri"/>
      <w:sz w:val="20"/>
      <w:szCs w:val="20"/>
    </w:rPr>
  </w:style>
  <w:style w:type="character" w:customStyle="1" w:styleId="FootnoteTextChar">
    <w:name w:val="Footnote Text Char"/>
    <w:basedOn w:val="DefaultParagraphFont"/>
    <w:link w:val="FootnoteText"/>
    <w:uiPriority w:val="99"/>
    <w:semiHidden/>
    <w:rsid w:val="005E0707"/>
    <w:rPr>
      <w:rFonts w:ascii="Calibri" w:hAnsi="Calibri"/>
      <w:sz w:val="20"/>
      <w:szCs w:val="20"/>
    </w:rPr>
  </w:style>
  <w:style w:type="character" w:styleId="FootnoteReference">
    <w:name w:val="footnote reference"/>
    <w:basedOn w:val="DefaultParagraphFont"/>
    <w:uiPriority w:val="99"/>
    <w:semiHidden/>
    <w:unhideWhenUsed/>
    <w:rsid w:val="005E0707"/>
    <w:rPr>
      <w:vertAlign w:val="superscript"/>
    </w:rPr>
  </w:style>
  <w:style w:type="table" w:customStyle="1" w:styleId="GridTable6Colorful-Accent21">
    <w:name w:val="Grid Table 6 Colorful - Accent 21"/>
    <w:basedOn w:val="TableNormal"/>
    <w:next w:val="GridTable6Colorful-Accent2"/>
    <w:uiPriority w:val="51"/>
    <w:rsid w:val="005E0707"/>
    <w:rPr>
      <w:color w:val="5282BE"/>
      <w:sz w:val="22"/>
    </w:rPr>
    <w:tblPr>
      <w:tblStyleRowBandSize w:val="1"/>
      <w:tblStyleColBandSize w:val="1"/>
      <w:tblBorders>
        <w:top w:val="single" w:sz="4" w:space="0" w:color="BFD1E7"/>
        <w:left w:val="single" w:sz="4" w:space="0" w:color="BFD1E7"/>
        <w:bottom w:val="single" w:sz="4" w:space="0" w:color="BFD1E7"/>
        <w:right w:val="single" w:sz="4" w:space="0" w:color="BFD1E7"/>
        <w:insideH w:val="single" w:sz="4" w:space="0" w:color="BFD1E7"/>
        <w:insideV w:val="single" w:sz="4" w:space="0" w:color="BFD1E7"/>
      </w:tblBorders>
    </w:tblPr>
    <w:tblStylePr w:type="firstRow">
      <w:rPr>
        <w:b/>
        <w:bCs/>
      </w:rPr>
      <w:tblPr/>
      <w:tcPr>
        <w:tcBorders>
          <w:bottom w:val="single" w:sz="12" w:space="0" w:color="BFD1E7"/>
        </w:tcBorders>
      </w:tcPr>
    </w:tblStylePr>
    <w:tblStylePr w:type="lastRow">
      <w:rPr>
        <w:b/>
        <w:bCs/>
      </w:rPr>
      <w:tblPr/>
      <w:tcPr>
        <w:tcBorders>
          <w:top w:val="double" w:sz="4" w:space="0" w:color="BFD1E7"/>
        </w:tcBorders>
      </w:tcPr>
    </w:tblStylePr>
    <w:tblStylePr w:type="firstCol">
      <w:rPr>
        <w:b/>
        <w:bCs/>
      </w:rPr>
    </w:tblStylePr>
    <w:tblStylePr w:type="lastCol">
      <w:rPr>
        <w:b/>
        <w:bCs/>
      </w:rPr>
    </w:tblStylePr>
    <w:tblStylePr w:type="band1Vert">
      <w:tblPr/>
      <w:tcPr>
        <w:shd w:val="clear" w:color="auto" w:fill="E9EFF7"/>
      </w:tcPr>
    </w:tblStylePr>
    <w:tblStylePr w:type="band1Horz">
      <w:tblPr/>
      <w:tcPr>
        <w:shd w:val="clear" w:color="auto" w:fill="E9EFF7"/>
      </w:tcPr>
    </w:tblStylePr>
  </w:style>
  <w:style w:type="table" w:styleId="GridTable6Colorful-Accent2">
    <w:name w:val="Grid Table 6 Colorful Accent 2"/>
    <w:basedOn w:val="TableNormal"/>
    <w:uiPriority w:val="51"/>
    <w:rsid w:val="005E070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22">
    <w:name w:val="Grid Table 6 Colorful - Accent 22"/>
    <w:basedOn w:val="TableNormal"/>
    <w:next w:val="GridTable6Colorful-Accent2"/>
    <w:uiPriority w:val="51"/>
    <w:rsid w:val="005E0707"/>
    <w:rPr>
      <w:color w:val="5282BE"/>
      <w:sz w:val="22"/>
    </w:rPr>
    <w:tblPr>
      <w:tblStyleRowBandSize w:val="1"/>
      <w:tblStyleColBandSize w:val="1"/>
      <w:tblBorders>
        <w:top w:val="single" w:sz="4" w:space="0" w:color="BFD1E7"/>
        <w:left w:val="single" w:sz="4" w:space="0" w:color="BFD1E7"/>
        <w:bottom w:val="single" w:sz="4" w:space="0" w:color="BFD1E7"/>
        <w:right w:val="single" w:sz="4" w:space="0" w:color="BFD1E7"/>
        <w:insideH w:val="single" w:sz="4" w:space="0" w:color="BFD1E7"/>
        <w:insideV w:val="single" w:sz="4" w:space="0" w:color="BFD1E7"/>
      </w:tblBorders>
    </w:tblPr>
    <w:tblStylePr w:type="firstRow">
      <w:rPr>
        <w:b/>
        <w:bCs/>
      </w:rPr>
      <w:tblPr/>
      <w:tcPr>
        <w:tcBorders>
          <w:bottom w:val="single" w:sz="12" w:space="0" w:color="BFD1E7"/>
        </w:tcBorders>
      </w:tcPr>
    </w:tblStylePr>
    <w:tblStylePr w:type="lastRow">
      <w:rPr>
        <w:b/>
        <w:bCs/>
      </w:rPr>
      <w:tblPr/>
      <w:tcPr>
        <w:tcBorders>
          <w:top w:val="double" w:sz="4" w:space="0" w:color="BFD1E7"/>
        </w:tcBorders>
      </w:tcPr>
    </w:tblStylePr>
    <w:tblStylePr w:type="firstCol">
      <w:rPr>
        <w:b/>
        <w:bCs/>
      </w:rPr>
    </w:tblStylePr>
    <w:tblStylePr w:type="lastCol">
      <w:rPr>
        <w:b/>
        <w:bCs/>
      </w:rPr>
    </w:tblStylePr>
    <w:tblStylePr w:type="band1Vert">
      <w:tblPr/>
      <w:tcPr>
        <w:shd w:val="clear" w:color="auto" w:fill="E9EFF7"/>
      </w:tcPr>
    </w:tblStylePr>
    <w:tblStylePr w:type="band1Horz">
      <w:tblPr/>
      <w:tcPr>
        <w:shd w:val="clear" w:color="auto" w:fill="E9EFF7"/>
      </w:tcPr>
    </w:tblStylePr>
  </w:style>
  <w:style w:type="paragraph" w:styleId="BalloonText">
    <w:name w:val="Balloon Text"/>
    <w:basedOn w:val="Normal"/>
    <w:link w:val="BalloonTextChar"/>
    <w:uiPriority w:val="99"/>
    <w:semiHidden/>
    <w:unhideWhenUsed/>
    <w:rsid w:val="00972A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AC8"/>
    <w:rPr>
      <w:rFonts w:ascii="Segoe UI" w:hAnsi="Segoe UI" w:cs="Segoe UI"/>
      <w:sz w:val="18"/>
      <w:szCs w:val="18"/>
    </w:rPr>
  </w:style>
  <w:style w:type="paragraph" w:styleId="EndnoteText">
    <w:name w:val="endnote text"/>
    <w:basedOn w:val="Normal"/>
    <w:link w:val="EndnoteTextChar"/>
    <w:uiPriority w:val="99"/>
    <w:semiHidden/>
    <w:unhideWhenUsed/>
    <w:rsid w:val="00962C86"/>
    <w:rPr>
      <w:sz w:val="20"/>
      <w:szCs w:val="20"/>
    </w:rPr>
  </w:style>
  <w:style w:type="character" w:customStyle="1" w:styleId="EndnoteTextChar">
    <w:name w:val="Endnote Text Char"/>
    <w:basedOn w:val="DefaultParagraphFont"/>
    <w:link w:val="EndnoteText"/>
    <w:uiPriority w:val="99"/>
    <w:semiHidden/>
    <w:rsid w:val="00962C86"/>
    <w:rPr>
      <w:sz w:val="20"/>
      <w:szCs w:val="20"/>
    </w:rPr>
  </w:style>
  <w:style w:type="character" w:styleId="EndnoteReference">
    <w:name w:val="endnote reference"/>
    <w:basedOn w:val="DefaultParagraphFont"/>
    <w:uiPriority w:val="99"/>
    <w:semiHidden/>
    <w:unhideWhenUsed/>
    <w:rsid w:val="00962C86"/>
    <w:rPr>
      <w:vertAlign w:val="superscript"/>
    </w:rPr>
  </w:style>
  <w:style w:type="paragraph" w:customStyle="1" w:styleId="FootnoteText1">
    <w:name w:val="Footnote Text1"/>
    <w:basedOn w:val="Normal"/>
    <w:next w:val="FootnoteText"/>
    <w:uiPriority w:val="99"/>
    <w:semiHidden/>
    <w:unhideWhenUsed/>
    <w:rsid w:val="00390229"/>
    <w:rPr>
      <w:rFonts w:ascii="Calibri" w:hAnsi="Calibri"/>
      <w:sz w:val="20"/>
      <w:szCs w:val="20"/>
    </w:rPr>
  </w:style>
  <w:style w:type="table" w:customStyle="1" w:styleId="GridTable2-Accent21">
    <w:name w:val="Grid Table 2 - Accent 21"/>
    <w:basedOn w:val="TableNormal"/>
    <w:next w:val="GridTable2-Accent2"/>
    <w:uiPriority w:val="47"/>
    <w:rsid w:val="00853207"/>
    <w:rPr>
      <w:sz w:val="22"/>
    </w:rPr>
    <w:tblPr>
      <w:tblStyleRowBandSize w:val="1"/>
      <w:tblStyleColBandSize w:val="1"/>
      <w:tblBorders>
        <w:top w:val="single" w:sz="2" w:space="0" w:color="BFD1E7"/>
        <w:bottom w:val="single" w:sz="2" w:space="0" w:color="BFD1E7"/>
        <w:insideH w:val="single" w:sz="2" w:space="0" w:color="BFD1E7"/>
        <w:insideV w:val="single" w:sz="2" w:space="0" w:color="BFD1E7"/>
      </w:tblBorders>
    </w:tblPr>
    <w:tblStylePr w:type="firstRow">
      <w:rPr>
        <w:b/>
        <w:bCs/>
      </w:rPr>
      <w:tblPr/>
      <w:tcPr>
        <w:tcBorders>
          <w:top w:val="nil"/>
          <w:bottom w:val="single" w:sz="12" w:space="0" w:color="BFD1E7"/>
          <w:insideH w:val="nil"/>
          <w:insideV w:val="nil"/>
        </w:tcBorders>
        <w:shd w:val="clear" w:color="auto" w:fill="FFFFFF"/>
      </w:tcPr>
    </w:tblStylePr>
    <w:tblStylePr w:type="lastRow">
      <w:rPr>
        <w:b/>
        <w:bCs/>
      </w:rPr>
      <w:tblPr/>
      <w:tcPr>
        <w:tcBorders>
          <w:top w:val="double" w:sz="2" w:space="0" w:color="BFD1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9EFF7"/>
      </w:tcPr>
    </w:tblStylePr>
    <w:tblStylePr w:type="band1Horz">
      <w:tblPr/>
      <w:tcPr>
        <w:shd w:val="clear" w:color="auto" w:fill="E9EFF7"/>
      </w:tcPr>
    </w:tblStylePr>
  </w:style>
  <w:style w:type="table" w:styleId="GridTable2-Accent2">
    <w:name w:val="Grid Table 2 Accent 2"/>
    <w:basedOn w:val="TableNormal"/>
    <w:uiPriority w:val="47"/>
    <w:rsid w:val="0085320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BF3C8D"/>
    <w:pPr>
      <w:tabs>
        <w:tab w:val="center" w:pos="4680"/>
        <w:tab w:val="right" w:pos="9360"/>
      </w:tabs>
    </w:pPr>
  </w:style>
  <w:style w:type="character" w:customStyle="1" w:styleId="HeaderChar">
    <w:name w:val="Header Char"/>
    <w:basedOn w:val="DefaultParagraphFont"/>
    <w:link w:val="Header"/>
    <w:uiPriority w:val="99"/>
    <w:rsid w:val="00BF3C8D"/>
  </w:style>
  <w:style w:type="paragraph" w:styleId="Footer">
    <w:name w:val="footer"/>
    <w:basedOn w:val="Normal"/>
    <w:link w:val="FooterChar"/>
    <w:uiPriority w:val="99"/>
    <w:unhideWhenUsed/>
    <w:rsid w:val="00BF3C8D"/>
    <w:pPr>
      <w:tabs>
        <w:tab w:val="center" w:pos="4680"/>
        <w:tab w:val="right" w:pos="9360"/>
      </w:tabs>
    </w:pPr>
  </w:style>
  <w:style w:type="character" w:customStyle="1" w:styleId="FooterChar">
    <w:name w:val="Footer Char"/>
    <w:basedOn w:val="DefaultParagraphFont"/>
    <w:link w:val="Footer"/>
    <w:uiPriority w:val="99"/>
    <w:rsid w:val="00BF3C8D"/>
  </w:style>
  <w:style w:type="paragraph" w:styleId="Subtitle">
    <w:name w:val="Subtitle"/>
    <w:basedOn w:val="Normal"/>
    <w:next w:val="Normal"/>
    <w:link w:val="SubtitleChar"/>
    <w:uiPriority w:val="11"/>
    <w:qFormat/>
    <w:rsid w:val="007A4B45"/>
    <w:pPr>
      <w:numPr>
        <w:ilvl w:val="1"/>
      </w:numPr>
      <w:spacing w:after="160" w:line="259" w:lineRule="auto"/>
    </w:pPr>
    <w:rPr>
      <w:rFonts w:eastAsiaTheme="minorEastAsia" w:cs="Times New Roman"/>
      <w:color w:val="5A5A5A" w:themeColor="text1" w:themeTint="A5"/>
      <w:spacing w:val="15"/>
      <w:sz w:val="22"/>
    </w:rPr>
  </w:style>
  <w:style w:type="character" w:customStyle="1" w:styleId="SubtitleChar">
    <w:name w:val="Subtitle Char"/>
    <w:basedOn w:val="DefaultParagraphFont"/>
    <w:link w:val="Subtitle"/>
    <w:uiPriority w:val="11"/>
    <w:rsid w:val="007A4B45"/>
    <w:rPr>
      <w:rFonts w:eastAsiaTheme="minorEastAsia" w:cs="Times New Roman"/>
      <w:color w:val="5A5A5A" w:themeColor="text1" w:themeTint="A5"/>
      <w:spacing w:val="15"/>
      <w:sz w:val="22"/>
    </w:rPr>
  </w:style>
  <w:style w:type="character" w:customStyle="1" w:styleId="Heading2Char">
    <w:name w:val="Heading 2 Char"/>
    <w:basedOn w:val="DefaultParagraphFont"/>
    <w:link w:val="Heading2"/>
    <w:uiPriority w:val="9"/>
    <w:rsid w:val="00C826C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826C4"/>
    <w:rPr>
      <w:rFonts w:asciiTheme="majorHAnsi" w:eastAsiaTheme="majorEastAsia" w:hAnsiTheme="majorHAnsi" w:cstheme="majorBidi"/>
      <w:color w:val="1F3763" w:themeColor="accent1" w:themeShade="7F"/>
      <w:szCs w:val="24"/>
    </w:rPr>
  </w:style>
  <w:style w:type="character" w:customStyle="1" w:styleId="Heading1Char">
    <w:name w:val="Heading 1 Char"/>
    <w:basedOn w:val="DefaultParagraphFont"/>
    <w:link w:val="Heading1"/>
    <w:uiPriority w:val="9"/>
    <w:rsid w:val="00C826C4"/>
    <w:rPr>
      <w:rFonts w:asciiTheme="majorHAnsi" w:eastAsiaTheme="majorEastAsia" w:hAnsiTheme="majorHAnsi" w:cstheme="majorBidi"/>
      <w:color w:val="2F5496" w:themeColor="accent1" w:themeShade="BF"/>
      <w:sz w:val="32"/>
      <w:szCs w:val="32"/>
    </w:rPr>
  </w:style>
  <w:style w:type="table" w:customStyle="1" w:styleId="GridTable6Colorful-Accent23">
    <w:name w:val="Grid Table 6 Colorful - Accent 23"/>
    <w:basedOn w:val="TableNormal"/>
    <w:next w:val="GridTable6Colorful-Accent2"/>
    <w:uiPriority w:val="51"/>
    <w:rsid w:val="00EE0372"/>
    <w:rPr>
      <w:color w:val="5282BE"/>
      <w:sz w:val="22"/>
    </w:rPr>
    <w:tblPr>
      <w:tblStyleRowBandSize w:val="1"/>
      <w:tblStyleColBandSize w:val="1"/>
      <w:tblBorders>
        <w:top w:val="single" w:sz="4" w:space="0" w:color="BFD1E7"/>
        <w:left w:val="single" w:sz="4" w:space="0" w:color="BFD1E7"/>
        <w:bottom w:val="single" w:sz="4" w:space="0" w:color="BFD1E7"/>
        <w:right w:val="single" w:sz="4" w:space="0" w:color="BFD1E7"/>
        <w:insideH w:val="single" w:sz="4" w:space="0" w:color="BFD1E7"/>
        <w:insideV w:val="single" w:sz="4" w:space="0" w:color="BFD1E7"/>
      </w:tblBorders>
    </w:tblPr>
    <w:tblStylePr w:type="firstRow">
      <w:rPr>
        <w:b/>
        <w:bCs/>
      </w:rPr>
      <w:tblPr/>
      <w:tcPr>
        <w:tcBorders>
          <w:bottom w:val="single" w:sz="12" w:space="0" w:color="BFD1E7"/>
        </w:tcBorders>
      </w:tcPr>
    </w:tblStylePr>
    <w:tblStylePr w:type="lastRow">
      <w:rPr>
        <w:b/>
        <w:bCs/>
      </w:rPr>
      <w:tblPr/>
      <w:tcPr>
        <w:tcBorders>
          <w:top w:val="double" w:sz="4" w:space="0" w:color="BFD1E7"/>
        </w:tcBorders>
      </w:tcPr>
    </w:tblStylePr>
    <w:tblStylePr w:type="firstCol">
      <w:rPr>
        <w:b/>
        <w:bCs/>
      </w:rPr>
    </w:tblStylePr>
    <w:tblStylePr w:type="lastCol">
      <w:rPr>
        <w:b/>
        <w:bCs/>
      </w:rPr>
    </w:tblStylePr>
    <w:tblStylePr w:type="band1Vert">
      <w:tblPr/>
      <w:tcPr>
        <w:shd w:val="clear" w:color="auto" w:fill="E9EFF7"/>
      </w:tcPr>
    </w:tblStylePr>
    <w:tblStylePr w:type="band1Horz">
      <w:tblPr/>
      <w:tcPr>
        <w:shd w:val="clear" w:color="auto" w:fill="E9EFF7"/>
      </w:tcPr>
    </w:tblStylePr>
  </w:style>
  <w:style w:type="character" w:styleId="FollowedHyperlink">
    <w:name w:val="FollowedHyperlink"/>
    <w:basedOn w:val="DefaultParagraphFont"/>
    <w:uiPriority w:val="99"/>
    <w:semiHidden/>
    <w:unhideWhenUsed/>
    <w:rsid w:val="00EE03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828">
      <w:bodyDiv w:val="1"/>
      <w:marLeft w:val="0"/>
      <w:marRight w:val="0"/>
      <w:marTop w:val="0"/>
      <w:marBottom w:val="0"/>
      <w:divBdr>
        <w:top w:val="none" w:sz="0" w:space="0" w:color="auto"/>
        <w:left w:val="none" w:sz="0" w:space="0" w:color="auto"/>
        <w:bottom w:val="none" w:sz="0" w:space="0" w:color="auto"/>
        <w:right w:val="none" w:sz="0" w:space="0" w:color="auto"/>
      </w:divBdr>
    </w:div>
    <w:div w:id="511382391">
      <w:bodyDiv w:val="1"/>
      <w:marLeft w:val="0"/>
      <w:marRight w:val="0"/>
      <w:marTop w:val="0"/>
      <w:marBottom w:val="0"/>
      <w:divBdr>
        <w:top w:val="none" w:sz="0" w:space="0" w:color="auto"/>
        <w:left w:val="none" w:sz="0" w:space="0" w:color="auto"/>
        <w:bottom w:val="none" w:sz="0" w:space="0" w:color="auto"/>
        <w:right w:val="none" w:sz="0" w:space="0" w:color="auto"/>
      </w:divBdr>
    </w:div>
    <w:div w:id="515924838">
      <w:bodyDiv w:val="1"/>
      <w:marLeft w:val="0"/>
      <w:marRight w:val="0"/>
      <w:marTop w:val="0"/>
      <w:marBottom w:val="0"/>
      <w:divBdr>
        <w:top w:val="none" w:sz="0" w:space="0" w:color="auto"/>
        <w:left w:val="none" w:sz="0" w:space="0" w:color="auto"/>
        <w:bottom w:val="none" w:sz="0" w:space="0" w:color="auto"/>
        <w:right w:val="none" w:sz="0" w:space="0" w:color="auto"/>
      </w:divBdr>
    </w:div>
    <w:div w:id="991643476">
      <w:bodyDiv w:val="1"/>
      <w:marLeft w:val="0"/>
      <w:marRight w:val="0"/>
      <w:marTop w:val="0"/>
      <w:marBottom w:val="0"/>
      <w:divBdr>
        <w:top w:val="none" w:sz="0" w:space="0" w:color="auto"/>
        <w:left w:val="none" w:sz="0" w:space="0" w:color="auto"/>
        <w:bottom w:val="none" w:sz="0" w:space="0" w:color="auto"/>
        <w:right w:val="none" w:sz="0" w:space="0" w:color="auto"/>
      </w:divBdr>
    </w:div>
    <w:div w:id="1121724678">
      <w:bodyDiv w:val="1"/>
      <w:marLeft w:val="0"/>
      <w:marRight w:val="0"/>
      <w:marTop w:val="0"/>
      <w:marBottom w:val="0"/>
      <w:divBdr>
        <w:top w:val="none" w:sz="0" w:space="0" w:color="auto"/>
        <w:left w:val="none" w:sz="0" w:space="0" w:color="auto"/>
        <w:bottom w:val="none" w:sz="0" w:space="0" w:color="auto"/>
        <w:right w:val="none" w:sz="0" w:space="0" w:color="auto"/>
      </w:divBdr>
    </w:div>
    <w:div w:id="1446316666">
      <w:bodyDiv w:val="1"/>
      <w:marLeft w:val="0"/>
      <w:marRight w:val="0"/>
      <w:marTop w:val="0"/>
      <w:marBottom w:val="0"/>
      <w:divBdr>
        <w:top w:val="none" w:sz="0" w:space="0" w:color="auto"/>
        <w:left w:val="none" w:sz="0" w:space="0" w:color="auto"/>
        <w:bottom w:val="none" w:sz="0" w:space="0" w:color="auto"/>
        <w:right w:val="none" w:sz="0" w:space="0" w:color="auto"/>
      </w:divBdr>
    </w:div>
    <w:div w:id="1552037170">
      <w:bodyDiv w:val="1"/>
      <w:marLeft w:val="0"/>
      <w:marRight w:val="0"/>
      <w:marTop w:val="0"/>
      <w:marBottom w:val="0"/>
      <w:divBdr>
        <w:top w:val="none" w:sz="0" w:space="0" w:color="auto"/>
        <w:left w:val="none" w:sz="0" w:space="0" w:color="auto"/>
        <w:bottom w:val="none" w:sz="0" w:space="0" w:color="auto"/>
        <w:right w:val="none" w:sz="0" w:space="0" w:color="auto"/>
      </w:divBdr>
    </w:div>
    <w:div w:id="1631978238">
      <w:bodyDiv w:val="1"/>
      <w:marLeft w:val="0"/>
      <w:marRight w:val="0"/>
      <w:marTop w:val="0"/>
      <w:marBottom w:val="0"/>
      <w:divBdr>
        <w:top w:val="none" w:sz="0" w:space="0" w:color="auto"/>
        <w:left w:val="none" w:sz="0" w:space="0" w:color="auto"/>
        <w:bottom w:val="none" w:sz="0" w:space="0" w:color="auto"/>
        <w:right w:val="none" w:sz="0" w:space="0" w:color="auto"/>
      </w:divBdr>
    </w:div>
    <w:div w:id="1635217364">
      <w:bodyDiv w:val="1"/>
      <w:marLeft w:val="0"/>
      <w:marRight w:val="0"/>
      <w:marTop w:val="0"/>
      <w:marBottom w:val="0"/>
      <w:divBdr>
        <w:top w:val="none" w:sz="0" w:space="0" w:color="auto"/>
        <w:left w:val="none" w:sz="0" w:space="0" w:color="auto"/>
        <w:bottom w:val="none" w:sz="0" w:space="0" w:color="auto"/>
        <w:right w:val="none" w:sz="0" w:space="0" w:color="auto"/>
      </w:divBdr>
    </w:div>
    <w:div w:id="1898390750">
      <w:bodyDiv w:val="1"/>
      <w:marLeft w:val="0"/>
      <w:marRight w:val="0"/>
      <w:marTop w:val="0"/>
      <w:marBottom w:val="0"/>
      <w:divBdr>
        <w:top w:val="none" w:sz="0" w:space="0" w:color="auto"/>
        <w:left w:val="none" w:sz="0" w:space="0" w:color="auto"/>
        <w:bottom w:val="none" w:sz="0" w:space="0" w:color="auto"/>
        <w:right w:val="none" w:sz="0" w:space="0" w:color="auto"/>
      </w:divBdr>
    </w:div>
    <w:div w:id="2014070992">
      <w:bodyDiv w:val="1"/>
      <w:marLeft w:val="0"/>
      <w:marRight w:val="0"/>
      <w:marTop w:val="0"/>
      <w:marBottom w:val="0"/>
      <w:divBdr>
        <w:top w:val="none" w:sz="0" w:space="0" w:color="auto"/>
        <w:left w:val="none" w:sz="0" w:space="0" w:color="auto"/>
        <w:bottom w:val="none" w:sz="0" w:space="0" w:color="auto"/>
        <w:right w:val="none" w:sz="0" w:space="0" w:color="auto"/>
      </w:divBdr>
    </w:div>
    <w:div w:id="202528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nep.education.ne.gov/" TargetMode="External"/><Relationship Id="rId13" Type="http://schemas.openxmlformats.org/officeDocument/2006/relationships/hyperlink" Target="http://dhhs.ne.gov/Pages/vital-Statistics.aspx" TargetMode="External"/><Relationship Id="rId3" Type="http://schemas.openxmlformats.org/officeDocument/2006/relationships/hyperlink" Target="https://factfinder.census.gov/faces/nav/jsf/pages/searchresults.xhtml?refresh=t" TargetMode="External"/><Relationship Id="rId7" Type="http://schemas.openxmlformats.org/officeDocument/2006/relationships/hyperlink" Target="https://factfinder.census.gov/faces/nav/jsf/pages/searchresults.xhtml?refresh=t" TargetMode="External"/><Relationship Id="rId12" Type="http://schemas.openxmlformats.org/officeDocument/2006/relationships/hyperlink" Target="http://dhhs.ne.gov/publichealth/RuralHealth/Pages/ShortageAreas.aspx" TargetMode="External"/><Relationship Id="rId2" Type="http://schemas.openxmlformats.org/officeDocument/2006/relationships/hyperlink" Target="https://factfinder.census.gov/faces/nav/jsf/pages/searchresults.xhtml?refresh=t" TargetMode="External"/><Relationship Id="rId16" Type="http://schemas.openxmlformats.org/officeDocument/2006/relationships/hyperlink" Target="https://bosr.unl.edu/LoupBasinPublicHealthDepartment.pdf" TargetMode="External"/><Relationship Id="rId1" Type="http://schemas.openxmlformats.org/officeDocument/2006/relationships/hyperlink" Target="https://factfinder.census.gov/faces/nav/jsf/pages/searchresults.xhtml?refresh=t" TargetMode="External"/><Relationship Id="rId6" Type="http://schemas.openxmlformats.org/officeDocument/2006/relationships/hyperlink" Target="https://factfinder.census.gov/faces/nav/jsf/pages/searchresults.xhtml?refresh=t" TargetMode="External"/><Relationship Id="rId11" Type="http://schemas.openxmlformats.org/officeDocument/2006/relationships/hyperlink" Target="https://factfinder.census.gov/faces/nav/jsf/pages/searchresults.xhtml?refresh=t" TargetMode="External"/><Relationship Id="rId5" Type="http://schemas.openxmlformats.org/officeDocument/2006/relationships/hyperlink" Target="http://nep.education.ne.gov/" TargetMode="External"/><Relationship Id="rId15" Type="http://schemas.openxmlformats.org/officeDocument/2006/relationships/hyperlink" Target="https://bosr.unl.edu/LoupBasinPublicHealthDepartment.pdf" TargetMode="External"/><Relationship Id="rId10" Type="http://schemas.openxmlformats.org/officeDocument/2006/relationships/hyperlink" Target="https://factfinder.census.gov/faces/nav/jsf/pages/searchresults.xhtml?refresh=t" TargetMode="External"/><Relationship Id="rId4" Type="http://schemas.openxmlformats.org/officeDocument/2006/relationships/hyperlink" Target="https://factfinder.census.gov/faces/nav/jsf/pages/searchresults.xhtml?refresh=t" TargetMode="External"/><Relationship Id="rId9" Type="http://schemas.openxmlformats.org/officeDocument/2006/relationships/hyperlink" Target="https://factfinder.census.gov/faces/nav/jsf/pages/searchresults.xhtml?refresh=t" TargetMode="External"/><Relationship Id="rId14" Type="http://schemas.openxmlformats.org/officeDocument/2006/relationships/hyperlink" Target="https://factfinder.census.gov/faces/nav/jsf/pages/searchresults.xhtml?refresh=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Will\Dropbox\NCFF\Community%20Data%20Reports\Custer%20County\Custer%20Graph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Will\Dropbox\NCFF\2019%20Community%20Data%20Reports\Custer%20County\Custer%20Graph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Will\Dropbox\NCFF\Community%20Data%20Reports\Custer%20County\Custer%20Graph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Will\Dropbox\NCFF\Community%20Data%20Reports\Custer%20County\Custer%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Will\Dropbox\NCFF\Community%20Data%20Reports\Custer%20County\Custer%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Will\Dropbox\NCFF\Community%20Data%20Reports\Custer%20County\Custer%20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Will\Dropbox\NCFF\Community%20Data%20Reports\Custer%20County\Custer%20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Will\Dropbox\NCFF\Community%20Data%20Reports\Custer%20County\Custer%20Graph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Will\Dropbox\NCFF\Community%20Data%20Reports\Custer%20County\Custer%20Graph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Will\Dropbox\NCFF\Community%20Data%20Reports\Custer%20County\Custer%20Graph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Will\Dropbox\NCFF\Community%20Data%20Reports\Custer%20County\Custer%20Graph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Sheet2!$A$37:$A$45</c:f>
              <c:strCache>
                <c:ptCount val="9"/>
                <c:pt idx="0">
                  <c:v>Blaine</c:v>
                </c:pt>
                <c:pt idx="1">
                  <c:v>Custer </c:v>
                </c:pt>
                <c:pt idx="2">
                  <c:v>Garfield</c:v>
                </c:pt>
                <c:pt idx="3">
                  <c:v>Greeley </c:v>
                </c:pt>
                <c:pt idx="4">
                  <c:v>Loup</c:v>
                </c:pt>
                <c:pt idx="5">
                  <c:v>Sherman </c:v>
                </c:pt>
                <c:pt idx="6">
                  <c:v>Valley</c:v>
                </c:pt>
                <c:pt idx="7">
                  <c:v>Wheeler </c:v>
                </c:pt>
                <c:pt idx="8">
                  <c:v>Nebraska</c:v>
                </c:pt>
              </c:strCache>
            </c:strRef>
          </c:cat>
          <c:val>
            <c:numRef>
              <c:f>Sheet2!$B$37:$B$45</c:f>
              <c:numCache>
                <c:formatCode>0.0%</c:formatCode>
                <c:ptCount val="9"/>
                <c:pt idx="0">
                  <c:v>0.151</c:v>
                </c:pt>
                <c:pt idx="1">
                  <c:v>0.159</c:v>
                </c:pt>
                <c:pt idx="2">
                  <c:v>5.2999999999999999E-2</c:v>
                </c:pt>
                <c:pt idx="3">
                  <c:v>0.14299999999999999</c:v>
                </c:pt>
                <c:pt idx="4">
                  <c:v>9.6000000000000002E-2</c:v>
                </c:pt>
                <c:pt idx="5">
                  <c:v>0.18099999999999999</c:v>
                </c:pt>
                <c:pt idx="6">
                  <c:v>0.106</c:v>
                </c:pt>
                <c:pt idx="7">
                  <c:v>3.2000000000000001E-2</c:v>
                </c:pt>
                <c:pt idx="8">
                  <c:v>0.156</c:v>
                </c:pt>
              </c:numCache>
            </c:numRef>
          </c:val>
          <c:extLst>
            <c:ext xmlns:c16="http://schemas.microsoft.com/office/drawing/2014/chart" uri="{C3380CC4-5D6E-409C-BE32-E72D297353CC}">
              <c16:uniqueId val="{00000000-E3B7-4DFC-BB6F-CB7CF656B319}"/>
            </c:ext>
          </c:extLst>
        </c:ser>
        <c:dLbls>
          <c:showLegendKey val="0"/>
          <c:showVal val="1"/>
          <c:showCatName val="0"/>
          <c:showSerName val="0"/>
          <c:showPercent val="0"/>
          <c:showBubbleSize val="0"/>
        </c:dLbls>
        <c:gapWidth val="150"/>
        <c:overlap val="-25"/>
        <c:axId val="503016496"/>
        <c:axId val="503017480"/>
      </c:barChart>
      <c:catAx>
        <c:axId val="50301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017480"/>
        <c:crosses val="autoZero"/>
        <c:auto val="1"/>
        <c:lblAlgn val="ctr"/>
        <c:lblOffset val="100"/>
        <c:noMultiLvlLbl val="0"/>
      </c:catAx>
      <c:valAx>
        <c:axId val="503017480"/>
        <c:scaling>
          <c:orientation val="minMax"/>
        </c:scaling>
        <c:delete val="1"/>
        <c:axPos val="l"/>
        <c:numFmt formatCode="0.0%" sourceLinked="1"/>
        <c:majorTickMark val="none"/>
        <c:minorTickMark val="none"/>
        <c:tickLblPos val="nextTo"/>
        <c:crossAx val="503016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Sheet2!$A$167</c:f>
              <c:strCache>
                <c:ptCount val="1"/>
                <c:pt idx="0">
                  <c:v>Loup Basin*</c:v>
                </c:pt>
              </c:strCache>
            </c:strRef>
          </c:tx>
          <c:invertIfNegative val="0"/>
          <c:cat>
            <c:multiLvlStrRef>
              <c:f>Sheet2!$B$165:$M$166</c:f>
              <c:multiLvlStrCache>
                <c:ptCount val="12"/>
                <c:lvl>
                  <c:pt idx="0">
                    <c:v>2010</c:v>
                  </c:pt>
                  <c:pt idx="1">
                    <c:v>2012</c:v>
                  </c:pt>
                  <c:pt idx="2">
                    <c:v>2014</c:v>
                  </c:pt>
                  <c:pt idx="3">
                    <c:v>2016</c:v>
                  </c:pt>
                  <c:pt idx="4">
                    <c:v>2010</c:v>
                  </c:pt>
                  <c:pt idx="5">
                    <c:v>2012</c:v>
                  </c:pt>
                  <c:pt idx="6">
                    <c:v>2014</c:v>
                  </c:pt>
                  <c:pt idx="7">
                    <c:v>2016</c:v>
                  </c:pt>
                  <c:pt idx="8">
                    <c:v>2010</c:v>
                  </c:pt>
                  <c:pt idx="9">
                    <c:v>2012</c:v>
                  </c:pt>
                  <c:pt idx="10">
                    <c:v>2014</c:v>
                  </c:pt>
                  <c:pt idx="11">
                    <c:v>2016</c:v>
                  </c:pt>
                </c:lvl>
                <c:lvl>
                  <c:pt idx="0">
                    <c:v>8th grade</c:v>
                  </c:pt>
                  <c:pt idx="4">
                    <c:v>10th grade</c:v>
                  </c:pt>
                  <c:pt idx="8">
                    <c:v>12th grade</c:v>
                  </c:pt>
                </c:lvl>
              </c:multiLvlStrCache>
            </c:multiLvlStrRef>
          </c:cat>
          <c:val>
            <c:numRef>
              <c:f>Sheet2!$B$167:$M$167</c:f>
              <c:numCache>
                <c:formatCode>0.0%</c:formatCode>
                <c:ptCount val="12"/>
                <c:pt idx="0">
                  <c:v>5.8999999999999997E-2</c:v>
                </c:pt>
                <c:pt idx="1">
                  <c:v>9.2999999999999999E-2</c:v>
                </c:pt>
                <c:pt idx="2">
                  <c:v>4.7E-2</c:v>
                </c:pt>
                <c:pt idx="3">
                  <c:v>7.4999999999999997E-2</c:v>
                </c:pt>
                <c:pt idx="4">
                  <c:v>0.189</c:v>
                </c:pt>
                <c:pt idx="5">
                  <c:v>0.16500000000000001</c:v>
                </c:pt>
                <c:pt idx="6">
                  <c:v>0.20399999999999999</c:v>
                </c:pt>
                <c:pt idx="7">
                  <c:v>0.14000000000000001</c:v>
                </c:pt>
                <c:pt idx="8">
                  <c:v>0.27700000000000002</c:v>
                </c:pt>
                <c:pt idx="9">
                  <c:v>0.29499999999999998</c:v>
                </c:pt>
                <c:pt idx="10">
                  <c:v>0.30599999999999999</c:v>
                </c:pt>
                <c:pt idx="11">
                  <c:v>0.34300000000000003</c:v>
                </c:pt>
              </c:numCache>
            </c:numRef>
          </c:val>
          <c:extLst>
            <c:ext xmlns:c16="http://schemas.microsoft.com/office/drawing/2014/chart" uri="{C3380CC4-5D6E-409C-BE32-E72D297353CC}">
              <c16:uniqueId val="{00000000-9DE7-4FB0-A914-2B2A349AA206}"/>
            </c:ext>
          </c:extLst>
        </c:ser>
        <c:dLbls>
          <c:showLegendKey val="0"/>
          <c:showVal val="0"/>
          <c:showCatName val="0"/>
          <c:showSerName val="0"/>
          <c:showPercent val="0"/>
          <c:showBubbleSize val="0"/>
        </c:dLbls>
        <c:gapWidth val="150"/>
        <c:axId val="108453248"/>
        <c:axId val="108475904"/>
      </c:barChart>
      <c:lineChart>
        <c:grouping val="standard"/>
        <c:varyColors val="0"/>
        <c:ser>
          <c:idx val="1"/>
          <c:order val="1"/>
          <c:tx>
            <c:strRef>
              <c:f>Sheet2!$A$168</c:f>
              <c:strCache>
                <c:ptCount val="1"/>
                <c:pt idx="0">
                  <c:v>Nebraska</c:v>
                </c:pt>
              </c:strCache>
            </c:strRef>
          </c:tx>
          <c:spPr>
            <a:ln w="19050">
              <a:noFill/>
            </a:ln>
          </c:spPr>
          <c:marker>
            <c:symbol val="dash"/>
            <c:size val="12"/>
            <c:spPr>
              <a:solidFill>
                <a:schemeClr val="tx1"/>
              </a:solidFill>
              <a:ln>
                <a:noFill/>
              </a:ln>
            </c:spPr>
          </c:marker>
          <c:cat>
            <c:multiLvlStrRef>
              <c:f>Sheet2!$B$165:$M$166</c:f>
              <c:multiLvlStrCache>
                <c:ptCount val="12"/>
                <c:lvl>
                  <c:pt idx="0">
                    <c:v>2010</c:v>
                  </c:pt>
                  <c:pt idx="1">
                    <c:v>2012</c:v>
                  </c:pt>
                  <c:pt idx="2">
                    <c:v>2014</c:v>
                  </c:pt>
                  <c:pt idx="3">
                    <c:v>2016</c:v>
                  </c:pt>
                  <c:pt idx="4">
                    <c:v>2010</c:v>
                  </c:pt>
                  <c:pt idx="5">
                    <c:v>2012</c:v>
                  </c:pt>
                  <c:pt idx="6">
                    <c:v>2014</c:v>
                  </c:pt>
                  <c:pt idx="7">
                    <c:v>2016</c:v>
                  </c:pt>
                  <c:pt idx="8">
                    <c:v>2010</c:v>
                  </c:pt>
                  <c:pt idx="9">
                    <c:v>2012</c:v>
                  </c:pt>
                  <c:pt idx="10">
                    <c:v>2014</c:v>
                  </c:pt>
                  <c:pt idx="11">
                    <c:v>2016</c:v>
                  </c:pt>
                </c:lvl>
                <c:lvl>
                  <c:pt idx="0">
                    <c:v>8th grade</c:v>
                  </c:pt>
                  <c:pt idx="4">
                    <c:v>10th grade</c:v>
                  </c:pt>
                  <c:pt idx="8">
                    <c:v>12th grade</c:v>
                  </c:pt>
                </c:lvl>
              </c:multiLvlStrCache>
            </c:multiLvlStrRef>
          </c:cat>
          <c:val>
            <c:numRef>
              <c:f>Sheet2!$B$168:$M$168</c:f>
              <c:numCache>
                <c:formatCode>0.0%</c:formatCode>
                <c:ptCount val="12"/>
                <c:pt idx="0">
                  <c:v>7.9000000000000001E-2</c:v>
                </c:pt>
                <c:pt idx="1">
                  <c:v>6.3E-2</c:v>
                </c:pt>
                <c:pt idx="2">
                  <c:v>4.3999999999999997E-2</c:v>
                </c:pt>
                <c:pt idx="3">
                  <c:v>7.2999999999999995E-2</c:v>
                </c:pt>
                <c:pt idx="4">
                  <c:v>0.21</c:v>
                </c:pt>
                <c:pt idx="5">
                  <c:v>0.184</c:v>
                </c:pt>
                <c:pt idx="6">
                  <c:v>0.159</c:v>
                </c:pt>
                <c:pt idx="7">
                  <c:v>0.2</c:v>
                </c:pt>
                <c:pt idx="8">
                  <c:v>0.34699999999999998</c:v>
                </c:pt>
                <c:pt idx="9">
                  <c:v>0.314</c:v>
                </c:pt>
                <c:pt idx="10">
                  <c:v>0.29599999999999999</c:v>
                </c:pt>
                <c:pt idx="11">
                  <c:v>0.34399999999999997</c:v>
                </c:pt>
              </c:numCache>
            </c:numRef>
          </c:val>
          <c:smooth val="0"/>
          <c:extLst>
            <c:ext xmlns:c16="http://schemas.microsoft.com/office/drawing/2014/chart" uri="{C3380CC4-5D6E-409C-BE32-E72D297353CC}">
              <c16:uniqueId val="{00000001-9DE7-4FB0-A914-2B2A349AA206}"/>
            </c:ext>
          </c:extLst>
        </c:ser>
        <c:dLbls>
          <c:showLegendKey val="0"/>
          <c:showVal val="0"/>
          <c:showCatName val="0"/>
          <c:showSerName val="0"/>
          <c:showPercent val="0"/>
          <c:showBubbleSize val="0"/>
        </c:dLbls>
        <c:marker val="1"/>
        <c:smooth val="0"/>
        <c:axId val="108453248"/>
        <c:axId val="108475904"/>
      </c:lineChart>
      <c:catAx>
        <c:axId val="108453248"/>
        <c:scaling>
          <c:orientation val="minMax"/>
        </c:scaling>
        <c:delete val="0"/>
        <c:axPos val="b"/>
        <c:numFmt formatCode="General" sourceLinked="0"/>
        <c:majorTickMark val="none"/>
        <c:minorTickMark val="none"/>
        <c:tickLblPos val="nextTo"/>
        <c:crossAx val="108475904"/>
        <c:crosses val="autoZero"/>
        <c:auto val="1"/>
        <c:lblAlgn val="ctr"/>
        <c:lblOffset val="100"/>
        <c:noMultiLvlLbl val="0"/>
      </c:catAx>
      <c:valAx>
        <c:axId val="108475904"/>
        <c:scaling>
          <c:orientation val="minMax"/>
        </c:scaling>
        <c:delete val="0"/>
        <c:axPos val="l"/>
        <c:majorGridlines/>
        <c:numFmt formatCode="0%" sourceLinked="0"/>
        <c:majorTickMark val="none"/>
        <c:minorTickMark val="none"/>
        <c:tickLblPos val="nextTo"/>
        <c:crossAx val="108453248"/>
        <c:crosses val="autoZero"/>
        <c:crossBetween val="between"/>
        <c:majorUnit val="0.1"/>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Sheet2!$A$143</c:f>
              <c:strCache>
                <c:ptCount val="1"/>
                <c:pt idx="0">
                  <c:v>Loup Basin*</c:v>
                </c:pt>
              </c:strCache>
            </c:strRef>
          </c:tx>
          <c:invertIfNegative val="0"/>
          <c:cat>
            <c:multiLvlStrRef>
              <c:f>Sheet2!$B$141:$M$142</c:f>
              <c:multiLvlStrCache>
                <c:ptCount val="12"/>
                <c:lvl>
                  <c:pt idx="0">
                    <c:v>2010</c:v>
                  </c:pt>
                  <c:pt idx="1">
                    <c:v>2012</c:v>
                  </c:pt>
                  <c:pt idx="2">
                    <c:v>2014</c:v>
                  </c:pt>
                  <c:pt idx="3">
                    <c:v>2016</c:v>
                  </c:pt>
                  <c:pt idx="4">
                    <c:v>2010</c:v>
                  </c:pt>
                  <c:pt idx="5">
                    <c:v>2012</c:v>
                  </c:pt>
                  <c:pt idx="6">
                    <c:v>2014</c:v>
                  </c:pt>
                  <c:pt idx="7">
                    <c:v>2016</c:v>
                  </c:pt>
                  <c:pt idx="8">
                    <c:v>2010</c:v>
                  </c:pt>
                  <c:pt idx="9">
                    <c:v>2012</c:v>
                  </c:pt>
                  <c:pt idx="10">
                    <c:v>2014</c:v>
                  </c:pt>
                  <c:pt idx="11">
                    <c:v>2016</c:v>
                  </c:pt>
                </c:lvl>
                <c:lvl>
                  <c:pt idx="0">
                    <c:v>8th grade</c:v>
                  </c:pt>
                  <c:pt idx="4">
                    <c:v>10th grade</c:v>
                  </c:pt>
                  <c:pt idx="8">
                    <c:v>12th grade</c:v>
                  </c:pt>
                </c:lvl>
              </c:multiLvlStrCache>
            </c:multiLvlStrRef>
          </c:cat>
          <c:val>
            <c:numRef>
              <c:f>Sheet2!$B$143:$M$143</c:f>
              <c:numCache>
                <c:formatCode>0.0%</c:formatCode>
                <c:ptCount val="12"/>
                <c:pt idx="0">
                  <c:v>2.4E-2</c:v>
                </c:pt>
                <c:pt idx="1">
                  <c:v>1.9E-2</c:v>
                </c:pt>
                <c:pt idx="2">
                  <c:v>2.1000000000000001E-2</c:v>
                </c:pt>
                <c:pt idx="3">
                  <c:v>1.6E-2</c:v>
                </c:pt>
                <c:pt idx="4">
                  <c:v>8.7999999999999995E-2</c:v>
                </c:pt>
                <c:pt idx="5">
                  <c:v>7.2999999999999995E-2</c:v>
                </c:pt>
                <c:pt idx="6">
                  <c:v>8.6999999999999994E-2</c:v>
                </c:pt>
                <c:pt idx="7">
                  <c:v>0.11799999999999999</c:v>
                </c:pt>
                <c:pt idx="8">
                  <c:v>0.20200000000000001</c:v>
                </c:pt>
                <c:pt idx="9">
                  <c:v>0.124</c:v>
                </c:pt>
                <c:pt idx="10">
                  <c:v>0.17100000000000001</c:v>
                </c:pt>
                <c:pt idx="11">
                  <c:v>0.108</c:v>
                </c:pt>
              </c:numCache>
            </c:numRef>
          </c:val>
          <c:extLst>
            <c:ext xmlns:c16="http://schemas.microsoft.com/office/drawing/2014/chart" uri="{C3380CC4-5D6E-409C-BE32-E72D297353CC}">
              <c16:uniqueId val="{00000000-10C1-42F6-AAEA-E6097086A356}"/>
            </c:ext>
          </c:extLst>
        </c:ser>
        <c:dLbls>
          <c:showLegendKey val="0"/>
          <c:showVal val="0"/>
          <c:showCatName val="0"/>
          <c:showSerName val="0"/>
          <c:showPercent val="0"/>
          <c:showBubbleSize val="0"/>
        </c:dLbls>
        <c:gapWidth val="150"/>
        <c:axId val="108453248"/>
        <c:axId val="108475904"/>
      </c:barChart>
      <c:lineChart>
        <c:grouping val="standard"/>
        <c:varyColors val="0"/>
        <c:ser>
          <c:idx val="1"/>
          <c:order val="1"/>
          <c:tx>
            <c:strRef>
              <c:f>Sheet2!$A$144</c:f>
              <c:strCache>
                <c:ptCount val="1"/>
                <c:pt idx="0">
                  <c:v>Nebraska</c:v>
                </c:pt>
              </c:strCache>
            </c:strRef>
          </c:tx>
          <c:spPr>
            <a:ln w="19050">
              <a:noFill/>
            </a:ln>
          </c:spPr>
          <c:marker>
            <c:symbol val="dash"/>
            <c:size val="12"/>
            <c:spPr>
              <a:solidFill>
                <a:schemeClr val="tx1"/>
              </a:solidFill>
              <a:ln>
                <a:noFill/>
              </a:ln>
            </c:spPr>
          </c:marker>
          <c:cat>
            <c:multiLvlStrRef>
              <c:f>Sheet2!$B$141:$M$142</c:f>
              <c:multiLvlStrCache>
                <c:ptCount val="12"/>
                <c:lvl>
                  <c:pt idx="0">
                    <c:v>2010</c:v>
                  </c:pt>
                  <c:pt idx="1">
                    <c:v>2012</c:v>
                  </c:pt>
                  <c:pt idx="2">
                    <c:v>2014</c:v>
                  </c:pt>
                  <c:pt idx="3">
                    <c:v>2016</c:v>
                  </c:pt>
                  <c:pt idx="4">
                    <c:v>2010</c:v>
                  </c:pt>
                  <c:pt idx="5">
                    <c:v>2012</c:v>
                  </c:pt>
                  <c:pt idx="6">
                    <c:v>2014</c:v>
                  </c:pt>
                  <c:pt idx="7">
                    <c:v>2016</c:v>
                  </c:pt>
                  <c:pt idx="8">
                    <c:v>2010</c:v>
                  </c:pt>
                  <c:pt idx="9">
                    <c:v>2012</c:v>
                  </c:pt>
                  <c:pt idx="10">
                    <c:v>2014</c:v>
                  </c:pt>
                  <c:pt idx="11">
                    <c:v>2016</c:v>
                  </c:pt>
                </c:lvl>
                <c:lvl>
                  <c:pt idx="0">
                    <c:v>8th grade</c:v>
                  </c:pt>
                  <c:pt idx="4">
                    <c:v>10th grade</c:v>
                  </c:pt>
                  <c:pt idx="8">
                    <c:v>12th grade</c:v>
                  </c:pt>
                </c:lvl>
              </c:multiLvlStrCache>
            </c:multiLvlStrRef>
          </c:cat>
          <c:val>
            <c:numRef>
              <c:f>Sheet2!$B$144:$M$144</c:f>
              <c:numCache>
                <c:formatCode>0.0%</c:formatCode>
                <c:ptCount val="12"/>
                <c:pt idx="0">
                  <c:v>4.8000000000000001E-2</c:v>
                </c:pt>
                <c:pt idx="1">
                  <c:v>3.3000000000000002E-2</c:v>
                </c:pt>
                <c:pt idx="2">
                  <c:v>2.9000000000000001E-2</c:v>
                </c:pt>
                <c:pt idx="3">
                  <c:v>2.3E-2</c:v>
                </c:pt>
                <c:pt idx="4">
                  <c:v>0.11700000000000001</c:v>
                </c:pt>
                <c:pt idx="5">
                  <c:v>9.2999999999999999E-2</c:v>
                </c:pt>
                <c:pt idx="6">
                  <c:v>7.5999999999999998E-2</c:v>
                </c:pt>
                <c:pt idx="7">
                  <c:v>6.7000000000000004E-2</c:v>
                </c:pt>
                <c:pt idx="8">
                  <c:v>0.20899999999999999</c:v>
                </c:pt>
                <c:pt idx="9">
                  <c:v>0.188</c:v>
                </c:pt>
                <c:pt idx="10">
                  <c:v>0.158</c:v>
                </c:pt>
                <c:pt idx="11">
                  <c:v>0.11899999999999999</c:v>
                </c:pt>
              </c:numCache>
            </c:numRef>
          </c:val>
          <c:smooth val="0"/>
          <c:extLst>
            <c:ext xmlns:c16="http://schemas.microsoft.com/office/drawing/2014/chart" uri="{C3380CC4-5D6E-409C-BE32-E72D297353CC}">
              <c16:uniqueId val="{00000001-10C1-42F6-AAEA-E6097086A356}"/>
            </c:ext>
          </c:extLst>
        </c:ser>
        <c:dLbls>
          <c:showLegendKey val="0"/>
          <c:showVal val="0"/>
          <c:showCatName val="0"/>
          <c:showSerName val="0"/>
          <c:showPercent val="0"/>
          <c:showBubbleSize val="0"/>
        </c:dLbls>
        <c:marker val="1"/>
        <c:smooth val="0"/>
        <c:axId val="108453248"/>
        <c:axId val="108475904"/>
      </c:lineChart>
      <c:catAx>
        <c:axId val="108453248"/>
        <c:scaling>
          <c:orientation val="minMax"/>
        </c:scaling>
        <c:delete val="0"/>
        <c:axPos val="b"/>
        <c:numFmt formatCode="General" sourceLinked="0"/>
        <c:majorTickMark val="none"/>
        <c:minorTickMark val="none"/>
        <c:tickLblPos val="nextTo"/>
        <c:crossAx val="108475904"/>
        <c:crosses val="autoZero"/>
        <c:auto val="1"/>
        <c:lblAlgn val="ctr"/>
        <c:lblOffset val="100"/>
        <c:noMultiLvlLbl val="0"/>
      </c:catAx>
      <c:valAx>
        <c:axId val="108475904"/>
        <c:scaling>
          <c:orientation val="minMax"/>
        </c:scaling>
        <c:delete val="0"/>
        <c:axPos val="l"/>
        <c:majorGridlines/>
        <c:numFmt formatCode="0%" sourceLinked="0"/>
        <c:majorTickMark val="none"/>
        <c:minorTickMark val="none"/>
        <c:tickLblPos val="nextTo"/>
        <c:crossAx val="108453248"/>
        <c:crosses val="autoZero"/>
        <c:crossBetween val="between"/>
        <c:majorUnit val="0.1"/>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Sheet2!$A$105:$A$121</c:f>
              <c:strCache>
                <c:ptCount val="17"/>
                <c:pt idx="0">
                  <c:v>Sandhills Public Schools</c:v>
                </c:pt>
                <c:pt idx="1">
                  <c:v>Anselmo-Merna Public Schools</c:v>
                </c:pt>
                <c:pt idx="2">
                  <c:v>Ansley Public Schools</c:v>
                </c:pt>
                <c:pt idx="3">
                  <c:v>Arnold Public Schools</c:v>
                </c:pt>
                <c:pt idx="4">
                  <c:v>Broken Bow Public Schools</c:v>
                </c:pt>
                <c:pt idx="5">
                  <c:v>Callaway Public Schools</c:v>
                </c:pt>
                <c:pt idx="6">
                  <c:v>Sargent Public Schools</c:v>
                </c:pt>
                <c:pt idx="7">
                  <c:v>Burwell Public Schools</c:v>
                </c:pt>
                <c:pt idx="8">
                  <c:v>Central Valley Public Schools</c:v>
                </c:pt>
                <c:pt idx="9">
                  <c:v>Riverside Public Schoolsa</c:v>
                </c:pt>
                <c:pt idx="10">
                  <c:v>Loup County Public Schools</c:v>
                </c:pt>
                <c:pt idx="11">
                  <c:v>Litchfield Public Schools</c:v>
                </c:pt>
                <c:pt idx="12">
                  <c:v>Loup City Public Schools</c:v>
                </c:pt>
                <c:pt idx="13">
                  <c:v>Arcadia Public Schools</c:v>
                </c:pt>
                <c:pt idx="14">
                  <c:v>Ord Public Schools</c:v>
                </c:pt>
                <c:pt idx="15">
                  <c:v>Wheeler Central Schools</c:v>
                </c:pt>
                <c:pt idx="16">
                  <c:v>Nebraska</c:v>
                </c:pt>
              </c:strCache>
            </c:strRef>
          </c:cat>
          <c:val>
            <c:numRef>
              <c:f>Sheet2!$B$105:$B$121</c:f>
              <c:numCache>
                <c:formatCode>0%</c:formatCode>
                <c:ptCount val="17"/>
                <c:pt idx="0">
                  <c:v>0.5</c:v>
                </c:pt>
                <c:pt idx="1">
                  <c:v>0.35</c:v>
                </c:pt>
                <c:pt idx="2">
                  <c:v>0.53</c:v>
                </c:pt>
                <c:pt idx="3">
                  <c:v>0.25</c:v>
                </c:pt>
                <c:pt idx="4">
                  <c:v>0.43</c:v>
                </c:pt>
                <c:pt idx="5">
                  <c:v>0.27</c:v>
                </c:pt>
                <c:pt idx="6">
                  <c:v>0.53</c:v>
                </c:pt>
                <c:pt idx="7">
                  <c:v>0.4</c:v>
                </c:pt>
                <c:pt idx="8">
                  <c:v>0.52</c:v>
                </c:pt>
                <c:pt idx="9">
                  <c:v>0.55000000000000004</c:v>
                </c:pt>
                <c:pt idx="10">
                  <c:v>0.52</c:v>
                </c:pt>
                <c:pt idx="11">
                  <c:v>0.59</c:v>
                </c:pt>
                <c:pt idx="12">
                  <c:v>0.43</c:v>
                </c:pt>
                <c:pt idx="13">
                  <c:v>0.52</c:v>
                </c:pt>
                <c:pt idx="14">
                  <c:v>0.44</c:v>
                </c:pt>
                <c:pt idx="15">
                  <c:v>0.52</c:v>
                </c:pt>
                <c:pt idx="16">
                  <c:v>0.46</c:v>
                </c:pt>
              </c:numCache>
            </c:numRef>
          </c:val>
          <c:extLst>
            <c:ext xmlns:c16="http://schemas.microsoft.com/office/drawing/2014/chart" uri="{C3380CC4-5D6E-409C-BE32-E72D297353CC}">
              <c16:uniqueId val="{00000000-BBFB-490F-BEA7-086A7F5420A0}"/>
            </c:ext>
          </c:extLst>
        </c:ser>
        <c:dLbls>
          <c:showLegendKey val="0"/>
          <c:showVal val="1"/>
          <c:showCatName val="0"/>
          <c:showSerName val="0"/>
          <c:showPercent val="0"/>
          <c:showBubbleSize val="0"/>
        </c:dLbls>
        <c:gapWidth val="150"/>
        <c:overlap val="-25"/>
        <c:axId val="503016496"/>
        <c:axId val="503017480"/>
      </c:barChart>
      <c:catAx>
        <c:axId val="50301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017480"/>
        <c:crosses val="autoZero"/>
        <c:auto val="1"/>
        <c:lblAlgn val="ctr"/>
        <c:lblOffset val="100"/>
        <c:noMultiLvlLbl val="0"/>
      </c:catAx>
      <c:valAx>
        <c:axId val="503017480"/>
        <c:scaling>
          <c:orientation val="minMax"/>
        </c:scaling>
        <c:delete val="1"/>
        <c:axPos val="l"/>
        <c:numFmt formatCode="0%" sourceLinked="1"/>
        <c:majorTickMark val="none"/>
        <c:minorTickMark val="none"/>
        <c:tickLblPos val="nextTo"/>
        <c:crossAx val="503016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Sheet2!$A$51:$A$59</c:f>
              <c:strCache>
                <c:ptCount val="9"/>
                <c:pt idx="0">
                  <c:v>Blaine</c:v>
                </c:pt>
                <c:pt idx="1">
                  <c:v>Custer </c:v>
                </c:pt>
                <c:pt idx="2">
                  <c:v>Garfield</c:v>
                </c:pt>
                <c:pt idx="3">
                  <c:v>Greeley </c:v>
                </c:pt>
                <c:pt idx="4">
                  <c:v>Loup</c:v>
                </c:pt>
                <c:pt idx="5">
                  <c:v>Sherman </c:v>
                </c:pt>
                <c:pt idx="6">
                  <c:v>Valley</c:v>
                </c:pt>
                <c:pt idx="7">
                  <c:v>Wheeler </c:v>
                </c:pt>
                <c:pt idx="8">
                  <c:v>Nebraska</c:v>
                </c:pt>
              </c:strCache>
            </c:strRef>
          </c:cat>
          <c:val>
            <c:numRef>
              <c:f>Sheet2!$B$51:$B$59</c:f>
              <c:numCache>
                <c:formatCode>"$"#,##0_);[Red]\("$"#,##0\)</c:formatCode>
                <c:ptCount val="9"/>
                <c:pt idx="0">
                  <c:v>57969</c:v>
                </c:pt>
                <c:pt idx="1">
                  <c:v>60290</c:v>
                </c:pt>
                <c:pt idx="2">
                  <c:v>55333</c:v>
                </c:pt>
                <c:pt idx="3">
                  <c:v>47218</c:v>
                </c:pt>
                <c:pt idx="4">
                  <c:v>58625</c:v>
                </c:pt>
                <c:pt idx="5">
                  <c:v>48704</c:v>
                </c:pt>
                <c:pt idx="6">
                  <c:v>50270</c:v>
                </c:pt>
                <c:pt idx="7">
                  <c:v>49706</c:v>
                </c:pt>
                <c:pt idx="8">
                  <c:v>72191</c:v>
                </c:pt>
              </c:numCache>
            </c:numRef>
          </c:val>
          <c:extLst>
            <c:ext xmlns:c16="http://schemas.microsoft.com/office/drawing/2014/chart" uri="{C3380CC4-5D6E-409C-BE32-E72D297353CC}">
              <c16:uniqueId val="{00000000-3157-4442-BE1B-A2E7528B83EA}"/>
            </c:ext>
          </c:extLst>
        </c:ser>
        <c:dLbls>
          <c:showLegendKey val="0"/>
          <c:showVal val="1"/>
          <c:showCatName val="0"/>
          <c:showSerName val="0"/>
          <c:showPercent val="0"/>
          <c:showBubbleSize val="0"/>
        </c:dLbls>
        <c:gapWidth val="150"/>
        <c:overlap val="-25"/>
        <c:axId val="503016496"/>
        <c:axId val="503017480"/>
      </c:barChart>
      <c:catAx>
        <c:axId val="50301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017480"/>
        <c:crosses val="autoZero"/>
        <c:auto val="1"/>
        <c:lblAlgn val="ctr"/>
        <c:lblOffset val="100"/>
        <c:noMultiLvlLbl val="0"/>
      </c:catAx>
      <c:valAx>
        <c:axId val="503017480"/>
        <c:scaling>
          <c:orientation val="minMax"/>
        </c:scaling>
        <c:delete val="1"/>
        <c:axPos val="l"/>
        <c:numFmt formatCode="&quot;$&quot;#,##0_);[Red]\(&quot;$&quot;#,##0\)" sourceLinked="1"/>
        <c:majorTickMark val="none"/>
        <c:minorTickMark val="none"/>
        <c:tickLblPos val="nextTo"/>
        <c:crossAx val="503016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Sheet2!$A$1:$A$9</c:f>
              <c:strCache>
                <c:ptCount val="9"/>
                <c:pt idx="0">
                  <c:v>Blaine</c:v>
                </c:pt>
                <c:pt idx="1">
                  <c:v>Custer </c:v>
                </c:pt>
                <c:pt idx="2">
                  <c:v>Garfield</c:v>
                </c:pt>
                <c:pt idx="3">
                  <c:v>Greeley </c:v>
                </c:pt>
                <c:pt idx="4">
                  <c:v>Loup</c:v>
                </c:pt>
                <c:pt idx="5">
                  <c:v>Sherman </c:v>
                </c:pt>
                <c:pt idx="6">
                  <c:v>Valley</c:v>
                </c:pt>
                <c:pt idx="7">
                  <c:v>Wheeler </c:v>
                </c:pt>
                <c:pt idx="8">
                  <c:v>Nebraska</c:v>
                </c:pt>
              </c:strCache>
            </c:strRef>
          </c:cat>
          <c:val>
            <c:numRef>
              <c:f>Sheet2!$B$1:$B$9</c:f>
              <c:numCache>
                <c:formatCode>0.0%</c:formatCode>
                <c:ptCount val="9"/>
                <c:pt idx="0">
                  <c:v>0.26</c:v>
                </c:pt>
                <c:pt idx="1">
                  <c:v>0.155</c:v>
                </c:pt>
                <c:pt idx="2">
                  <c:v>7.4999999999999997E-2</c:v>
                </c:pt>
                <c:pt idx="3">
                  <c:v>0.153</c:v>
                </c:pt>
                <c:pt idx="4">
                  <c:v>7.6999999999999999E-2</c:v>
                </c:pt>
                <c:pt idx="5">
                  <c:v>0.03</c:v>
                </c:pt>
                <c:pt idx="6">
                  <c:v>0.17100000000000001</c:v>
                </c:pt>
                <c:pt idx="7">
                  <c:v>0.23699999999999999</c:v>
                </c:pt>
                <c:pt idx="8">
                  <c:v>0.151</c:v>
                </c:pt>
              </c:numCache>
            </c:numRef>
          </c:val>
          <c:extLst>
            <c:ext xmlns:c16="http://schemas.microsoft.com/office/drawing/2014/chart" uri="{C3380CC4-5D6E-409C-BE32-E72D297353CC}">
              <c16:uniqueId val="{00000000-9313-4855-A675-16A60ECD9244}"/>
            </c:ext>
          </c:extLst>
        </c:ser>
        <c:dLbls>
          <c:showLegendKey val="0"/>
          <c:showVal val="1"/>
          <c:showCatName val="0"/>
          <c:showSerName val="0"/>
          <c:showPercent val="0"/>
          <c:showBubbleSize val="0"/>
        </c:dLbls>
        <c:gapWidth val="150"/>
        <c:overlap val="-25"/>
        <c:axId val="503016496"/>
        <c:axId val="503017480"/>
      </c:barChart>
      <c:catAx>
        <c:axId val="50301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017480"/>
        <c:crosses val="autoZero"/>
        <c:auto val="1"/>
        <c:lblAlgn val="ctr"/>
        <c:lblOffset val="100"/>
        <c:noMultiLvlLbl val="0"/>
      </c:catAx>
      <c:valAx>
        <c:axId val="503017480"/>
        <c:scaling>
          <c:orientation val="minMax"/>
        </c:scaling>
        <c:delete val="1"/>
        <c:axPos val="l"/>
        <c:numFmt formatCode="0.0%" sourceLinked="1"/>
        <c:majorTickMark val="none"/>
        <c:minorTickMark val="none"/>
        <c:tickLblPos val="nextTo"/>
        <c:crossAx val="503016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91F-496A-8332-A3A6BE434029}"/>
                </c:ext>
              </c:extLst>
            </c:dLbl>
            <c:dLbl>
              <c:idx val="3"/>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1F-496A-8332-A3A6BE434029}"/>
                </c:ext>
              </c:extLst>
            </c:dLbl>
            <c:dLbl>
              <c:idx val="10"/>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91F-496A-8332-A3A6BE43402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Sheet2!$A$17:$A$33</c:f>
              <c:strCache>
                <c:ptCount val="17"/>
                <c:pt idx="0">
                  <c:v>Sandhills Public Schools</c:v>
                </c:pt>
                <c:pt idx="1">
                  <c:v>Anselmo-Merna Public Schools</c:v>
                </c:pt>
                <c:pt idx="2">
                  <c:v>Ansley Public Schools</c:v>
                </c:pt>
                <c:pt idx="3">
                  <c:v>Arnold Public Schools</c:v>
                </c:pt>
                <c:pt idx="4">
                  <c:v>Broken Bow Public Schools</c:v>
                </c:pt>
                <c:pt idx="5">
                  <c:v>Callaway Public Schools</c:v>
                </c:pt>
                <c:pt idx="6">
                  <c:v>Sargent Public Schools</c:v>
                </c:pt>
                <c:pt idx="7">
                  <c:v>Burwell Public Schools</c:v>
                </c:pt>
                <c:pt idx="8">
                  <c:v>Central Valley Public Schools</c:v>
                </c:pt>
                <c:pt idx="9">
                  <c:v>Riverside Public Schoolsa</c:v>
                </c:pt>
                <c:pt idx="10">
                  <c:v>Loup County Public Schools</c:v>
                </c:pt>
                <c:pt idx="11">
                  <c:v>Litchfield Public Schools</c:v>
                </c:pt>
                <c:pt idx="12">
                  <c:v>Loup City Public Schools</c:v>
                </c:pt>
                <c:pt idx="13">
                  <c:v>Arcadia Public Schools</c:v>
                </c:pt>
                <c:pt idx="14">
                  <c:v>Ord Public Schools</c:v>
                </c:pt>
                <c:pt idx="15">
                  <c:v>Wheeler Central Schools</c:v>
                </c:pt>
                <c:pt idx="16">
                  <c:v>Nebraska</c:v>
                </c:pt>
              </c:strCache>
            </c:strRef>
          </c:cat>
          <c:val>
            <c:numRef>
              <c:f>Sheet2!$B$17:$B$33</c:f>
              <c:numCache>
                <c:formatCode>0%</c:formatCode>
                <c:ptCount val="17"/>
                <c:pt idx="0" formatCode="General">
                  <c:v>0</c:v>
                </c:pt>
                <c:pt idx="1">
                  <c:v>0.05</c:v>
                </c:pt>
                <c:pt idx="2">
                  <c:v>0.08</c:v>
                </c:pt>
                <c:pt idx="3" formatCode="General">
                  <c:v>0</c:v>
                </c:pt>
                <c:pt idx="4">
                  <c:v>0.15</c:v>
                </c:pt>
                <c:pt idx="5">
                  <c:v>0.13</c:v>
                </c:pt>
                <c:pt idx="6">
                  <c:v>0.14000000000000001</c:v>
                </c:pt>
                <c:pt idx="7">
                  <c:v>0.06</c:v>
                </c:pt>
                <c:pt idx="8">
                  <c:v>0.17</c:v>
                </c:pt>
                <c:pt idx="9">
                  <c:v>0.1</c:v>
                </c:pt>
                <c:pt idx="10" formatCode="General">
                  <c:v>0</c:v>
                </c:pt>
                <c:pt idx="11">
                  <c:v>0.13</c:v>
                </c:pt>
                <c:pt idx="12">
                  <c:v>0.12</c:v>
                </c:pt>
                <c:pt idx="13">
                  <c:v>0.1</c:v>
                </c:pt>
                <c:pt idx="14">
                  <c:v>7.0000000000000007E-2</c:v>
                </c:pt>
                <c:pt idx="15">
                  <c:v>0.15</c:v>
                </c:pt>
                <c:pt idx="16">
                  <c:v>0.11</c:v>
                </c:pt>
              </c:numCache>
            </c:numRef>
          </c:val>
          <c:extLst>
            <c:ext xmlns:c16="http://schemas.microsoft.com/office/drawing/2014/chart" uri="{C3380CC4-5D6E-409C-BE32-E72D297353CC}">
              <c16:uniqueId val="{00000003-491F-496A-8332-A3A6BE434029}"/>
            </c:ext>
          </c:extLst>
        </c:ser>
        <c:dLbls>
          <c:showLegendKey val="0"/>
          <c:showVal val="1"/>
          <c:showCatName val="0"/>
          <c:showSerName val="0"/>
          <c:showPercent val="0"/>
          <c:showBubbleSize val="0"/>
        </c:dLbls>
        <c:gapWidth val="150"/>
        <c:overlap val="-25"/>
        <c:axId val="503016496"/>
        <c:axId val="503017480"/>
      </c:barChart>
      <c:catAx>
        <c:axId val="50301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017480"/>
        <c:crosses val="autoZero"/>
        <c:auto val="1"/>
        <c:lblAlgn val="ctr"/>
        <c:lblOffset val="100"/>
        <c:noMultiLvlLbl val="0"/>
      </c:catAx>
      <c:valAx>
        <c:axId val="503017480"/>
        <c:scaling>
          <c:orientation val="minMax"/>
        </c:scaling>
        <c:delete val="1"/>
        <c:axPos val="l"/>
        <c:numFmt formatCode="General" sourceLinked="1"/>
        <c:majorTickMark val="none"/>
        <c:minorTickMark val="none"/>
        <c:tickLblPos val="nextTo"/>
        <c:crossAx val="503016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Sheet2!$A$64:$A$72</c:f>
              <c:strCache>
                <c:ptCount val="9"/>
                <c:pt idx="0">
                  <c:v>Blaine</c:v>
                </c:pt>
                <c:pt idx="1">
                  <c:v>Custer </c:v>
                </c:pt>
                <c:pt idx="2">
                  <c:v>Garfield</c:v>
                </c:pt>
                <c:pt idx="3">
                  <c:v>Greeley </c:v>
                </c:pt>
                <c:pt idx="4">
                  <c:v>Loup</c:v>
                </c:pt>
                <c:pt idx="5">
                  <c:v>Sherman </c:v>
                </c:pt>
                <c:pt idx="6">
                  <c:v>Valley</c:v>
                </c:pt>
                <c:pt idx="7">
                  <c:v>Wheeler </c:v>
                </c:pt>
                <c:pt idx="8">
                  <c:v>Nebraska</c:v>
                </c:pt>
              </c:strCache>
            </c:strRef>
          </c:cat>
          <c:val>
            <c:numRef>
              <c:f>Sheet2!$B$64:$B$72</c:f>
              <c:numCache>
                <c:formatCode>0.0%</c:formatCode>
                <c:ptCount val="9"/>
                <c:pt idx="0">
                  <c:v>0.98899999999999999</c:v>
                </c:pt>
                <c:pt idx="1">
                  <c:v>0.92600000000000005</c:v>
                </c:pt>
                <c:pt idx="2">
                  <c:v>0.96099999999999997</c:v>
                </c:pt>
                <c:pt idx="3">
                  <c:v>0.93100000000000005</c:v>
                </c:pt>
                <c:pt idx="4">
                  <c:v>0.98299999999999998</c:v>
                </c:pt>
                <c:pt idx="5">
                  <c:v>0.92700000000000005</c:v>
                </c:pt>
                <c:pt idx="6">
                  <c:v>0.92800000000000005</c:v>
                </c:pt>
                <c:pt idx="7">
                  <c:v>0.94699999999999995</c:v>
                </c:pt>
                <c:pt idx="8">
                  <c:v>0.90900000000000003</c:v>
                </c:pt>
              </c:numCache>
            </c:numRef>
          </c:val>
          <c:extLst>
            <c:ext xmlns:c16="http://schemas.microsoft.com/office/drawing/2014/chart" uri="{C3380CC4-5D6E-409C-BE32-E72D297353CC}">
              <c16:uniqueId val="{00000000-449B-479C-93B2-CA2FE721D6C7}"/>
            </c:ext>
          </c:extLst>
        </c:ser>
        <c:dLbls>
          <c:showLegendKey val="0"/>
          <c:showVal val="1"/>
          <c:showCatName val="0"/>
          <c:showSerName val="0"/>
          <c:showPercent val="0"/>
          <c:showBubbleSize val="0"/>
        </c:dLbls>
        <c:gapWidth val="150"/>
        <c:overlap val="-25"/>
        <c:axId val="503016496"/>
        <c:axId val="503017480"/>
      </c:barChart>
      <c:catAx>
        <c:axId val="50301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017480"/>
        <c:crosses val="autoZero"/>
        <c:auto val="1"/>
        <c:lblAlgn val="ctr"/>
        <c:lblOffset val="100"/>
        <c:noMultiLvlLbl val="0"/>
      </c:catAx>
      <c:valAx>
        <c:axId val="503017480"/>
        <c:scaling>
          <c:orientation val="minMax"/>
          <c:min val="0.60000000000000009"/>
        </c:scaling>
        <c:delete val="1"/>
        <c:axPos val="l"/>
        <c:numFmt formatCode="0.0%" sourceLinked="1"/>
        <c:majorTickMark val="out"/>
        <c:minorTickMark val="none"/>
        <c:tickLblPos val="nextTo"/>
        <c:crossAx val="503016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Sheet2!$A$78:$A$86</c:f>
              <c:strCache>
                <c:ptCount val="9"/>
                <c:pt idx="0">
                  <c:v>Blaine</c:v>
                </c:pt>
                <c:pt idx="1">
                  <c:v>Custer </c:v>
                </c:pt>
                <c:pt idx="2">
                  <c:v>Garfield</c:v>
                </c:pt>
                <c:pt idx="3">
                  <c:v>Greeley </c:v>
                </c:pt>
                <c:pt idx="4">
                  <c:v>Loup</c:v>
                </c:pt>
                <c:pt idx="5">
                  <c:v>Sherman </c:v>
                </c:pt>
                <c:pt idx="6">
                  <c:v>Valley</c:v>
                </c:pt>
                <c:pt idx="7">
                  <c:v>Wheeler </c:v>
                </c:pt>
                <c:pt idx="8">
                  <c:v>Nebraska</c:v>
                </c:pt>
              </c:strCache>
            </c:strRef>
          </c:cat>
          <c:val>
            <c:numRef>
              <c:f>Sheet2!$B$78:$B$86</c:f>
              <c:numCache>
                <c:formatCode>0.0%</c:formatCode>
                <c:ptCount val="9"/>
                <c:pt idx="0">
                  <c:v>0.374</c:v>
                </c:pt>
                <c:pt idx="1">
                  <c:v>0.38600000000000001</c:v>
                </c:pt>
                <c:pt idx="2">
                  <c:v>0.42199999999999999</c:v>
                </c:pt>
                <c:pt idx="3">
                  <c:v>0.39500000000000002</c:v>
                </c:pt>
                <c:pt idx="4">
                  <c:v>0.35399999999999998</c:v>
                </c:pt>
                <c:pt idx="5">
                  <c:v>0.36299999999999999</c:v>
                </c:pt>
                <c:pt idx="6">
                  <c:v>0.33700000000000002</c:v>
                </c:pt>
                <c:pt idx="7">
                  <c:v>0.34699999999999998</c:v>
                </c:pt>
                <c:pt idx="8">
                  <c:v>0.30099999999999999</c:v>
                </c:pt>
              </c:numCache>
            </c:numRef>
          </c:val>
          <c:extLst>
            <c:ext xmlns:c16="http://schemas.microsoft.com/office/drawing/2014/chart" uri="{C3380CC4-5D6E-409C-BE32-E72D297353CC}">
              <c16:uniqueId val="{00000000-BF85-4E4A-A7B6-33FC680785D6}"/>
            </c:ext>
          </c:extLst>
        </c:ser>
        <c:dLbls>
          <c:showLegendKey val="0"/>
          <c:showVal val="1"/>
          <c:showCatName val="0"/>
          <c:showSerName val="0"/>
          <c:showPercent val="0"/>
          <c:showBubbleSize val="0"/>
        </c:dLbls>
        <c:gapWidth val="150"/>
        <c:overlap val="-25"/>
        <c:axId val="503016496"/>
        <c:axId val="503017480"/>
      </c:barChart>
      <c:catAx>
        <c:axId val="50301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017480"/>
        <c:crosses val="autoZero"/>
        <c:auto val="1"/>
        <c:lblAlgn val="ctr"/>
        <c:lblOffset val="100"/>
        <c:noMultiLvlLbl val="0"/>
      </c:catAx>
      <c:valAx>
        <c:axId val="503017480"/>
        <c:scaling>
          <c:orientation val="minMax"/>
        </c:scaling>
        <c:delete val="1"/>
        <c:axPos val="l"/>
        <c:numFmt formatCode="0.0%" sourceLinked="1"/>
        <c:majorTickMark val="out"/>
        <c:minorTickMark val="none"/>
        <c:tickLblPos val="nextTo"/>
        <c:crossAx val="503016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Sheet2!$A$90:$A$98</c:f>
              <c:strCache>
                <c:ptCount val="9"/>
                <c:pt idx="0">
                  <c:v>Blaine</c:v>
                </c:pt>
                <c:pt idx="1">
                  <c:v>Custer </c:v>
                </c:pt>
                <c:pt idx="2">
                  <c:v>Garfield</c:v>
                </c:pt>
                <c:pt idx="3">
                  <c:v>Greeley </c:v>
                </c:pt>
                <c:pt idx="4">
                  <c:v>Loup</c:v>
                </c:pt>
                <c:pt idx="5">
                  <c:v>Sherman </c:v>
                </c:pt>
                <c:pt idx="6">
                  <c:v>Valley</c:v>
                </c:pt>
                <c:pt idx="7">
                  <c:v>Wheeler </c:v>
                </c:pt>
                <c:pt idx="8">
                  <c:v>Nebraska</c:v>
                </c:pt>
              </c:strCache>
            </c:strRef>
          </c:cat>
          <c:val>
            <c:numRef>
              <c:f>Sheet2!$B$90:$B$98</c:f>
              <c:numCache>
                <c:formatCode>0.0%</c:formatCode>
                <c:ptCount val="9"/>
                <c:pt idx="0">
                  <c:v>0.24099999999999999</c:v>
                </c:pt>
                <c:pt idx="1">
                  <c:v>0.217</c:v>
                </c:pt>
                <c:pt idx="2">
                  <c:v>0.19500000000000001</c:v>
                </c:pt>
                <c:pt idx="3">
                  <c:v>0.17299999999999999</c:v>
                </c:pt>
                <c:pt idx="4">
                  <c:v>0.23</c:v>
                </c:pt>
                <c:pt idx="5">
                  <c:v>0.183</c:v>
                </c:pt>
                <c:pt idx="6">
                  <c:v>0.20399999999999999</c:v>
                </c:pt>
                <c:pt idx="7">
                  <c:v>0.191</c:v>
                </c:pt>
                <c:pt idx="8">
                  <c:v>0.30599999999999999</c:v>
                </c:pt>
              </c:numCache>
            </c:numRef>
          </c:val>
          <c:extLst>
            <c:ext xmlns:c16="http://schemas.microsoft.com/office/drawing/2014/chart" uri="{C3380CC4-5D6E-409C-BE32-E72D297353CC}">
              <c16:uniqueId val="{00000000-3C3E-4EB5-8DE6-A4371368E170}"/>
            </c:ext>
          </c:extLst>
        </c:ser>
        <c:dLbls>
          <c:showLegendKey val="0"/>
          <c:showVal val="1"/>
          <c:showCatName val="0"/>
          <c:showSerName val="0"/>
          <c:showPercent val="0"/>
          <c:showBubbleSize val="0"/>
        </c:dLbls>
        <c:gapWidth val="150"/>
        <c:overlap val="-25"/>
        <c:axId val="503016496"/>
        <c:axId val="503017480"/>
      </c:barChart>
      <c:catAx>
        <c:axId val="50301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017480"/>
        <c:crosses val="autoZero"/>
        <c:auto val="1"/>
        <c:lblAlgn val="ctr"/>
        <c:lblOffset val="100"/>
        <c:noMultiLvlLbl val="0"/>
      </c:catAx>
      <c:valAx>
        <c:axId val="503017480"/>
        <c:scaling>
          <c:orientation val="minMax"/>
        </c:scaling>
        <c:delete val="1"/>
        <c:axPos val="l"/>
        <c:numFmt formatCode="0.0%" sourceLinked="1"/>
        <c:majorTickMark val="out"/>
        <c:minorTickMark val="none"/>
        <c:tickLblPos val="nextTo"/>
        <c:crossAx val="503016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Sheet2!$A$125:$A$133</c:f>
              <c:strCache>
                <c:ptCount val="9"/>
                <c:pt idx="0">
                  <c:v>Blaine</c:v>
                </c:pt>
                <c:pt idx="1">
                  <c:v>Custer </c:v>
                </c:pt>
                <c:pt idx="2">
                  <c:v>Garfield</c:v>
                </c:pt>
                <c:pt idx="3">
                  <c:v>Greeley </c:v>
                </c:pt>
                <c:pt idx="4">
                  <c:v>Loup</c:v>
                </c:pt>
                <c:pt idx="5">
                  <c:v>Sherman </c:v>
                </c:pt>
                <c:pt idx="6">
                  <c:v>Valley</c:v>
                </c:pt>
                <c:pt idx="7">
                  <c:v>Wheeler </c:v>
                </c:pt>
                <c:pt idx="8">
                  <c:v>Nebraska</c:v>
                </c:pt>
              </c:strCache>
            </c:strRef>
          </c:cat>
          <c:val>
            <c:numRef>
              <c:f>Sheet2!$B$125:$B$133</c:f>
              <c:numCache>
                <c:formatCode>0.0%</c:formatCode>
                <c:ptCount val="9"/>
                <c:pt idx="0">
                  <c:v>0</c:v>
                </c:pt>
                <c:pt idx="1">
                  <c:v>0.20899999999999999</c:v>
                </c:pt>
                <c:pt idx="2">
                  <c:v>6.7000000000000004E-2</c:v>
                </c:pt>
                <c:pt idx="3">
                  <c:v>0.23100000000000001</c:v>
                </c:pt>
                <c:pt idx="4">
                  <c:v>0</c:v>
                </c:pt>
                <c:pt idx="5">
                  <c:v>0.24099999999999999</c:v>
                </c:pt>
                <c:pt idx="6">
                  <c:v>0.20499999999999999</c:v>
                </c:pt>
                <c:pt idx="7">
                  <c:v>0.2</c:v>
                </c:pt>
                <c:pt idx="8">
                  <c:v>0.156</c:v>
                </c:pt>
              </c:numCache>
            </c:numRef>
          </c:val>
          <c:extLst>
            <c:ext xmlns:c16="http://schemas.microsoft.com/office/drawing/2014/chart" uri="{C3380CC4-5D6E-409C-BE32-E72D297353CC}">
              <c16:uniqueId val="{00000000-32B5-4C3C-A811-970CF35A1CE1}"/>
            </c:ext>
          </c:extLst>
        </c:ser>
        <c:dLbls>
          <c:showLegendKey val="0"/>
          <c:showVal val="1"/>
          <c:showCatName val="0"/>
          <c:showSerName val="0"/>
          <c:showPercent val="0"/>
          <c:showBubbleSize val="0"/>
        </c:dLbls>
        <c:gapWidth val="150"/>
        <c:overlap val="-25"/>
        <c:axId val="503016496"/>
        <c:axId val="503017480"/>
      </c:barChart>
      <c:catAx>
        <c:axId val="50301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017480"/>
        <c:crosses val="autoZero"/>
        <c:auto val="1"/>
        <c:lblAlgn val="ctr"/>
        <c:lblOffset val="100"/>
        <c:noMultiLvlLbl val="0"/>
      </c:catAx>
      <c:valAx>
        <c:axId val="503017480"/>
        <c:scaling>
          <c:orientation val="minMax"/>
        </c:scaling>
        <c:delete val="1"/>
        <c:axPos val="l"/>
        <c:numFmt formatCode="0.0%" sourceLinked="1"/>
        <c:majorTickMark val="out"/>
        <c:minorTickMark val="none"/>
        <c:tickLblPos val="nextTo"/>
        <c:crossAx val="503016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7D218-76C6-4D20-8CCE-C984FF21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10</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Schmeeckle</dc:creator>
  <cp:keywords/>
  <dc:description/>
  <cp:lastModifiedBy>Will Schmeeckle</cp:lastModifiedBy>
  <cp:revision>28</cp:revision>
  <cp:lastPrinted>2019-04-12T16:51:00Z</cp:lastPrinted>
  <dcterms:created xsi:type="dcterms:W3CDTF">2019-04-05T14:45:00Z</dcterms:created>
  <dcterms:modified xsi:type="dcterms:W3CDTF">2019-10-08T17:09:00Z</dcterms:modified>
</cp:coreProperties>
</file>