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0D" w:rsidRPr="00720D5B" w:rsidRDefault="00F228F4">
      <w:p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WILLIAM CURATOLO, Ph.D.               8/26/15 Version</w:t>
      </w:r>
    </w:p>
    <w:p w:rsidR="00F228F4" w:rsidRPr="00720D5B" w:rsidRDefault="00F228F4">
      <w:p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PATENTS</w:t>
      </w:r>
    </w:p>
    <w:p w:rsidR="00F228F4" w:rsidRPr="00720D5B" w:rsidRDefault="00F228F4" w:rsidP="00F228F4">
      <w:p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     In almost all cases where a US Patent has issued, a European Patent has also issued covering multiple European countries, in addition to patents in numerous non-European countries.</w:t>
      </w:r>
    </w:p>
    <w:p w:rsidR="00A510DB" w:rsidRPr="00720D5B" w:rsidRDefault="00A510DB" w:rsidP="00A510DB">
      <w:pPr>
        <w:rPr>
          <w:rFonts w:ascii="Arial" w:hAnsi="Arial" w:cs="Arial"/>
          <w:sz w:val="24"/>
          <w:szCs w:val="24"/>
        </w:rPr>
      </w:pPr>
    </w:p>
    <w:p w:rsidR="00A510DB" w:rsidRPr="00720D5B" w:rsidRDefault="00306071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Cardinal, J.R., Curatolo, W., and Ebert, C.; "Chitosan Compositions for Controlled and Prolonged Release of Macromolecules"; US patent #4,895,724.</w:t>
      </w:r>
    </w:p>
    <w:p w:rsidR="00306071" w:rsidRPr="00720D5B" w:rsidRDefault="00306071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and Lo, J.; "Gastric Retention System for Controlled Drug Release"; US Patent #5,002,772.</w:t>
      </w:r>
    </w:p>
    <w:p w:rsidR="00306071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and Lo, J.; "Gastric Retention System for Controlled Drug Release"; US Patent #5,443,843 (1995).</w:t>
      </w:r>
    </w:p>
    <w:p w:rsidR="007D593E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W.; "Dispensing Devices Powered by Hydrogel"; US Patent #5,516,527 (1996). (</w:t>
      </w:r>
      <w:proofErr w:type="spellStart"/>
      <w:r w:rsidRPr="00720D5B">
        <w:rPr>
          <w:rFonts w:ascii="Arial" w:hAnsi="Arial" w:cs="Arial"/>
          <w:sz w:val="24"/>
          <w:szCs w:val="24"/>
        </w:rPr>
        <w:t>Multiparticulate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 capsule)</w:t>
      </w:r>
    </w:p>
    <w:p w:rsidR="007D593E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W.; "Dispensing Devices Powered by Hydrogel"; US Patent #5,792,471 (1998). (Tablet)</w:t>
      </w:r>
    </w:p>
    <w:p w:rsidR="007D593E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W.; "Dispensing Devices Powered by </w:t>
      </w:r>
      <w:proofErr w:type="spellStart"/>
      <w:r w:rsidRPr="00720D5B">
        <w:rPr>
          <w:rFonts w:ascii="Arial" w:hAnsi="Arial" w:cs="Arial"/>
          <w:sz w:val="24"/>
          <w:szCs w:val="24"/>
        </w:rPr>
        <w:t>Lyotropic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 Liquid Crystals"; US Patent # 5,030,452.  </w:t>
      </w:r>
    </w:p>
    <w:p w:rsidR="007D593E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W.; "Dispensing Devices Powered by </w:t>
      </w:r>
      <w:proofErr w:type="spellStart"/>
      <w:r w:rsidRPr="00720D5B">
        <w:rPr>
          <w:rFonts w:ascii="Arial" w:hAnsi="Arial" w:cs="Arial"/>
          <w:sz w:val="24"/>
          <w:szCs w:val="24"/>
        </w:rPr>
        <w:t>Lyotropic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 Liquid Crystals"; US Patent #5,108,756.</w:t>
      </w:r>
    </w:p>
    <w:p w:rsidR="007D593E" w:rsidRPr="00720D5B" w:rsidRDefault="007D593E" w:rsidP="003060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Chandler, C., and Curatolo, W.; "Quaternary Ammonium Salts Derived from Chitosan"; </w:t>
      </w:r>
      <w:r w:rsidR="00230DDB" w:rsidRPr="00720D5B">
        <w:rPr>
          <w:rFonts w:ascii="Arial" w:hAnsi="Arial" w:cs="Arial"/>
          <w:sz w:val="24"/>
          <w:szCs w:val="24"/>
        </w:rPr>
        <w:t>European</w:t>
      </w:r>
      <w:r w:rsidRPr="00720D5B">
        <w:rPr>
          <w:rFonts w:ascii="Arial" w:hAnsi="Arial" w:cs="Arial"/>
          <w:sz w:val="24"/>
          <w:szCs w:val="24"/>
        </w:rPr>
        <w:t xml:space="preserve"> Patent 0552176B1;   Canadian Patent #2,092,401.</w:t>
      </w:r>
    </w:p>
    <w:p w:rsidR="00D616A3" w:rsidRPr="00720D5B" w:rsidRDefault="00D616A3" w:rsidP="00D616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Foulds, G., and Friedman, H.; "Method of Administering Azithromycin"; U.S. Patent # RE39</w:t>
      </w:r>
      <w:proofErr w:type="gramStart"/>
      <w:r w:rsidRPr="00720D5B">
        <w:rPr>
          <w:rFonts w:ascii="Arial" w:hAnsi="Arial" w:cs="Arial"/>
          <w:sz w:val="24"/>
          <w:szCs w:val="24"/>
        </w:rPr>
        <w:t>,149</w:t>
      </w:r>
      <w:proofErr w:type="gramEnd"/>
      <w:r w:rsidRPr="00720D5B">
        <w:rPr>
          <w:rFonts w:ascii="Arial" w:hAnsi="Arial" w:cs="Arial"/>
          <w:sz w:val="24"/>
          <w:szCs w:val="24"/>
        </w:rPr>
        <w:t>.  Reissue of US-5,605,889.</w:t>
      </w:r>
    </w:p>
    <w:p w:rsidR="00D616A3" w:rsidRPr="00720D5B" w:rsidRDefault="00D616A3" w:rsidP="00D616A3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Friedman, H., Korsmeyer, R., and </w:t>
      </w:r>
      <w:proofErr w:type="spellStart"/>
      <w:r w:rsidRPr="00720D5B">
        <w:rPr>
          <w:rFonts w:ascii="Arial" w:hAnsi="Arial" w:cs="Arial"/>
          <w:sz w:val="24"/>
          <w:szCs w:val="24"/>
        </w:rPr>
        <w:t>Lemott</w:t>
      </w:r>
      <w:proofErr w:type="spellEnd"/>
      <w:r w:rsidRPr="00720D5B">
        <w:rPr>
          <w:rFonts w:ascii="Arial" w:hAnsi="Arial" w:cs="Arial"/>
          <w:sz w:val="24"/>
          <w:szCs w:val="24"/>
        </w:rPr>
        <w:t>, S.; "Controlled Release Dosage Forms of Azithromycin"; US Patent #6,068,859.</w:t>
      </w:r>
    </w:p>
    <w:p w:rsidR="00D616A3" w:rsidRPr="00720D5B" w:rsidRDefault="00D616A3" w:rsidP="00D616A3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and Shanker, R.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Encapsulated Solution Dosage Forms of Sertraline”, European Patent EP-0980241B1 (issued 2003).</w:t>
      </w:r>
    </w:p>
    <w:p w:rsidR="004C7672" w:rsidRPr="00720D5B" w:rsidRDefault="004C7672" w:rsidP="004C7672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20D5B">
        <w:rPr>
          <w:rFonts w:ascii="Arial" w:hAnsi="Arial" w:cs="Arial"/>
          <w:sz w:val="24"/>
          <w:szCs w:val="24"/>
        </w:rPr>
        <w:t>amEnde</w:t>
      </w:r>
      <w:proofErr w:type="spellEnd"/>
      <w:proofErr w:type="gramEnd"/>
      <w:r w:rsidRPr="00720D5B">
        <w:rPr>
          <w:rFonts w:ascii="Arial" w:hAnsi="Arial" w:cs="Arial"/>
          <w:sz w:val="24"/>
          <w:szCs w:val="24"/>
        </w:rPr>
        <w:t xml:space="preserve">, M., Curatolo, W., Friedman, H., Friesen, D., Herbig, S.,  </w:t>
      </w:r>
      <w:proofErr w:type="spellStart"/>
      <w:r w:rsidRPr="00720D5B">
        <w:rPr>
          <w:rFonts w:ascii="Arial" w:hAnsi="Arial" w:cs="Arial"/>
          <w:sz w:val="24"/>
          <w:szCs w:val="24"/>
        </w:rPr>
        <w:t>Shanker,R</w:t>
      </w:r>
      <w:proofErr w:type="spellEnd"/>
      <w:r w:rsidRPr="00720D5B">
        <w:rPr>
          <w:rFonts w:ascii="Arial" w:hAnsi="Arial" w:cs="Arial"/>
          <w:sz w:val="24"/>
          <w:szCs w:val="24"/>
        </w:rPr>
        <w:t>., and West, J.;  “Sertraline Salts and Sustained-Release Dosage Forms of Sertraline”, US Patent #6,517,866.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and Friedman, H.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Delayed-Release Dosage Forms of Sertraline”, European Patent EP-1007024B1 (2003).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Herbig, S., and Nightingale, J.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Solid Pharmaceutical Dispersions with Enhanced Bioavailability”,  US Patent #8,263,128 (2012), EPO Patent EP-0901786B1  (HPMCAS spray-dried dispersion compositions).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lastRenderedPageBreak/>
        <w:t>Curatolo, W., Herbig, S., and Nightingale, J.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Solid Pharmaceutical Dispersions with Enhanced Bioavailability”,  US Patent #8,431,159B2 (2013)  (HPMCAS spray-dried dispersion compositions).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Herbig, S., and Nightingale, J.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Solid Pharmaceutical Dispersions with Enhanced Bioavailability”,  US Patent #8,257,741B2 (2012) (HPMCAS spray-dried dispersion manufacturing process).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Herbig, S., and Nightingale, J.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Solid Pharmaceutical Dispersions with Enhanced Bioavailability”,  US Patent #8,367,118B2 (HPMCAS/Surfactant spray-dried dispersion manufacturing process).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Herbig, S., and Nightingale, J.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Solid Pharmaceutical Dispersions with Enhanced Bioavailability”,  US Patent #8,337,899B2 (HPMCAS/Surfactant spray-dried dispersion manufacturing process).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Nightingale, J., Shanker, R., and Sutton, S.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Basic Drug Compositions with Enhanced Bioavailability”, US Patent #6,548,555.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Appel, L., Curatolo, W., Herbig, S., Nightingale, J., and Thombre, A.; “Controlled Release by Extrusion of Solid Amorphous Dispersions of Drugs”, US Patent </w:t>
      </w:r>
      <w:bookmarkStart w:id="0" w:name="_GoBack"/>
      <w:r w:rsidRPr="00720D5B">
        <w:rPr>
          <w:rFonts w:ascii="Arial" w:hAnsi="Arial" w:cs="Arial"/>
          <w:sz w:val="24"/>
          <w:szCs w:val="24"/>
        </w:rPr>
        <w:t>#6,706,283.</w:t>
      </w:r>
    </w:p>
    <w:bookmarkEnd w:id="0"/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Appel, L., Curatolo, W., Herbig, S., Nightingale, J., and Thombre, A.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Controlled Release by Extrusion of Solid Amorphous Dispersions of Drugs”, US Patent #7,550,158B2 (issued 2009).</w:t>
      </w:r>
    </w:p>
    <w:p w:rsidR="00B80097" w:rsidRPr="00720D5B" w:rsidRDefault="00B80097" w:rsidP="00B80097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Appel. L., Curatolo, W., Friesen, D., Nightingale, J., and Thombre, A.</w:t>
      </w:r>
      <w:proofErr w:type="gramStart"/>
      <w:r w:rsidRPr="00720D5B">
        <w:rPr>
          <w:rFonts w:ascii="Arial" w:hAnsi="Arial" w:cs="Arial"/>
          <w:sz w:val="24"/>
          <w:szCs w:val="24"/>
        </w:rPr>
        <w:t>;  “</w:t>
      </w:r>
      <w:proofErr w:type="gramEnd"/>
      <w:r w:rsidRPr="00720D5B">
        <w:rPr>
          <w:rFonts w:ascii="Arial" w:hAnsi="Arial" w:cs="Arial"/>
          <w:sz w:val="24"/>
          <w:szCs w:val="24"/>
        </w:rPr>
        <w:t>Controlled Release by Erosion of a Solid Dispersion of Drug in a Polymeric Matrix” (“Matrix Controlled Release Device”), European Patent EP-1</w:t>
      </w:r>
      <w:r w:rsidRPr="00720D5B">
        <w:rPr>
          <w:rFonts w:ascii="Arial" w:hAnsi="Arial" w:cs="Arial"/>
          <w:sz w:val="24"/>
          <w:szCs w:val="24"/>
        </w:rPr>
        <w:t>,</w:t>
      </w:r>
      <w:r w:rsidRPr="00720D5B">
        <w:rPr>
          <w:rFonts w:ascii="Arial" w:hAnsi="Arial" w:cs="Arial"/>
          <w:sz w:val="24"/>
          <w:szCs w:val="24"/>
        </w:rPr>
        <w:t>027</w:t>
      </w:r>
      <w:r w:rsidRPr="00720D5B">
        <w:rPr>
          <w:rFonts w:ascii="Arial" w:hAnsi="Arial" w:cs="Arial"/>
          <w:sz w:val="24"/>
          <w:szCs w:val="24"/>
        </w:rPr>
        <w:t>,887B1</w:t>
      </w:r>
      <w:r w:rsidRPr="00720D5B">
        <w:rPr>
          <w:rFonts w:ascii="Arial" w:hAnsi="Arial" w:cs="Arial"/>
          <w:sz w:val="24"/>
          <w:szCs w:val="24"/>
        </w:rPr>
        <w:t>.</w:t>
      </w:r>
    </w:p>
    <w:p w:rsidR="00720D5B" w:rsidRPr="00720D5B" w:rsidRDefault="00720D5B" w:rsidP="00720D5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Appel, L., </w:t>
      </w:r>
      <w:proofErr w:type="spellStart"/>
      <w:r w:rsidRPr="00720D5B">
        <w:rPr>
          <w:rFonts w:ascii="Arial" w:hAnsi="Arial" w:cs="Arial"/>
          <w:sz w:val="24"/>
          <w:szCs w:val="24"/>
        </w:rPr>
        <w:t>Beyerinck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720D5B">
        <w:rPr>
          <w:rFonts w:ascii="Arial" w:hAnsi="Arial" w:cs="Arial"/>
          <w:sz w:val="24"/>
          <w:szCs w:val="24"/>
        </w:rPr>
        <w:t>Chidlaw</w:t>
      </w:r>
      <w:proofErr w:type="spellEnd"/>
      <w:r w:rsidRPr="00720D5B">
        <w:rPr>
          <w:rFonts w:ascii="Arial" w:hAnsi="Arial" w:cs="Arial"/>
          <w:sz w:val="24"/>
          <w:szCs w:val="24"/>
        </w:rPr>
        <w:t>, M., Curatolo, W., Friesen, D., Smith, K., and Thombre, A.; “Hydrogel-Driven Drug Dosage Form”, US Patent #9,028,870B2.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</w:t>
      </w:r>
      <w:proofErr w:type="spellStart"/>
      <w:r w:rsidRPr="00720D5B">
        <w:rPr>
          <w:rFonts w:ascii="Arial" w:hAnsi="Arial" w:cs="Arial"/>
          <w:sz w:val="24"/>
          <w:szCs w:val="24"/>
        </w:rPr>
        <w:t>Fergione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, M., </w:t>
      </w:r>
      <w:proofErr w:type="gramStart"/>
      <w:r w:rsidRPr="00720D5B">
        <w:rPr>
          <w:rFonts w:ascii="Arial" w:hAnsi="Arial" w:cs="Arial"/>
          <w:sz w:val="24"/>
          <w:szCs w:val="24"/>
        </w:rPr>
        <w:t>Roy.,</w:t>
      </w:r>
      <w:proofErr w:type="gramEnd"/>
      <w:r w:rsidRPr="00720D5B">
        <w:rPr>
          <w:rFonts w:ascii="Arial" w:hAnsi="Arial" w:cs="Arial"/>
          <w:sz w:val="24"/>
          <w:szCs w:val="24"/>
        </w:rPr>
        <w:t xml:space="preserve"> M., Thombre, A., Waterman, K., Appel, L., </w:t>
      </w:r>
      <w:proofErr w:type="spellStart"/>
      <w:r w:rsidRPr="00720D5B">
        <w:rPr>
          <w:rFonts w:ascii="Arial" w:hAnsi="Arial" w:cs="Arial"/>
          <w:sz w:val="24"/>
          <w:szCs w:val="24"/>
        </w:rPr>
        <w:t>Beyerinck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720D5B">
        <w:rPr>
          <w:rFonts w:ascii="Arial" w:hAnsi="Arial" w:cs="Arial"/>
          <w:sz w:val="24"/>
          <w:szCs w:val="24"/>
        </w:rPr>
        <w:t>Chidlaw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, M., Friesen, D.,  and </w:t>
      </w:r>
      <w:proofErr w:type="spellStart"/>
      <w:r w:rsidRPr="00720D5B">
        <w:rPr>
          <w:rFonts w:ascii="Arial" w:hAnsi="Arial" w:cs="Arial"/>
          <w:sz w:val="24"/>
          <w:szCs w:val="24"/>
        </w:rPr>
        <w:t>Supplee</w:t>
      </w:r>
      <w:proofErr w:type="spellEnd"/>
      <w:r w:rsidRPr="00720D5B">
        <w:rPr>
          <w:rFonts w:ascii="Arial" w:hAnsi="Arial" w:cs="Arial"/>
          <w:sz w:val="24"/>
          <w:szCs w:val="24"/>
        </w:rPr>
        <w:t>, D.; “Hydrogel-Driven Layered Drug Dosage Form” (Sertraline), US Patent #6,899,896.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Shanker, R., Babcock, W., Friesen, D., Nightingale, J., Lorenz, D.; “Pharmaceutical Compositions Providing Enhanced Drug Concentrations”, US Patent 8,026,286B2.  (High-solubility salt physical mixture with </w:t>
      </w:r>
      <w:proofErr w:type="gramStart"/>
      <w:r w:rsidRPr="00720D5B">
        <w:rPr>
          <w:rFonts w:ascii="Arial" w:hAnsi="Arial" w:cs="Arial"/>
          <w:sz w:val="24"/>
          <w:szCs w:val="24"/>
        </w:rPr>
        <w:t>specific  concentration</w:t>
      </w:r>
      <w:proofErr w:type="gramEnd"/>
      <w:r w:rsidRPr="00720D5B">
        <w:rPr>
          <w:rFonts w:ascii="Arial" w:hAnsi="Arial" w:cs="Arial"/>
          <w:sz w:val="24"/>
          <w:szCs w:val="24"/>
        </w:rPr>
        <w:t>-enhancing polymers). (Issued Sept. 27, 2011)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Shanker, R., Babcock, W., Friesen, D., Lorenz, D., Nightingale, J.; “Pharmaceutical Compositions Providing Enhanced Drug Concentrations”, US Patent 8,202,912B2 (High-solubility salt physical mixture with </w:t>
      </w:r>
      <w:proofErr w:type="gramStart"/>
      <w:r w:rsidRPr="00720D5B">
        <w:rPr>
          <w:rFonts w:ascii="Arial" w:hAnsi="Arial" w:cs="Arial"/>
          <w:sz w:val="24"/>
          <w:szCs w:val="24"/>
        </w:rPr>
        <w:t>specific  concentration</w:t>
      </w:r>
      <w:proofErr w:type="gramEnd"/>
      <w:r w:rsidRPr="00720D5B">
        <w:rPr>
          <w:rFonts w:ascii="Arial" w:hAnsi="Arial" w:cs="Arial"/>
          <w:sz w:val="24"/>
          <w:szCs w:val="24"/>
        </w:rPr>
        <w:t>-enhancing polymers). (Issued June 19, 2012)</w:t>
      </w:r>
    </w:p>
    <w:p w:rsidR="002D7239" w:rsidRPr="00720D5B" w:rsidRDefault="002D7239" w:rsidP="002D7239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lastRenderedPageBreak/>
        <w:t xml:space="preserve">Curatolo, W., Shanker, R., Babcock, W., Friesen, D., Lorenz, D., Nightingale, J.; “Pharmaceutical Compositions Providing Enhanced Drug Concentrations”, US Patent 8,501,231B2 (High-energy drug crystalline form physical mixture with </w:t>
      </w:r>
      <w:proofErr w:type="gramStart"/>
      <w:r w:rsidRPr="00720D5B">
        <w:rPr>
          <w:rFonts w:ascii="Arial" w:hAnsi="Arial" w:cs="Arial"/>
          <w:sz w:val="24"/>
          <w:szCs w:val="24"/>
        </w:rPr>
        <w:t>specific  concentration</w:t>
      </w:r>
      <w:proofErr w:type="gramEnd"/>
      <w:r w:rsidRPr="00720D5B">
        <w:rPr>
          <w:rFonts w:ascii="Arial" w:hAnsi="Arial" w:cs="Arial"/>
          <w:sz w:val="24"/>
          <w:szCs w:val="24"/>
        </w:rPr>
        <w:t>-enhancing polymers). (Issued August 6, 2013)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Friesen, D., </w:t>
      </w:r>
      <w:proofErr w:type="spellStart"/>
      <w:r w:rsidRPr="00720D5B">
        <w:rPr>
          <w:rFonts w:ascii="Arial" w:hAnsi="Arial" w:cs="Arial"/>
          <w:sz w:val="24"/>
          <w:szCs w:val="24"/>
        </w:rPr>
        <w:t>Gumkowski</w:t>
      </w:r>
      <w:proofErr w:type="spellEnd"/>
      <w:r w:rsidRPr="00720D5B">
        <w:rPr>
          <w:rFonts w:ascii="Arial" w:hAnsi="Arial" w:cs="Arial"/>
          <w:sz w:val="24"/>
          <w:szCs w:val="24"/>
        </w:rPr>
        <w:t>, M., Lorenz, D., Nightingale, J., Ruggeri, R., and Shanker, R.  “Pharmaceutical Compositions of Cholesterol Ester Transfer Protein Inhibitor”, US Patent #7,115,279B2.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Friesen, D., </w:t>
      </w:r>
      <w:proofErr w:type="spellStart"/>
      <w:r w:rsidRPr="00720D5B">
        <w:rPr>
          <w:rFonts w:ascii="Arial" w:hAnsi="Arial" w:cs="Arial"/>
          <w:sz w:val="24"/>
          <w:szCs w:val="24"/>
        </w:rPr>
        <w:t>Gumkowski</w:t>
      </w:r>
      <w:proofErr w:type="spellEnd"/>
      <w:r w:rsidRPr="00720D5B">
        <w:rPr>
          <w:rFonts w:ascii="Arial" w:hAnsi="Arial" w:cs="Arial"/>
          <w:sz w:val="24"/>
          <w:szCs w:val="24"/>
        </w:rPr>
        <w:t>, M., Lorenz, D., Nightingale, J., Ruggeri, R., and Shanker, R.  “Pharmaceutical Compositions of Cholesterol Ester Transfer Protein Inhibitor”, US Patent #8,048,452B2.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Crew, M., </w:t>
      </w:r>
      <w:proofErr w:type="spellStart"/>
      <w:r w:rsidRPr="00720D5B">
        <w:rPr>
          <w:rFonts w:ascii="Arial" w:hAnsi="Arial" w:cs="Arial"/>
          <w:sz w:val="24"/>
          <w:szCs w:val="24"/>
        </w:rPr>
        <w:t>Curatolo</w:t>
      </w:r>
      <w:proofErr w:type="gramStart"/>
      <w:r w:rsidRPr="00720D5B">
        <w:rPr>
          <w:rFonts w:ascii="Arial" w:hAnsi="Arial" w:cs="Arial"/>
          <w:sz w:val="24"/>
          <w:szCs w:val="24"/>
        </w:rPr>
        <w:t>,W</w:t>
      </w:r>
      <w:proofErr w:type="spellEnd"/>
      <w:proofErr w:type="gramEnd"/>
      <w:r w:rsidRPr="00720D5B">
        <w:rPr>
          <w:rFonts w:ascii="Arial" w:hAnsi="Arial" w:cs="Arial"/>
          <w:sz w:val="24"/>
          <w:szCs w:val="24"/>
        </w:rPr>
        <w:t xml:space="preserve">., Friesen, D., </w:t>
      </w:r>
      <w:proofErr w:type="spellStart"/>
      <w:r w:rsidRPr="00720D5B">
        <w:rPr>
          <w:rFonts w:ascii="Arial" w:hAnsi="Arial" w:cs="Arial"/>
          <w:sz w:val="24"/>
          <w:szCs w:val="24"/>
        </w:rPr>
        <w:t>Gumkowski</w:t>
      </w:r>
      <w:proofErr w:type="spellEnd"/>
      <w:r w:rsidRPr="00720D5B">
        <w:rPr>
          <w:rFonts w:ascii="Arial" w:hAnsi="Arial" w:cs="Arial"/>
          <w:sz w:val="24"/>
          <w:szCs w:val="24"/>
        </w:rPr>
        <w:t>, M., Lorenz, D., Nightingale, J., Ruggeri, R., Shanker, R.  “Pharmaceutical Compositions of Cholesterol Ester Transfer Protein Inhibitors”</w:t>
      </w:r>
      <w:proofErr w:type="gramStart"/>
      <w:r w:rsidRPr="00720D5B">
        <w:rPr>
          <w:rFonts w:ascii="Arial" w:hAnsi="Arial" w:cs="Arial"/>
          <w:sz w:val="24"/>
          <w:szCs w:val="24"/>
        </w:rPr>
        <w:t>,  US</w:t>
      </w:r>
      <w:proofErr w:type="gramEnd"/>
      <w:r w:rsidRPr="00720D5B">
        <w:rPr>
          <w:rFonts w:ascii="Arial" w:hAnsi="Arial" w:cs="Arial"/>
          <w:sz w:val="24"/>
          <w:szCs w:val="24"/>
        </w:rPr>
        <w:t xml:space="preserve"> Patent#7,235,259B2.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Crew, M., </w:t>
      </w:r>
      <w:proofErr w:type="spellStart"/>
      <w:r w:rsidRPr="00720D5B">
        <w:rPr>
          <w:rFonts w:ascii="Arial" w:hAnsi="Arial" w:cs="Arial"/>
          <w:sz w:val="24"/>
          <w:szCs w:val="24"/>
        </w:rPr>
        <w:t>Curatolo</w:t>
      </w:r>
      <w:proofErr w:type="gramStart"/>
      <w:r w:rsidRPr="00720D5B">
        <w:rPr>
          <w:rFonts w:ascii="Arial" w:hAnsi="Arial" w:cs="Arial"/>
          <w:sz w:val="24"/>
          <w:szCs w:val="24"/>
        </w:rPr>
        <w:t>,W</w:t>
      </w:r>
      <w:proofErr w:type="spellEnd"/>
      <w:proofErr w:type="gramEnd"/>
      <w:r w:rsidRPr="00720D5B">
        <w:rPr>
          <w:rFonts w:ascii="Arial" w:hAnsi="Arial" w:cs="Arial"/>
          <w:sz w:val="24"/>
          <w:szCs w:val="24"/>
        </w:rPr>
        <w:t xml:space="preserve">., Friesen, D., </w:t>
      </w:r>
      <w:proofErr w:type="spellStart"/>
      <w:r w:rsidRPr="00720D5B">
        <w:rPr>
          <w:rFonts w:ascii="Arial" w:hAnsi="Arial" w:cs="Arial"/>
          <w:sz w:val="24"/>
          <w:szCs w:val="24"/>
        </w:rPr>
        <w:t>Gumkowski</w:t>
      </w:r>
      <w:proofErr w:type="spellEnd"/>
      <w:r w:rsidRPr="00720D5B">
        <w:rPr>
          <w:rFonts w:ascii="Arial" w:hAnsi="Arial" w:cs="Arial"/>
          <w:sz w:val="24"/>
          <w:szCs w:val="24"/>
        </w:rPr>
        <w:t>, M., Lorenz, D., Nightingale, J., Ruggeri, R., Shanker, R.  “Pharmaceutical Compositions of Cholesterol Ester Transfer Protein Inhibitors”</w:t>
      </w:r>
      <w:proofErr w:type="gramStart"/>
      <w:r w:rsidRPr="00720D5B">
        <w:rPr>
          <w:rFonts w:ascii="Arial" w:hAnsi="Arial" w:cs="Arial"/>
          <w:sz w:val="24"/>
          <w:szCs w:val="24"/>
        </w:rPr>
        <w:t>,  US</w:t>
      </w:r>
      <w:proofErr w:type="gramEnd"/>
      <w:r w:rsidRPr="00720D5B">
        <w:rPr>
          <w:rFonts w:ascii="Arial" w:hAnsi="Arial" w:cs="Arial"/>
          <w:sz w:val="24"/>
          <w:szCs w:val="24"/>
        </w:rPr>
        <w:t xml:space="preserve"> Patent#8,197,848B2 (solid extrusion method).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Crew, M., </w:t>
      </w:r>
      <w:proofErr w:type="spellStart"/>
      <w:r w:rsidRPr="00720D5B">
        <w:rPr>
          <w:rFonts w:ascii="Arial" w:hAnsi="Arial" w:cs="Arial"/>
          <w:sz w:val="24"/>
          <w:szCs w:val="24"/>
        </w:rPr>
        <w:t>Curatolo</w:t>
      </w:r>
      <w:proofErr w:type="gramStart"/>
      <w:r w:rsidRPr="00720D5B">
        <w:rPr>
          <w:rFonts w:ascii="Arial" w:hAnsi="Arial" w:cs="Arial"/>
          <w:sz w:val="24"/>
          <w:szCs w:val="24"/>
        </w:rPr>
        <w:t>,W</w:t>
      </w:r>
      <w:proofErr w:type="spellEnd"/>
      <w:proofErr w:type="gramEnd"/>
      <w:r w:rsidRPr="00720D5B">
        <w:rPr>
          <w:rFonts w:ascii="Arial" w:hAnsi="Arial" w:cs="Arial"/>
          <w:sz w:val="24"/>
          <w:szCs w:val="24"/>
        </w:rPr>
        <w:t xml:space="preserve">., Friesen, D., </w:t>
      </w:r>
      <w:proofErr w:type="spellStart"/>
      <w:r w:rsidRPr="00720D5B">
        <w:rPr>
          <w:rFonts w:ascii="Arial" w:hAnsi="Arial" w:cs="Arial"/>
          <w:sz w:val="24"/>
          <w:szCs w:val="24"/>
        </w:rPr>
        <w:t>Gumkowski</w:t>
      </w:r>
      <w:proofErr w:type="spellEnd"/>
      <w:r w:rsidRPr="00720D5B">
        <w:rPr>
          <w:rFonts w:ascii="Arial" w:hAnsi="Arial" w:cs="Arial"/>
          <w:sz w:val="24"/>
          <w:szCs w:val="24"/>
        </w:rPr>
        <w:t>, M., Lorenz, D., Nightingale, J., Ruggeri, R., Shanker, R.  “Pharmaceutical Compositions of Cholesterol Ester Transfer Protein Inhibitors”</w:t>
      </w:r>
      <w:proofErr w:type="gramStart"/>
      <w:r w:rsidRPr="00720D5B">
        <w:rPr>
          <w:rFonts w:ascii="Arial" w:hAnsi="Arial" w:cs="Arial"/>
          <w:sz w:val="24"/>
          <w:szCs w:val="24"/>
        </w:rPr>
        <w:t>,  US</w:t>
      </w:r>
      <w:proofErr w:type="gramEnd"/>
      <w:r w:rsidRPr="00720D5B">
        <w:rPr>
          <w:rFonts w:ascii="Arial" w:hAnsi="Arial" w:cs="Arial"/>
          <w:sz w:val="24"/>
          <w:szCs w:val="24"/>
        </w:rPr>
        <w:t xml:space="preserve"> Patent#8,389,011B2 (spray drying  method).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and Foulds, G.  “Method of Increasing the Bioavailability and Tissue Penetration of Azithromycin” (Azithromycin/</w:t>
      </w:r>
      <w:proofErr w:type="spellStart"/>
      <w:r w:rsidRPr="00720D5B">
        <w:rPr>
          <w:rFonts w:ascii="Arial" w:hAnsi="Arial" w:cs="Arial"/>
          <w:sz w:val="24"/>
          <w:szCs w:val="24"/>
        </w:rPr>
        <w:t>Nelfinavir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 Combination), European Patent EP-1127580B1 (issued 2006).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20D5B">
        <w:rPr>
          <w:rFonts w:ascii="Arial" w:hAnsi="Arial" w:cs="Arial"/>
          <w:sz w:val="24"/>
          <w:szCs w:val="24"/>
        </w:rPr>
        <w:t>AmEnde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, M., Curatolo, W., and Herbig, S.  “Sustained Release Formulations for Growth Hormone </w:t>
      </w:r>
      <w:proofErr w:type="spellStart"/>
      <w:r w:rsidRPr="00720D5B">
        <w:rPr>
          <w:rFonts w:ascii="Arial" w:hAnsi="Arial" w:cs="Arial"/>
          <w:sz w:val="24"/>
          <w:szCs w:val="24"/>
        </w:rPr>
        <w:t>Secretagogues</w:t>
      </w:r>
      <w:proofErr w:type="spellEnd"/>
      <w:r w:rsidRPr="00720D5B">
        <w:rPr>
          <w:rFonts w:ascii="Arial" w:hAnsi="Arial" w:cs="Arial"/>
          <w:sz w:val="24"/>
          <w:szCs w:val="24"/>
        </w:rPr>
        <w:t>”, US Patent #6,641,840.</w:t>
      </w:r>
    </w:p>
    <w:p w:rsidR="00F868FB" w:rsidRPr="00720D5B" w:rsidRDefault="00F868FB" w:rsidP="00F868FB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Babcock, W., Curatolo, W., Friesen, D., Ketner, R., Lo, J., Nightingale, J., Shanker, R., and West, B.  “Pharmaceutical Compositions of Dispersions of Amorphous Drugs Mixed with Polymers”</w:t>
      </w:r>
      <w:proofErr w:type="gramStart"/>
      <w:r w:rsidRPr="00720D5B">
        <w:rPr>
          <w:rFonts w:ascii="Arial" w:hAnsi="Arial" w:cs="Arial"/>
          <w:sz w:val="24"/>
          <w:szCs w:val="24"/>
        </w:rPr>
        <w:t>,  US</w:t>
      </w:r>
      <w:proofErr w:type="gramEnd"/>
      <w:r w:rsidRPr="00720D5B">
        <w:rPr>
          <w:rFonts w:ascii="Arial" w:hAnsi="Arial" w:cs="Arial"/>
          <w:sz w:val="24"/>
          <w:szCs w:val="24"/>
        </w:rPr>
        <w:t xml:space="preserve"> Patent #8,236,328B2.</w:t>
      </w:r>
    </w:p>
    <w:p w:rsidR="00E21486" w:rsidRPr="00720D5B" w:rsidRDefault="00E21486" w:rsidP="00E21486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W, and Friesen, D.  “Pharmaceutical Compositions Comprising Drug and Concentration-Enhancing Polymers”, US Patent 7,887,840B2 (issued 2011).</w:t>
      </w:r>
    </w:p>
    <w:p w:rsidR="00E21486" w:rsidRPr="00720D5B" w:rsidRDefault="00E21486" w:rsidP="00E21486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 xml:space="preserve">Curatolo, W., and Sutton, S, and Appel, L.  “Controlled Release Pharmaceutical Dosage Forms of a </w:t>
      </w:r>
      <w:proofErr w:type="spellStart"/>
      <w:r w:rsidRPr="00720D5B">
        <w:rPr>
          <w:rFonts w:ascii="Arial" w:hAnsi="Arial" w:cs="Arial"/>
          <w:sz w:val="24"/>
          <w:szCs w:val="24"/>
        </w:rPr>
        <w:t>Cholesteryl</w:t>
      </w:r>
      <w:proofErr w:type="spellEnd"/>
      <w:r w:rsidRPr="00720D5B">
        <w:rPr>
          <w:rFonts w:ascii="Arial" w:hAnsi="Arial" w:cs="Arial"/>
          <w:sz w:val="24"/>
          <w:szCs w:val="24"/>
        </w:rPr>
        <w:t xml:space="preserve"> Ester Transfer Protein Inhibitor”, </w:t>
      </w:r>
      <w:r w:rsidR="00ED63AB" w:rsidRPr="00720D5B">
        <w:rPr>
          <w:rFonts w:ascii="Arial" w:hAnsi="Arial" w:cs="Arial"/>
          <w:sz w:val="24"/>
          <w:szCs w:val="24"/>
        </w:rPr>
        <w:t xml:space="preserve">European </w:t>
      </w:r>
      <w:r w:rsidRPr="00720D5B">
        <w:rPr>
          <w:rFonts w:ascii="Arial" w:hAnsi="Arial" w:cs="Arial"/>
          <w:sz w:val="24"/>
          <w:szCs w:val="24"/>
        </w:rPr>
        <w:t>Patent EP-1474144B1 (issued 2008).</w:t>
      </w:r>
    </w:p>
    <w:p w:rsidR="00E21486" w:rsidRPr="00720D5B" w:rsidRDefault="00E21486" w:rsidP="00E21486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20D5B">
        <w:rPr>
          <w:rFonts w:ascii="Arial" w:hAnsi="Arial" w:cs="Arial"/>
          <w:sz w:val="24"/>
          <w:szCs w:val="24"/>
        </w:rPr>
        <w:t>Curatolo, W., Friedman, H., Korsmeyer, R., and LeMott, S.  “Controlled-Release Dosage Forms of Azithromycin”.  US Patent 7,108,865 (issued 2006).</w:t>
      </w:r>
    </w:p>
    <w:p w:rsidR="00D616A3" w:rsidRPr="00720D5B" w:rsidRDefault="00D616A3" w:rsidP="00E21486">
      <w:pPr>
        <w:pStyle w:val="ListParagraph"/>
        <w:rPr>
          <w:rFonts w:ascii="Arial" w:hAnsi="Arial" w:cs="Arial"/>
          <w:sz w:val="24"/>
          <w:szCs w:val="24"/>
        </w:rPr>
      </w:pPr>
    </w:p>
    <w:p w:rsidR="00E21486" w:rsidRPr="00720D5B" w:rsidRDefault="00E21486" w:rsidP="00E21486">
      <w:pPr>
        <w:pStyle w:val="ListParagraph"/>
        <w:rPr>
          <w:rFonts w:ascii="Arial" w:hAnsi="Arial" w:cs="Arial"/>
          <w:sz w:val="24"/>
          <w:szCs w:val="24"/>
        </w:rPr>
      </w:pPr>
    </w:p>
    <w:sectPr w:rsidR="00E21486" w:rsidRPr="0072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7A"/>
    <w:multiLevelType w:val="singleLevel"/>
    <w:tmpl w:val="61E4F8A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eneva" w:hAnsi="Geneva" w:hint="default"/>
        <w:b w:val="0"/>
        <w:i w:val="0"/>
        <w:sz w:val="24"/>
        <w:u w:val="none"/>
      </w:rPr>
    </w:lvl>
  </w:abstractNum>
  <w:abstractNum w:abstractNumId="1">
    <w:nsid w:val="218A5446"/>
    <w:multiLevelType w:val="hybridMultilevel"/>
    <w:tmpl w:val="C560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7BC0"/>
    <w:multiLevelType w:val="hybridMultilevel"/>
    <w:tmpl w:val="1DEA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7BEA"/>
    <w:multiLevelType w:val="hybridMultilevel"/>
    <w:tmpl w:val="BD72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4615"/>
    <w:multiLevelType w:val="hybridMultilevel"/>
    <w:tmpl w:val="BBB4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Geneva" w:hAnsi="Geneva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F4"/>
    <w:rsid w:val="00230DDB"/>
    <w:rsid w:val="002D7239"/>
    <w:rsid w:val="002E530D"/>
    <w:rsid w:val="00306071"/>
    <w:rsid w:val="004C7672"/>
    <w:rsid w:val="00720D5B"/>
    <w:rsid w:val="007D593E"/>
    <w:rsid w:val="00A510DB"/>
    <w:rsid w:val="00B72477"/>
    <w:rsid w:val="00B80097"/>
    <w:rsid w:val="00D616A3"/>
    <w:rsid w:val="00E21486"/>
    <w:rsid w:val="00ED63AB"/>
    <w:rsid w:val="00F228F4"/>
    <w:rsid w:val="00F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CA71-692F-49EF-87D0-C6CDCCE1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2015-08-26T17:06:00Z</cp:lastPrinted>
  <dcterms:created xsi:type="dcterms:W3CDTF">2015-08-26T14:28:00Z</dcterms:created>
  <dcterms:modified xsi:type="dcterms:W3CDTF">2015-08-26T17:24:00Z</dcterms:modified>
</cp:coreProperties>
</file>