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20" w:rsidRDefault="00995C7E">
      <w:pPr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  <w:shd w:val="clear" w:color="auto" w:fill="FFFFFF"/>
        </w:rPr>
      </w:pPr>
      <w:r w:rsidRPr="00960E20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  <w:shd w:val="clear" w:color="auto" w:fill="FFFFFF"/>
        </w:rPr>
        <w:t xml:space="preserve">By vote of the membership in a special meeting on December 11, 2021, </w:t>
      </w:r>
    </w:p>
    <w:p w:rsidR="006A4D5B" w:rsidRPr="006A4D5B" w:rsidRDefault="00995C7E" w:rsidP="006A4D5B">
      <w:pPr>
        <w:spacing w:after="0" w:line="240" w:lineRule="auto"/>
        <w:jc w:val="center"/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</w:pPr>
      <w:r w:rsidRPr="006A4D5B"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  <w:t>Bylaw</w:t>
      </w:r>
      <w:r w:rsidR="00960E20" w:rsidRPr="006A4D5B"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  <w:t>s</w:t>
      </w:r>
    </w:p>
    <w:p w:rsidR="006A4D5B" w:rsidRPr="006A4D5B" w:rsidRDefault="00960E20" w:rsidP="006A4D5B">
      <w:pPr>
        <w:spacing w:after="0" w:line="240" w:lineRule="auto"/>
        <w:jc w:val="center"/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</w:pPr>
      <w:proofErr w:type="gramStart"/>
      <w:r w:rsidRPr="006A4D5B"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  <w:t>of</w:t>
      </w:r>
      <w:proofErr w:type="gramEnd"/>
    </w:p>
    <w:p w:rsidR="006A4D5B" w:rsidRPr="006A4D5B" w:rsidRDefault="00960E20" w:rsidP="006A4D5B">
      <w:pPr>
        <w:spacing w:after="0" w:line="240" w:lineRule="auto"/>
        <w:jc w:val="center"/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</w:pPr>
      <w:r w:rsidRPr="006A4D5B"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  <w:t>Ghost River Ranch</w:t>
      </w:r>
    </w:p>
    <w:p w:rsidR="00960E20" w:rsidRPr="006A4D5B" w:rsidRDefault="00960E20" w:rsidP="006A4D5B">
      <w:pPr>
        <w:spacing w:after="0" w:line="240" w:lineRule="auto"/>
        <w:jc w:val="center"/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</w:pPr>
      <w:r w:rsidRPr="006A4D5B"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  <w:t>Property Owners Association</w:t>
      </w:r>
    </w:p>
    <w:p w:rsidR="006A4D5B" w:rsidRDefault="006A4D5B" w:rsidP="00960E20">
      <w:pPr>
        <w:spacing w:after="0" w:line="240" w:lineRule="auto"/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</w:pPr>
    </w:p>
    <w:p w:rsidR="006A4D5B" w:rsidRDefault="006A4D5B" w:rsidP="00960E20">
      <w:pPr>
        <w:spacing w:after="0" w:line="240" w:lineRule="auto"/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</w:pPr>
    </w:p>
    <w:p w:rsidR="00960E20" w:rsidRPr="006A4D5B" w:rsidRDefault="00960E20" w:rsidP="00960E20">
      <w:pPr>
        <w:spacing w:after="0" w:line="240" w:lineRule="auto"/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</w:pPr>
      <w:r w:rsidRPr="006A4D5B"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  <w:t>ARTICLE III</w:t>
      </w:r>
    </w:p>
    <w:p w:rsidR="00960E20" w:rsidRPr="006A4D5B" w:rsidRDefault="00960E20" w:rsidP="00960E20">
      <w:pPr>
        <w:spacing w:after="0" w:line="240" w:lineRule="auto"/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</w:pPr>
      <w:r w:rsidRPr="006A4D5B"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  <w:t>Board of Directors; Selection; Term of Office</w:t>
      </w:r>
    </w:p>
    <w:p w:rsidR="00960E20" w:rsidRPr="006A4D5B" w:rsidRDefault="00960E20" w:rsidP="00960E20">
      <w:pPr>
        <w:spacing w:after="0" w:line="240" w:lineRule="auto"/>
        <w:ind w:firstLine="720"/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</w:pPr>
      <w:r w:rsidRPr="006A4D5B"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  <w:t>Section</w:t>
      </w:r>
      <w:r w:rsidR="00995C7E" w:rsidRPr="006A4D5B"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  <w:t xml:space="preserve"> 3.1 </w:t>
      </w:r>
      <w:r w:rsidRPr="006A4D5B">
        <w:rPr>
          <w:rFonts w:asciiTheme="majorHAnsi" w:eastAsia="Malgun Gothic Semilight" w:hAnsiTheme="majorHAnsi" w:cs="Malgun Gothic Semilight"/>
          <w:b/>
          <w:color w:val="000000"/>
          <w:sz w:val="28"/>
          <w:szCs w:val="28"/>
          <w:shd w:val="clear" w:color="auto" w:fill="FFFFFF"/>
        </w:rPr>
        <w:t>Number</w:t>
      </w:r>
    </w:p>
    <w:p w:rsidR="006A4D5B" w:rsidRDefault="006A4D5B" w:rsidP="00960E20">
      <w:pPr>
        <w:spacing w:after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  <w:shd w:val="clear" w:color="auto" w:fill="FFFFFF"/>
        </w:rPr>
      </w:pPr>
    </w:p>
    <w:p w:rsidR="00960E20" w:rsidRPr="00960E20" w:rsidRDefault="00995C7E" w:rsidP="00960E20">
      <w:pPr>
        <w:spacing w:after="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  <w:shd w:val="clear" w:color="auto" w:fill="FFFFFF"/>
        </w:rPr>
      </w:pPr>
      <w:proofErr w:type="gramStart"/>
      <w:r w:rsidRPr="00960E20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  <w:shd w:val="clear" w:color="auto" w:fill="FFFFFF"/>
        </w:rPr>
        <w:t>is</w:t>
      </w:r>
      <w:proofErr w:type="gramEnd"/>
      <w:r w:rsidRPr="00960E20"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  <w:shd w:val="clear" w:color="auto" w:fill="FFFFFF"/>
        </w:rPr>
        <w:t xml:space="preserve"> amended to read, </w:t>
      </w:r>
    </w:p>
    <w:p w:rsidR="00960E20" w:rsidRDefault="00960E20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5A2165" w:rsidRPr="006A4D5B" w:rsidRDefault="00995C7E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A4D5B">
        <w:rPr>
          <w:rFonts w:cstheme="minorHAnsi"/>
          <w:color w:val="000000"/>
          <w:sz w:val="28"/>
          <w:szCs w:val="28"/>
          <w:shd w:val="clear" w:color="auto" w:fill="FFFFFF"/>
        </w:rPr>
        <w:t>The affairs of this Association shall be managed by a Board of not </w:t>
      </w:r>
      <w:r w:rsidRPr="006A4D5B"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>less</w:t>
      </w:r>
      <w:r w:rsidRPr="006A4D5B">
        <w:rPr>
          <w:rFonts w:cstheme="minorHAnsi"/>
          <w:color w:val="000000"/>
          <w:sz w:val="28"/>
          <w:szCs w:val="28"/>
          <w:shd w:val="clear" w:color="auto" w:fill="FFFFFF"/>
        </w:rPr>
        <w:t> than three (3) directors who shall be members </w:t>
      </w:r>
      <w:r w:rsidRPr="006A4D5B"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>in good standing (current on all dues/assessments and fully compliant with Articles, Bylaws, Covenants and Plats)</w:t>
      </w:r>
      <w:r w:rsidRPr="006A4D5B">
        <w:rPr>
          <w:rFonts w:cstheme="minorHAnsi"/>
          <w:color w:val="000000"/>
          <w:sz w:val="28"/>
          <w:szCs w:val="28"/>
          <w:shd w:val="clear" w:color="auto" w:fill="FFFFFF"/>
        </w:rPr>
        <w:t> of the Association. In the case of members who are family entities, an officer or director, as applicable, may act as a member of the Board of Directors.</w:t>
      </w:r>
    </w:p>
    <w:p w:rsidR="00960E20" w:rsidRDefault="00960E20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960E20" w:rsidRPr="00960E20" w:rsidRDefault="00960E20" w:rsidP="00960E20">
      <w:pPr>
        <w:spacing w:after="0" w:line="240" w:lineRule="auto"/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960E20"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James E. Blackmon</w:t>
      </w:r>
    </w:p>
    <w:p w:rsidR="00960E20" w:rsidRPr="00960E20" w:rsidRDefault="00960E20" w:rsidP="00960E20">
      <w:pPr>
        <w:spacing w:after="0" w:line="240" w:lineRule="auto"/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960E20"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President</w:t>
      </w:r>
    </w:p>
    <w:p w:rsidR="00960E20" w:rsidRPr="00960E20" w:rsidRDefault="00960E20" w:rsidP="00960E20">
      <w:pPr>
        <w:spacing w:after="0" w:line="240" w:lineRule="auto"/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960E20"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Board of Directors</w:t>
      </w:r>
    </w:p>
    <w:p w:rsidR="00960E20" w:rsidRPr="00960E20" w:rsidRDefault="00960E20" w:rsidP="00960E20">
      <w:pPr>
        <w:spacing w:after="0" w:line="240" w:lineRule="auto"/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960E20">
        <w:rPr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Ghost River Ranch Property Owners Association</w:t>
      </w:r>
    </w:p>
    <w:p w:rsidR="00960E20" w:rsidRDefault="00960E20" w:rsidP="00960E20">
      <w:pPr>
        <w:spacing w:after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960E20" w:rsidRPr="006A4D5B" w:rsidRDefault="00960E20">
      <w:pPr>
        <w:rPr>
          <w:i/>
          <w:sz w:val="16"/>
          <w:szCs w:val="16"/>
        </w:rPr>
      </w:pPr>
      <w:r w:rsidRPr="006A4D5B">
        <w:rPr>
          <w:rFonts w:ascii="Helvetica" w:hAnsi="Helvetica" w:cs="Helvetica"/>
          <w:i/>
          <w:color w:val="000000"/>
          <w:sz w:val="16"/>
          <w:szCs w:val="16"/>
          <w:shd w:val="clear" w:color="auto" w:fill="FFFFFF"/>
        </w:rPr>
        <w:t xml:space="preserve">(Per POA Attorney, Aaron </w:t>
      </w:r>
      <w:proofErr w:type="spellStart"/>
      <w:r w:rsidRPr="006A4D5B">
        <w:rPr>
          <w:rFonts w:ascii="Helvetica" w:hAnsi="Helvetica" w:cs="Helvetica"/>
          <w:i/>
          <w:color w:val="000000"/>
          <w:sz w:val="16"/>
          <w:szCs w:val="16"/>
          <w:shd w:val="clear" w:color="auto" w:fill="FFFFFF"/>
        </w:rPr>
        <w:t>Goodlock</w:t>
      </w:r>
      <w:proofErr w:type="spellEnd"/>
      <w:r w:rsidRPr="006A4D5B">
        <w:rPr>
          <w:rFonts w:ascii="Helvetica" w:hAnsi="Helvetica" w:cs="Helvetica"/>
          <w:i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="006A4D5B">
        <w:rPr>
          <w:rFonts w:ascii="Helvetica" w:hAnsi="Helvetica" w:cs="Helvetica"/>
          <w:i/>
          <w:color w:val="000000"/>
          <w:sz w:val="16"/>
          <w:szCs w:val="16"/>
          <w:shd w:val="clear" w:color="auto" w:fill="FFFFFF"/>
        </w:rPr>
        <w:t>Orten</w:t>
      </w:r>
      <w:proofErr w:type="spellEnd"/>
      <w:r w:rsidR="006A4D5B">
        <w:rPr>
          <w:rFonts w:ascii="Helvetica" w:hAnsi="Helvetica" w:cs="Helvetica"/>
          <w:i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6A4D5B">
        <w:rPr>
          <w:rFonts w:ascii="Helvetica" w:hAnsi="Helvetica" w:cs="Helvetica"/>
          <w:i/>
          <w:color w:val="000000"/>
          <w:sz w:val="16"/>
          <w:szCs w:val="16"/>
          <w:shd w:val="clear" w:color="auto" w:fill="FFFFFF"/>
        </w:rPr>
        <w:t>Cavanagh</w:t>
      </w:r>
      <w:proofErr w:type="spellEnd"/>
      <w:r w:rsidR="006A4D5B">
        <w:rPr>
          <w:rFonts w:ascii="Helvetica" w:hAnsi="Helvetica" w:cs="Helvetica"/>
          <w:i/>
          <w:color w:val="000000"/>
          <w:sz w:val="16"/>
          <w:szCs w:val="16"/>
          <w:shd w:val="clear" w:color="auto" w:fill="FFFFFF"/>
        </w:rPr>
        <w:t xml:space="preserve"> Holmes &amp; Hunt, LLC, </w:t>
      </w:r>
      <w:r w:rsidRPr="006A4D5B">
        <w:rPr>
          <w:rFonts w:ascii="Helvetica" w:hAnsi="Helvetica" w:cs="Helvetica"/>
          <w:i/>
          <w:color w:val="000000"/>
          <w:sz w:val="16"/>
          <w:szCs w:val="16"/>
          <w:shd w:val="clear" w:color="auto" w:fill="FFFFFF"/>
        </w:rPr>
        <w:t>the signed document becomes part of GRR POA permanent records</w:t>
      </w:r>
      <w:r w:rsidR="006A4D5B">
        <w:rPr>
          <w:rFonts w:ascii="Helvetica" w:hAnsi="Helvetica" w:cs="Helvetica"/>
          <w:i/>
          <w:color w:val="000000"/>
          <w:sz w:val="16"/>
          <w:szCs w:val="16"/>
          <w:shd w:val="clear" w:color="auto" w:fill="FFFFFF"/>
        </w:rPr>
        <w:t xml:space="preserve"> and it is not required by law </w:t>
      </w:r>
      <w:r w:rsidRPr="006A4D5B">
        <w:rPr>
          <w:rFonts w:ascii="Helvetica" w:hAnsi="Helvetica" w:cs="Helvetica"/>
          <w:i/>
          <w:color w:val="000000"/>
          <w:sz w:val="16"/>
          <w:szCs w:val="16"/>
          <w:shd w:val="clear" w:color="auto" w:fill="FFFFFF"/>
        </w:rPr>
        <w:t>to be filed with the counties of Huerfano and Pueblo, Colorado.)</w:t>
      </w:r>
    </w:p>
    <w:sectPr w:rsidR="00960E20" w:rsidRPr="006A4D5B" w:rsidSect="005A2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95C7E"/>
    <w:rsid w:val="00157CD0"/>
    <w:rsid w:val="00246EF2"/>
    <w:rsid w:val="005A2165"/>
    <w:rsid w:val="006A4D5B"/>
    <w:rsid w:val="00960E20"/>
    <w:rsid w:val="0099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Oborny</dc:creator>
  <cp:lastModifiedBy>Oborny</cp:lastModifiedBy>
  <cp:revision>2</cp:revision>
  <dcterms:created xsi:type="dcterms:W3CDTF">2022-06-14T00:04:00Z</dcterms:created>
  <dcterms:modified xsi:type="dcterms:W3CDTF">2022-06-14T00:04:00Z</dcterms:modified>
</cp:coreProperties>
</file>