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E058" w14:textId="77777777" w:rsidR="004E10AA" w:rsidRPr="00F70486" w:rsidRDefault="004E10AA" w:rsidP="00EC7417">
      <w:pPr>
        <w:jc w:val="center"/>
        <w:rPr>
          <w:rFonts w:ascii="Book Antiqua" w:hAnsi="Book Antiqua"/>
          <w:sz w:val="36"/>
          <w:szCs w:val="36"/>
        </w:rPr>
      </w:pPr>
      <w:bookmarkStart w:id="0" w:name="_GoBack"/>
      <w:bookmarkEnd w:id="0"/>
      <w:r w:rsidRPr="00F70486">
        <w:rPr>
          <w:rFonts w:ascii="Book Antiqua" w:hAnsi="Book Antiqua"/>
          <w:sz w:val="36"/>
          <w:szCs w:val="36"/>
        </w:rPr>
        <w:t>ESTADO LIBRE ASOCIADO DE PUERTO RICO</w:t>
      </w:r>
    </w:p>
    <w:p w14:paraId="0A37501D" w14:textId="77777777" w:rsidR="004E10AA" w:rsidRPr="00EC7417" w:rsidRDefault="004E10AA" w:rsidP="00EC7417">
      <w:pPr>
        <w:pStyle w:val="Title2"/>
        <w:tabs>
          <w:tab w:val="clear" w:pos="648"/>
          <w:tab w:val="clear" w:pos="7776"/>
          <w:tab w:val="clear" w:pos="7848"/>
        </w:tabs>
        <w:rPr>
          <w:rFonts w:ascii="Book Antiqua" w:hAnsi="Book Antiqua"/>
        </w:rPr>
      </w:pPr>
    </w:p>
    <w:p w14:paraId="1163D069" w14:textId="77777777" w:rsidR="004E10AA" w:rsidRPr="00EC7417" w:rsidRDefault="009C6161" w:rsidP="00EC7417">
      <w:pPr>
        <w:pStyle w:val="Title2"/>
        <w:tabs>
          <w:tab w:val="clear" w:pos="648"/>
          <w:tab w:val="clear" w:pos="7776"/>
          <w:tab w:val="clear" w:pos="7848"/>
        </w:tabs>
        <w:jc w:val="both"/>
        <w:rPr>
          <w:rFonts w:ascii="Book Antiqua" w:hAnsi="Book Antiqua"/>
          <w:szCs w:val="24"/>
        </w:rPr>
      </w:pPr>
      <w:r w:rsidRPr="00EC7417">
        <w:rPr>
          <w:rFonts w:ascii="Book Antiqua" w:hAnsi="Book Antiqua"/>
          <w:szCs w:val="24"/>
        </w:rPr>
        <w:t>1</w:t>
      </w:r>
      <w:r w:rsidR="00235995" w:rsidRPr="00EC7417">
        <w:rPr>
          <w:rFonts w:ascii="Book Antiqua" w:hAnsi="Book Antiqua"/>
          <w:szCs w:val="24"/>
        </w:rPr>
        <w:t>9</w:t>
      </w:r>
      <w:r w:rsidR="00D30826" w:rsidRPr="00EC7417">
        <w:rPr>
          <w:rFonts w:ascii="Book Antiqua" w:hAnsi="Book Antiqua"/>
          <w:szCs w:val="24"/>
        </w:rPr>
        <w:t xml:space="preserve"> </w:t>
      </w:r>
      <w:r w:rsidR="008760CA">
        <w:rPr>
          <w:rFonts w:ascii="Book Antiqua" w:hAnsi="Book Antiqua"/>
          <w:szCs w:val="24"/>
          <w:vertAlign w:val="superscript"/>
        </w:rPr>
        <w:t>n</w:t>
      </w:r>
      <w:r w:rsidR="00235995" w:rsidRPr="00EC7417">
        <w:rPr>
          <w:rFonts w:ascii="Book Antiqua" w:hAnsi="Book Antiqua"/>
          <w:szCs w:val="24"/>
          <w:vertAlign w:val="superscript"/>
        </w:rPr>
        <w:t>a</w:t>
      </w:r>
      <w:r w:rsidR="004E10AA" w:rsidRPr="00EC7417">
        <w:rPr>
          <w:rFonts w:ascii="Book Antiqua" w:hAnsi="Book Antiqua"/>
          <w:szCs w:val="24"/>
          <w:vertAlign w:val="superscript"/>
        </w:rPr>
        <w:t>.</w:t>
      </w:r>
      <w:r w:rsidR="004E10AA" w:rsidRPr="00EC7417">
        <w:rPr>
          <w:rFonts w:ascii="Book Antiqua" w:hAnsi="Book Antiqua"/>
          <w:szCs w:val="24"/>
        </w:rPr>
        <w:t xml:space="preserve"> Asamblea</w:t>
      </w:r>
      <w:r w:rsidR="004E10AA" w:rsidRPr="00EC7417">
        <w:rPr>
          <w:rFonts w:ascii="Book Antiqua" w:hAnsi="Book Antiqua"/>
          <w:szCs w:val="24"/>
        </w:rPr>
        <w:tab/>
      </w:r>
      <w:r w:rsidR="004E10AA" w:rsidRPr="00EC7417">
        <w:rPr>
          <w:rFonts w:ascii="Book Antiqua" w:hAnsi="Book Antiqua"/>
          <w:szCs w:val="24"/>
        </w:rPr>
        <w:tab/>
      </w:r>
      <w:r w:rsidR="004E10AA" w:rsidRPr="00EC7417">
        <w:rPr>
          <w:rFonts w:ascii="Book Antiqua" w:hAnsi="Book Antiqua"/>
          <w:szCs w:val="24"/>
        </w:rPr>
        <w:tab/>
      </w:r>
      <w:r w:rsidR="004E10AA" w:rsidRPr="00EC7417">
        <w:rPr>
          <w:rFonts w:ascii="Book Antiqua" w:hAnsi="Book Antiqua"/>
          <w:szCs w:val="24"/>
        </w:rPr>
        <w:tab/>
      </w:r>
      <w:r w:rsidR="004E10AA" w:rsidRPr="00EC7417">
        <w:rPr>
          <w:rFonts w:ascii="Book Antiqua" w:hAnsi="Book Antiqua"/>
          <w:szCs w:val="24"/>
        </w:rPr>
        <w:tab/>
      </w:r>
      <w:r w:rsidR="004E10AA" w:rsidRPr="00EC7417">
        <w:rPr>
          <w:rFonts w:ascii="Book Antiqua" w:hAnsi="Book Antiqua"/>
          <w:szCs w:val="24"/>
        </w:rPr>
        <w:tab/>
      </w:r>
      <w:r w:rsidR="004E10AA" w:rsidRPr="00EC7417">
        <w:rPr>
          <w:rFonts w:ascii="Book Antiqua" w:hAnsi="Book Antiqua"/>
          <w:szCs w:val="24"/>
        </w:rPr>
        <w:tab/>
      </w:r>
      <w:r w:rsidR="004E10AA" w:rsidRPr="00EC7417">
        <w:rPr>
          <w:rFonts w:ascii="Book Antiqua" w:hAnsi="Book Antiqua"/>
          <w:szCs w:val="24"/>
        </w:rPr>
        <w:tab/>
      </w:r>
      <w:r w:rsidR="003214ED" w:rsidRPr="00EC7417">
        <w:rPr>
          <w:rFonts w:ascii="Book Antiqua" w:hAnsi="Book Antiqua"/>
          <w:szCs w:val="24"/>
        </w:rPr>
        <w:tab/>
      </w:r>
      <w:r w:rsidR="00F70486">
        <w:rPr>
          <w:rFonts w:ascii="Book Antiqua" w:hAnsi="Book Antiqua"/>
          <w:szCs w:val="24"/>
        </w:rPr>
        <w:t>2</w:t>
      </w:r>
      <w:r w:rsidR="00F70486">
        <w:rPr>
          <w:rFonts w:ascii="Book Antiqua" w:hAnsi="Book Antiqua"/>
          <w:szCs w:val="24"/>
          <w:vertAlign w:val="superscript"/>
        </w:rPr>
        <w:t>d</w:t>
      </w:r>
      <w:r w:rsidR="004E10AA" w:rsidRPr="00EC7417">
        <w:rPr>
          <w:rFonts w:ascii="Book Antiqua" w:hAnsi="Book Antiqua"/>
          <w:szCs w:val="24"/>
          <w:vertAlign w:val="superscript"/>
        </w:rPr>
        <w:t>a.</w:t>
      </w:r>
      <w:r w:rsidR="004E10AA" w:rsidRPr="00EC7417">
        <w:rPr>
          <w:rFonts w:ascii="Book Antiqua" w:hAnsi="Book Antiqua"/>
          <w:szCs w:val="24"/>
        </w:rPr>
        <w:t xml:space="preserve"> Sesión</w:t>
      </w:r>
    </w:p>
    <w:p w14:paraId="6031F7EF" w14:textId="77777777" w:rsidR="004E10AA" w:rsidRPr="00EC7417" w:rsidRDefault="004E10AA" w:rsidP="00EC7417">
      <w:pPr>
        <w:pStyle w:val="Title2"/>
        <w:tabs>
          <w:tab w:val="clear" w:pos="648"/>
          <w:tab w:val="clear" w:pos="7776"/>
          <w:tab w:val="clear" w:pos="7848"/>
        </w:tabs>
        <w:jc w:val="both"/>
        <w:rPr>
          <w:rFonts w:ascii="Book Antiqua" w:hAnsi="Book Antiqua"/>
          <w:szCs w:val="24"/>
        </w:rPr>
      </w:pPr>
      <w:r w:rsidRPr="00EC7417">
        <w:rPr>
          <w:rFonts w:ascii="Book Antiqua" w:hAnsi="Book Antiqua"/>
          <w:szCs w:val="24"/>
        </w:rPr>
        <w:t xml:space="preserve">        </w:t>
      </w:r>
      <w:r w:rsidR="00D30826" w:rsidRPr="00EC7417">
        <w:rPr>
          <w:rFonts w:ascii="Book Antiqua" w:hAnsi="Book Antiqua"/>
          <w:szCs w:val="24"/>
        </w:rPr>
        <w:t xml:space="preserve"> </w:t>
      </w:r>
      <w:r w:rsidR="006A739F" w:rsidRPr="00EC7417">
        <w:rPr>
          <w:rFonts w:ascii="Book Antiqua" w:hAnsi="Book Antiqua"/>
          <w:szCs w:val="24"/>
        </w:rPr>
        <w:t xml:space="preserve"> </w:t>
      </w:r>
      <w:r w:rsidRPr="00EC7417">
        <w:rPr>
          <w:rFonts w:ascii="Book Antiqua" w:hAnsi="Book Antiqua"/>
          <w:szCs w:val="24"/>
        </w:rPr>
        <w:t>Legislativa</w:t>
      </w:r>
      <w:r w:rsidRPr="00EC7417">
        <w:rPr>
          <w:rFonts w:ascii="Book Antiqua" w:hAnsi="Book Antiqua"/>
          <w:szCs w:val="24"/>
        </w:rPr>
        <w:tab/>
      </w:r>
      <w:r w:rsidRPr="00EC7417">
        <w:rPr>
          <w:rFonts w:ascii="Book Antiqua" w:hAnsi="Book Antiqua"/>
          <w:szCs w:val="24"/>
        </w:rPr>
        <w:tab/>
        <w:t xml:space="preserve">                                                                                        </w:t>
      </w:r>
      <w:r w:rsidR="00D30826" w:rsidRPr="00EC7417">
        <w:rPr>
          <w:rFonts w:ascii="Book Antiqua" w:hAnsi="Book Antiqua"/>
          <w:szCs w:val="24"/>
        </w:rPr>
        <w:t xml:space="preserve"> </w:t>
      </w:r>
      <w:r w:rsidRPr="00EC7417">
        <w:rPr>
          <w:rFonts w:ascii="Book Antiqua" w:hAnsi="Book Antiqua"/>
          <w:szCs w:val="24"/>
        </w:rPr>
        <w:t xml:space="preserve"> Ordinaria</w:t>
      </w:r>
    </w:p>
    <w:p w14:paraId="5DAB6C7B" w14:textId="77777777" w:rsidR="004E10AA" w:rsidRPr="00EC7417" w:rsidRDefault="004E10AA" w:rsidP="00EC7417">
      <w:pPr>
        <w:jc w:val="center"/>
        <w:rPr>
          <w:rFonts w:ascii="Book Antiqua" w:hAnsi="Book Antiqua"/>
          <w:szCs w:val="24"/>
        </w:rPr>
      </w:pPr>
    </w:p>
    <w:p w14:paraId="13727DCA" w14:textId="77777777" w:rsidR="004E10AA" w:rsidRDefault="00D96780" w:rsidP="002B0A58">
      <w:pPr>
        <w:spacing w:line="360" w:lineRule="auto"/>
        <w:jc w:val="center"/>
        <w:rPr>
          <w:rFonts w:ascii="Book Antiqua" w:hAnsi="Book Antiqua"/>
          <w:b/>
          <w:sz w:val="36"/>
          <w:szCs w:val="36"/>
        </w:rPr>
      </w:pPr>
      <w:r>
        <w:rPr>
          <w:rFonts w:ascii="Book Antiqua" w:hAnsi="Book Antiqua"/>
          <w:b/>
          <w:sz w:val="36"/>
          <w:szCs w:val="36"/>
        </w:rPr>
        <w:t xml:space="preserve">SENADO DE PUERTO RICO </w:t>
      </w:r>
    </w:p>
    <w:p w14:paraId="70781617" w14:textId="77777777" w:rsidR="004E10AA" w:rsidRDefault="00D96780" w:rsidP="00232E12">
      <w:pPr>
        <w:spacing w:after="240"/>
        <w:jc w:val="center"/>
        <w:rPr>
          <w:rFonts w:ascii="Book Antiqua" w:hAnsi="Book Antiqua"/>
          <w:b/>
          <w:sz w:val="52"/>
          <w:szCs w:val="52"/>
        </w:rPr>
      </w:pPr>
      <w:r>
        <w:rPr>
          <w:rFonts w:ascii="Book Antiqua" w:hAnsi="Book Antiqua"/>
          <w:b/>
          <w:sz w:val="52"/>
          <w:szCs w:val="52"/>
        </w:rPr>
        <w:t>P. del S</w:t>
      </w:r>
      <w:r w:rsidR="00235995" w:rsidRPr="00EC7417">
        <w:rPr>
          <w:rFonts w:ascii="Book Antiqua" w:hAnsi="Book Antiqua"/>
          <w:b/>
          <w:sz w:val="52"/>
          <w:szCs w:val="52"/>
        </w:rPr>
        <w:t>.</w:t>
      </w:r>
      <w:r w:rsidR="002828CA">
        <w:rPr>
          <w:rFonts w:ascii="Book Antiqua" w:hAnsi="Book Antiqua"/>
          <w:b/>
          <w:sz w:val="52"/>
          <w:szCs w:val="52"/>
        </w:rPr>
        <w:t xml:space="preserve"> </w:t>
      </w:r>
      <w:r w:rsidR="00731B63">
        <w:rPr>
          <w:rFonts w:ascii="Book Antiqua" w:hAnsi="Book Antiqua"/>
          <w:b/>
          <w:sz w:val="52"/>
          <w:szCs w:val="52"/>
        </w:rPr>
        <w:t>495</w:t>
      </w:r>
    </w:p>
    <w:p w14:paraId="3F1209F2" w14:textId="77777777" w:rsidR="004E10AA" w:rsidRDefault="00731B63" w:rsidP="00232E12">
      <w:pPr>
        <w:spacing w:after="240"/>
        <w:jc w:val="center"/>
        <w:rPr>
          <w:rFonts w:ascii="Book Antiqua" w:hAnsi="Book Antiqua"/>
        </w:rPr>
      </w:pPr>
      <w:r>
        <w:rPr>
          <w:rFonts w:ascii="Book Antiqua" w:hAnsi="Book Antiqua"/>
        </w:rPr>
        <w:t xml:space="preserve">22 de julio de </w:t>
      </w:r>
      <w:r w:rsidR="00EC7417" w:rsidRPr="00EC7417">
        <w:rPr>
          <w:rFonts w:ascii="Book Antiqua" w:hAnsi="Book Antiqua"/>
        </w:rPr>
        <w:t>2021</w:t>
      </w:r>
    </w:p>
    <w:p w14:paraId="4474CD8C" w14:textId="77777777" w:rsidR="004E10AA" w:rsidRDefault="004E10AA" w:rsidP="00232E12">
      <w:pPr>
        <w:spacing w:after="240"/>
        <w:jc w:val="center"/>
        <w:rPr>
          <w:rFonts w:ascii="Book Antiqua" w:hAnsi="Book Antiqua"/>
          <w:i/>
          <w:szCs w:val="24"/>
        </w:rPr>
      </w:pPr>
      <w:r w:rsidRPr="00EC7417">
        <w:rPr>
          <w:rFonts w:ascii="Book Antiqua" w:hAnsi="Book Antiqua"/>
        </w:rPr>
        <w:t xml:space="preserve">Presentado </w:t>
      </w:r>
      <w:r w:rsidR="00BC0EE4" w:rsidRPr="00EC7417">
        <w:rPr>
          <w:rFonts w:ascii="Book Antiqua" w:hAnsi="Book Antiqua"/>
          <w:szCs w:val="24"/>
        </w:rPr>
        <w:t xml:space="preserve">por </w:t>
      </w:r>
      <w:r w:rsidR="00D96780">
        <w:rPr>
          <w:rFonts w:ascii="Book Antiqua" w:hAnsi="Book Antiqua"/>
          <w:szCs w:val="24"/>
        </w:rPr>
        <w:t xml:space="preserve">la señora </w:t>
      </w:r>
      <w:r w:rsidR="00D96780">
        <w:rPr>
          <w:rFonts w:ascii="Book Antiqua" w:hAnsi="Book Antiqua"/>
          <w:i/>
          <w:szCs w:val="24"/>
        </w:rPr>
        <w:t>Rodríguez Veve</w:t>
      </w:r>
    </w:p>
    <w:p w14:paraId="45BFB5AE" w14:textId="57A37FBF" w:rsidR="00993B09" w:rsidRPr="00D96780" w:rsidRDefault="00993B09" w:rsidP="00232E12">
      <w:pPr>
        <w:spacing w:after="240"/>
        <w:jc w:val="center"/>
        <w:rPr>
          <w:rFonts w:ascii="Book Antiqua" w:hAnsi="Book Antiqua"/>
          <w:b/>
          <w:i/>
          <w:szCs w:val="24"/>
        </w:rPr>
      </w:pPr>
      <w:r>
        <w:rPr>
          <w:rFonts w:ascii="Book Antiqua" w:hAnsi="Book Antiqua"/>
          <w:i/>
          <w:szCs w:val="24"/>
        </w:rPr>
        <w:t>Coautores la señora Riquelme Cabrera; y el señor Ruiz Nieves</w:t>
      </w:r>
    </w:p>
    <w:p w14:paraId="38382889" w14:textId="190E9083" w:rsidR="008760CA" w:rsidRPr="00AC6C59" w:rsidRDefault="004E10AA" w:rsidP="00093B67">
      <w:pPr>
        <w:spacing w:after="360"/>
        <w:jc w:val="center"/>
        <w:rPr>
          <w:rFonts w:ascii="Book Antiqua" w:hAnsi="Book Antiqua"/>
          <w:i/>
          <w:szCs w:val="24"/>
        </w:rPr>
      </w:pPr>
      <w:r w:rsidRPr="00834E79">
        <w:rPr>
          <w:rFonts w:ascii="Book Antiqua" w:hAnsi="Book Antiqua"/>
          <w:i/>
        </w:rPr>
        <w:t>Referido a</w:t>
      </w:r>
      <w:r w:rsidR="00DF47D9" w:rsidRPr="00834E79">
        <w:rPr>
          <w:rFonts w:ascii="Book Antiqua" w:hAnsi="Book Antiqua"/>
          <w:i/>
        </w:rPr>
        <w:t xml:space="preserve"> </w:t>
      </w:r>
      <w:r w:rsidR="008760CA">
        <w:rPr>
          <w:rFonts w:ascii="Book Antiqua" w:hAnsi="Book Antiqua"/>
          <w:i/>
        </w:rPr>
        <w:t xml:space="preserve">la Comisión de </w:t>
      </w:r>
      <w:r w:rsidR="008760CA" w:rsidRPr="00AC6C59">
        <w:rPr>
          <w:rFonts w:ascii="Book Antiqua" w:hAnsi="Book Antiqua"/>
          <w:i/>
          <w:szCs w:val="24"/>
        </w:rPr>
        <w:t>Asuntos de Vida y Familia</w:t>
      </w:r>
    </w:p>
    <w:p w14:paraId="4AAD91F6" w14:textId="77777777" w:rsidR="009A0705" w:rsidRPr="002B0A58" w:rsidRDefault="004946E0" w:rsidP="00093B67">
      <w:pPr>
        <w:tabs>
          <w:tab w:val="center" w:pos="4680"/>
          <w:tab w:val="right" w:pos="9360"/>
        </w:tabs>
        <w:spacing w:after="120"/>
        <w:rPr>
          <w:rFonts w:ascii="Book Antiqua" w:hAnsi="Book Antiqua"/>
          <w:b/>
          <w:szCs w:val="24"/>
        </w:rPr>
      </w:pPr>
      <w:r w:rsidRPr="00EC7417">
        <w:rPr>
          <w:rFonts w:ascii="Book Antiqua" w:hAnsi="Book Antiqua"/>
          <w:b/>
          <w:sz w:val="40"/>
          <w:szCs w:val="40"/>
        </w:rPr>
        <w:tab/>
      </w:r>
      <w:r w:rsidR="004E10AA" w:rsidRPr="002B0A58">
        <w:rPr>
          <w:rFonts w:ascii="Book Antiqua" w:hAnsi="Book Antiqua"/>
          <w:b/>
          <w:szCs w:val="24"/>
        </w:rPr>
        <w:t>LEY</w:t>
      </w:r>
    </w:p>
    <w:p w14:paraId="228A2AF7" w14:textId="13B89E06" w:rsidR="009A0705" w:rsidRPr="00232E12" w:rsidRDefault="009A0705" w:rsidP="00232E12">
      <w:pPr>
        <w:suppressLineNumbers/>
        <w:suppressAutoHyphens/>
        <w:spacing w:after="240"/>
        <w:ind w:left="547" w:hanging="547"/>
        <w:jc w:val="both"/>
        <w:rPr>
          <w:rFonts w:ascii="Book Antiqua" w:eastAsia="ヒラギノ角ゴ Pro W3" w:hAnsi="Book Antiqua"/>
          <w:color w:val="000000"/>
          <w:szCs w:val="24"/>
        </w:rPr>
      </w:pPr>
      <w:r w:rsidRPr="00232E12">
        <w:rPr>
          <w:rFonts w:ascii="Book Antiqua" w:eastAsia="ヒラギノ角ゴ Pro W3" w:hAnsi="Book Antiqua"/>
          <w:color w:val="000000"/>
          <w:spacing w:val="-3"/>
          <w:szCs w:val="24"/>
          <w:lang w:val="es-ES"/>
        </w:rPr>
        <w:t xml:space="preserve">Para establecer la “Ley </w:t>
      </w:r>
      <w:r w:rsidR="007E279D" w:rsidRPr="00232E12">
        <w:rPr>
          <w:rFonts w:ascii="Book Antiqua" w:eastAsia="ヒラギノ角ゴ Pro W3" w:hAnsi="Book Antiqua"/>
          <w:color w:val="000000"/>
          <w:spacing w:val="-3"/>
          <w:szCs w:val="24"/>
          <w:lang w:val="es-ES"/>
        </w:rPr>
        <w:t>para establecer protocolo de manejo de caso</w:t>
      </w:r>
      <w:r w:rsidR="005B66B5" w:rsidRPr="00232E12">
        <w:rPr>
          <w:rFonts w:ascii="Book Antiqua" w:eastAsia="ヒラギノ角ゴ Pro W3" w:hAnsi="Book Antiqua"/>
          <w:color w:val="000000"/>
          <w:spacing w:val="-3"/>
          <w:szCs w:val="24"/>
          <w:lang w:val="es-ES"/>
        </w:rPr>
        <w:t>s</w:t>
      </w:r>
      <w:r w:rsidR="007E279D" w:rsidRPr="00232E12">
        <w:rPr>
          <w:rFonts w:ascii="Book Antiqua" w:eastAsia="ヒラギノ角ゴ Pro W3" w:hAnsi="Book Antiqua"/>
          <w:color w:val="000000"/>
          <w:spacing w:val="-3"/>
          <w:szCs w:val="24"/>
          <w:lang w:val="es-ES"/>
        </w:rPr>
        <w:t xml:space="preserve"> de abortos en menores de quince</w:t>
      </w:r>
      <w:r w:rsidR="00DA2FF1">
        <w:rPr>
          <w:rFonts w:ascii="Book Antiqua" w:eastAsia="ヒラギノ角ゴ Pro W3" w:hAnsi="Book Antiqua"/>
          <w:color w:val="000000"/>
          <w:spacing w:val="-3"/>
          <w:szCs w:val="24"/>
          <w:lang w:val="es-ES"/>
        </w:rPr>
        <w:t xml:space="preserve"> (15)</w:t>
      </w:r>
      <w:r w:rsidR="007E279D" w:rsidRPr="00232E12">
        <w:rPr>
          <w:rFonts w:ascii="Book Antiqua" w:eastAsia="ヒラギノ角ゴ Pro W3" w:hAnsi="Book Antiqua"/>
          <w:color w:val="000000"/>
          <w:spacing w:val="-3"/>
          <w:szCs w:val="24"/>
          <w:lang w:val="es-ES"/>
        </w:rPr>
        <w:t xml:space="preserve"> años o menos en Puerto Rico”</w:t>
      </w:r>
      <w:r w:rsidR="00DA2FF1">
        <w:rPr>
          <w:rFonts w:ascii="Book Antiqua" w:eastAsia="ヒラギノ角ゴ Pro W3" w:hAnsi="Book Antiqua"/>
          <w:color w:val="000000"/>
          <w:spacing w:val="-3"/>
          <w:szCs w:val="24"/>
          <w:lang w:val="es-ES"/>
        </w:rPr>
        <w:t>,</w:t>
      </w:r>
      <w:r w:rsidR="007E279D" w:rsidRPr="00232E12">
        <w:rPr>
          <w:rFonts w:ascii="Book Antiqua" w:eastAsia="ヒラギノ角ゴ Pro W3" w:hAnsi="Book Antiqua"/>
          <w:color w:val="000000"/>
          <w:spacing w:val="-3"/>
          <w:szCs w:val="24"/>
          <w:lang w:val="es-ES"/>
        </w:rPr>
        <w:t xml:space="preserve"> con el propósito de </w:t>
      </w:r>
      <w:r w:rsidRPr="00232E12">
        <w:rPr>
          <w:rFonts w:ascii="Book Antiqua" w:eastAsia="ヒラギノ角ゴ Pro W3" w:hAnsi="Book Antiqua"/>
          <w:color w:val="000000"/>
          <w:spacing w:val="-3"/>
          <w:szCs w:val="24"/>
          <w:lang w:val="es-ES"/>
        </w:rPr>
        <w:t xml:space="preserve"> requerir  </w:t>
      </w:r>
      <w:r w:rsidR="007E279D" w:rsidRPr="00232E12">
        <w:rPr>
          <w:rFonts w:ascii="Book Antiqua" w:eastAsia="ヒラギノ角ゴ Pro W3" w:hAnsi="Book Antiqua"/>
          <w:color w:val="000000"/>
          <w:spacing w:val="-3"/>
          <w:szCs w:val="24"/>
          <w:lang w:val="es-ES"/>
        </w:rPr>
        <w:t xml:space="preserve">la implementación de un protocolo para el manejo de casos de menores de quince años o menos </w:t>
      </w:r>
      <w:r w:rsidR="004964FF" w:rsidRPr="00232E12">
        <w:rPr>
          <w:rFonts w:ascii="Book Antiqua" w:eastAsia="ヒラギノ角ゴ Pro W3" w:hAnsi="Book Antiqua"/>
          <w:color w:val="000000"/>
          <w:spacing w:val="-3"/>
          <w:szCs w:val="24"/>
          <w:lang w:val="es-ES"/>
        </w:rPr>
        <w:t>que</w:t>
      </w:r>
      <w:r w:rsidR="007E279D" w:rsidRPr="00232E12">
        <w:rPr>
          <w:rFonts w:ascii="Book Antiqua" w:eastAsia="ヒラギノ角ゴ Pro W3" w:hAnsi="Book Antiqua"/>
          <w:color w:val="000000"/>
          <w:spacing w:val="-3"/>
          <w:szCs w:val="24"/>
          <w:lang w:val="es-ES"/>
        </w:rPr>
        <w:t xml:space="preserve"> estén embarazadas y acudan a un médico para efectuarse un aborto, así como para requerir que en estos casos</w:t>
      </w:r>
      <w:r w:rsidR="004964FF" w:rsidRPr="00232E12">
        <w:rPr>
          <w:rFonts w:ascii="Book Antiqua" w:eastAsia="ヒラギノ角ゴ Pro W3" w:hAnsi="Book Antiqua"/>
          <w:color w:val="000000"/>
          <w:spacing w:val="-3"/>
          <w:szCs w:val="24"/>
          <w:lang w:val="es-ES"/>
        </w:rPr>
        <w:t xml:space="preserve"> </w:t>
      </w:r>
      <w:r w:rsidRPr="00232E12">
        <w:rPr>
          <w:rFonts w:ascii="Book Antiqua" w:eastAsia="ヒラギノ角ゴ Pro W3" w:hAnsi="Book Antiqua"/>
          <w:color w:val="000000"/>
          <w:spacing w:val="-3"/>
          <w:szCs w:val="24"/>
          <w:lang w:val="es-ES"/>
        </w:rPr>
        <w:t>al menos uno de los padres</w:t>
      </w:r>
      <w:r w:rsidR="00D96780" w:rsidRPr="00232E12">
        <w:rPr>
          <w:rFonts w:ascii="Book Antiqua" w:eastAsia="ヒラギノ角ゴ Pro W3" w:hAnsi="Book Antiqua"/>
          <w:color w:val="000000"/>
          <w:spacing w:val="-3"/>
          <w:szCs w:val="24"/>
          <w:lang w:val="es-ES"/>
        </w:rPr>
        <w:t xml:space="preserve"> que ostente la patria potestad</w:t>
      </w:r>
      <w:r w:rsidRPr="00232E12">
        <w:rPr>
          <w:rFonts w:ascii="Book Antiqua" w:eastAsia="ヒラギノ角ゴ Pro W3" w:hAnsi="Book Antiqua"/>
          <w:color w:val="000000"/>
          <w:spacing w:val="-3"/>
          <w:szCs w:val="24"/>
          <w:lang w:val="es-ES"/>
        </w:rPr>
        <w:t xml:space="preserve"> o del custodio legal de </w:t>
      </w:r>
      <w:r w:rsidR="007E279D" w:rsidRPr="00232E12">
        <w:rPr>
          <w:rFonts w:ascii="Book Antiqua" w:eastAsia="ヒラギノ角ゴ Pro W3" w:hAnsi="Book Antiqua"/>
          <w:color w:val="000000"/>
          <w:spacing w:val="-3"/>
          <w:szCs w:val="24"/>
          <w:lang w:val="es-ES"/>
        </w:rPr>
        <w:t>esta menor</w:t>
      </w:r>
      <w:r w:rsidRPr="00232E12">
        <w:rPr>
          <w:rFonts w:ascii="Book Antiqua" w:eastAsia="ヒラギノ角ゴ Pro W3" w:hAnsi="Book Antiqua"/>
          <w:color w:val="000000"/>
          <w:spacing w:val="-3"/>
          <w:szCs w:val="24"/>
          <w:lang w:val="es-ES"/>
        </w:rPr>
        <w:t xml:space="preserve"> </w:t>
      </w:r>
      <w:r w:rsidR="004964FF" w:rsidRPr="00232E12">
        <w:rPr>
          <w:rFonts w:ascii="Book Antiqua" w:eastAsia="ヒラギノ角ゴ Pro W3" w:hAnsi="Book Antiqua"/>
          <w:color w:val="000000"/>
          <w:spacing w:val="-3"/>
          <w:szCs w:val="24"/>
          <w:lang w:val="es-ES"/>
        </w:rPr>
        <w:t xml:space="preserve">tenga que otorgar su consentimiento informado por escrito </w:t>
      </w:r>
      <w:r w:rsidR="00A82F6D" w:rsidRPr="00232E12">
        <w:rPr>
          <w:rFonts w:ascii="Book Antiqua" w:eastAsia="ヒラギノ角ゴ Pro W3" w:hAnsi="Book Antiqua"/>
          <w:color w:val="000000"/>
          <w:spacing w:val="-3"/>
          <w:szCs w:val="24"/>
          <w:lang w:val="es-ES"/>
        </w:rPr>
        <w:t xml:space="preserve">previo a que </w:t>
      </w:r>
      <w:r w:rsidR="007E279D" w:rsidRPr="00232E12">
        <w:rPr>
          <w:rFonts w:ascii="Book Antiqua" w:eastAsia="ヒラギノ角ゴ Pro W3" w:hAnsi="Book Antiqua"/>
          <w:color w:val="000000"/>
          <w:spacing w:val="-3"/>
          <w:szCs w:val="24"/>
          <w:lang w:val="es-ES"/>
        </w:rPr>
        <w:t>se lleve a cabo el aborto</w:t>
      </w:r>
      <w:r w:rsidR="00DA2FF1">
        <w:rPr>
          <w:rFonts w:ascii="Book Antiqua" w:eastAsia="ヒラギノ角ゴ Pro W3" w:hAnsi="Book Antiqua"/>
          <w:color w:val="000000"/>
          <w:spacing w:val="-3"/>
          <w:szCs w:val="24"/>
          <w:lang w:val="es-ES"/>
        </w:rPr>
        <w:t>;</w:t>
      </w:r>
      <w:r w:rsidRPr="00232E12">
        <w:rPr>
          <w:rFonts w:ascii="Book Antiqua" w:eastAsia="ヒラギノ角ゴ Pro W3" w:hAnsi="Book Antiqua"/>
          <w:color w:val="000000"/>
          <w:spacing w:val="-3"/>
          <w:szCs w:val="24"/>
          <w:lang w:val="es-ES"/>
        </w:rPr>
        <w:t xml:space="preserve"> y para otros fines relacionados.</w:t>
      </w:r>
    </w:p>
    <w:p w14:paraId="70A2DEE5" w14:textId="77777777" w:rsidR="004E10AA" w:rsidRPr="00232E12" w:rsidRDefault="004E10AA" w:rsidP="00232E12">
      <w:pPr>
        <w:spacing w:after="240"/>
        <w:jc w:val="center"/>
        <w:rPr>
          <w:rFonts w:ascii="Book Antiqua" w:hAnsi="Book Antiqua"/>
          <w:b/>
          <w:szCs w:val="24"/>
        </w:rPr>
      </w:pPr>
      <w:r w:rsidRPr="00232E12">
        <w:rPr>
          <w:rFonts w:ascii="Book Antiqua" w:hAnsi="Book Antiqua"/>
          <w:b/>
          <w:szCs w:val="24"/>
        </w:rPr>
        <w:t>EXPOSICIÓN DE MOTIVOS</w:t>
      </w:r>
    </w:p>
    <w:p w14:paraId="172A3A23" w14:textId="1FA84EC5" w:rsidR="009A0705" w:rsidRPr="00232E12" w:rsidRDefault="009A0705" w:rsidP="00232E12">
      <w:pPr>
        <w:spacing w:before="120" w:after="120" w:line="360" w:lineRule="auto"/>
        <w:ind w:firstLine="360"/>
        <w:jc w:val="both"/>
        <w:rPr>
          <w:rFonts w:ascii="Book Antiqua" w:hAnsi="Book Antiqua"/>
          <w:szCs w:val="24"/>
        </w:rPr>
      </w:pPr>
      <w:r w:rsidRPr="00232E12">
        <w:rPr>
          <w:rFonts w:ascii="Book Antiqua" w:hAnsi="Book Antiqua"/>
          <w:szCs w:val="24"/>
        </w:rPr>
        <w:t>Todo el andamiaje legal de protección de menores</w:t>
      </w:r>
      <w:r w:rsidR="00E87A7D" w:rsidRPr="00232E12">
        <w:rPr>
          <w:rFonts w:ascii="Book Antiqua" w:hAnsi="Book Antiqua"/>
          <w:szCs w:val="24"/>
        </w:rPr>
        <w:t xml:space="preserve">, según la Ley Núm. 88 de 9 de julio de 1986, según emendada, conocida como </w:t>
      </w:r>
      <w:r w:rsidR="00DA2FF1">
        <w:rPr>
          <w:rFonts w:ascii="Book Antiqua" w:hAnsi="Book Antiqua"/>
          <w:szCs w:val="24"/>
        </w:rPr>
        <w:t>“</w:t>
      </w:r>
      <w:r w:rsidR="00E87A7D" w:rsidRPr="00232E12">
        <w:rPr>
          <w:rFonts w:ascii="Book Antiqua" w:hAnsi="Book Antiqua"/>
          <w:szCs w:val="24"/>
        </w:rPr>
        <w:t xml:space="preserve">Ley de Menores de Puerto </w:t>
      </w:r>
      <w:r w:rsidR="00740D16" w:rsidRPr="00232E12">
        <w:rPr>
          <w:rFonts w:ascii="Book Antiqua" w:hAnsi="Book Antiqua"/>
          <w:szCs w:val="24"/>
        </w:rPr>
        <w:t>Rico</w:t>
      </w:r>
      <w:r w:rsidR="00DA2FF1">
        <w:rPr>
          <w:rFonts w:ascii="Book Antiqua" w:hAnsi="Book Antiqua"/>
          <w:szCs w:val="24"/>
        </w:rPr>
        <w:t>”</w:t>
      </w:r>
      <w:r w:rsidR="00740D16" w:rsidRPr="00232E12">
        <w:rPr>
          <w:rFonts w:ascii="Book Antiqua" w:hAnsi="Book Antiqua"/>
          <w:szCs w:val="24"/>
        </w:rPr>
        <w:t>, está</w:t>
      </w:r>
      <w:r w:rsidRPr="00232E12">
        <w:rPr>
          <w:rFonts w:ascii="Book Antiqua" w:hAnsi="Book Antiqua"/>
          <w:szCs w:val="24"/>
        </w:rPr>
        <w:t xml:space="preserve"> fundamentado en el convencimiento de que los menores necesitan protección por la vulnerabilidad física y emocional que enfrentan en sus etapas de desarrollo. Los </w:t>
      </w:r>
      <w:r w:rsidRPr="00232E12">
        <w:rPr>
          <w:rFonts w:ascii="Book Antiqua" w:hAnsi="Book Antiqua"/>
          <w:szCs w:val="24"/>
          <w:lang w:val="es-ES"/>
        </w:rPr>
        <w:t xml:space="preserve">estudios relacionados al comportamiento psicológico de los menores han demostrado que estos tienen menos habilidad de autocontrol en situaciones emocionales fuertes, mayor sensibilidad a la presión de grupo y a incentivos inmediatos y que están menos </w:t>
      </w:r>
      <w:r w:rsidRPr="00232E12">
        <w:rPr>
          <w:rFonts w:ascii="Book Antiqua" w:hAnsi="Book Antiqua"/>
          <w:szCs w:val="24"/>
          <w:lang w:val="es-ES"/>
        </w:rPr>
        <w:lastRenderedPageBreak/>
        <w:t>conscientes de las consecuencias a largo plazo de sus actuaciones en comparación con los adultos.</w:t>
      </w:r>
      <w:r w:rsidRPr="00232E12">
        <w:rPr>
          <w:rFonts w:ascii="Book Antiqua" w:hAnsi="Book Antiqua"/>
          <w:szCs w:val="24"/>
        </w:rPr>
        <w:t xml:space="preserve"> </w:t>
      </w:r>
    </w:p>
    <w:p w14:paraId="51041A0A" w14:textId="77777777" w:rsidR="009A0705" w:rsidRPr="00232E12" w:rsidRDefault="009A0705" w:rsidP="00232E12">
      <w:pPr>
        <w:spacing w:before="120" w:after="120" w:line="360" w:lineRule="auto"/>
        <w:ind w:firstLine="360"/>
        <w:jc w:val="both"/>
        <w:rPr>
          <w:rFonts w:ascii="Book Antiqua" w:hAnsi="Book Antiqua"/>
          <w:szCs w:val="24"/>
        </w:rPr>
      </w:pPr>
      <w:r w:rsidRPr="00232E12">
        <w:rPr>
          <w:rFonts w:ascii="Book Antiqua" w:hAnsi="Book Antiqua"/>
          <w:szCs w:val="24"/>
        </w:rPr>
        <w:t xml:space="preserve">Precisamente, en atención a este estado de vulnerabilidad, los menores de edad no emancipados en Puerto Rico no tienen capacidad legal ni jurídica para la realización de las cosas más básicas de la vida. Por ello, se necesita la firma de los padres o del tutor para trámites ordinarios como sacar la licencia de conducir, celebrar matrimonio, suscribir capitulaciones matrimoniales, enajenar bienes, e inclusive para someterse a cualquier procedimiento médico. También se necesita consentimiento de los padres o tutores para poder sacar a los menores de un salón de clase y llevarlos a una gira, para vacunarlos o para que puedan trabajar legalmente, y no es hasta los 18 años que se puede ejercer el derecho al voto. </w:t>
      </w:r>
    </w:p>
    <w:p w14:paraId="522C6AEB" w14:textId="7F6E2345" w:rsidR="009A0705" w:rsidRPr="00232E12" w:rsidRDefault="009A0705" w:rsidP="00232E12">
      <w:pPr>
        <w:spacing w:before="120" w:after="120" w:line="360" w:lineRule="auto"/>
        <w:ind w:firstLine="360"/>
        <w:jc w:val="both"/>
        <w:rPr>
          <w:rFonts w:ascii="Book Antiqua" w:hAnsi="Book Antiqua"/>
          <w:szCs w:val="24"/>
        </w:rPr>
      </w:pPr>
      <w:r w:rsidRPr="00232E12">
        <w:rPr>
          <w:rFonts w:ascii="Book Antiqua" w:hAnsi="Book Antiqua"/>
          <w:szCs w:val="24"/>
        </w:rPr>
        <w:t xml:space="preserve">Sin embargo, cuando se trata de realizarse un aborto </w:t>
      </w:r>
      <w:r w:rsidR="00DA2FF1">
        <w:rPr>
          <w:rFonts w:ascii="Book Antiqua" w:hAnsi="Book Antiqua"/>
          <w:szCs w:val="24"/>
        </w:rPr>
        <w:t xml:space="preserve">el </w:t>
      </w:r>
      <w:r w:rsidRPr="00232E12">
        <w:rPr>
          <w:rFonts w:ascii="Book Antiqua" w:hAnsi="Book Antiqua"/>
          <w:szCs w:val="24"/>
        </w:rPr>
        <w:t>ordenamiento no dispone de requisito alguno de suplencia de capacidad. Esto quiere decir, por ejemplo, que una menor de</w:t>
      </w:r>
      <w:r w:rsidR="00D47F6C" w:rsidRPr="00232E12">
        <w:rPr>
          <w:rFonts w:ascii="Book Antiqua" w:hAnsi="Book Antiqua"/>
          <w:szCs w:val="24"/>
        </w:rPr>
        <w:t xml:space="preserve">  </w:t>
      </w:r>
      <w:r w:rsidRPr="00232E12">
        <w:rPr>
          <w:rFonts w:ascii="Book Antiqua" w:hAnsi="Book Antiqua"/>
          <w:szCs w:val="24"/>
        </w:rPr>
        <w:t xml:space="preserve"> </w:t>
      </w:r>
      <w:r w:rsidR="00A82F6D" w:rsidRPr="00232E12">
        <w:rPr>
          <w:rFonts w:ascii="Book Antiqua" w:hAnsi="Book Antiqua"/>
          <w:szCs w:val="24"/>
        </w:rPr>
        <w:t xml:space="preserve">dieciocho (18) </w:t>
      </w:r>
      <w:r w:rsidRPr="00232E12">
        <w:rPr>
          <w:rFonts w:ascii="Book Antiqua" w:hAnsi="Book Antiqua"/>
          <w:szCs w:val="24"/>
        </w:rPr>
        <w:t xml:space="preserve">años no puede consentir a sacarse una muela en el dentista, pero sí </w:t>
      </w:r>
      <w:r w:rsidR="00740D16" w:rsidRPr="00232E12">
        <w:rPr>
          <w:rFonts w:ascii="Book Antiqua" w:hAnsi="Book Antiqua"/>
          <w:szCs w:val="24"/>
        </w:rPr>
        <w:t>puede consentir</w:t>
      </w:r>
      <w:r w:rsidR="00A82F6D" w:rsidRPr="00232E12">
        <w:rPr>
          <w:rFonts w:ascii="Book Antiqua" w:hAnsi="Book Antiqua"/>
          <w:szCs w:val="24"/>
        </w:rPr>
        <w:t xml:space="preserve"> </w:t>
      </w:r>
      <w:r w:rsidRPr="00232E12">
        <w:rPr>
          <w:rFonts w:ascii="Book Antiqua" w:hAnsi="Book Antiqua"/>
          <w:szCs w:val="24"/>
        </w:rPr>
        <w:t xml:space="preserve">a terminar un embarazo. No hay duda pues, que se trata de una incongruencia que </w:t>
      </w:r>
      <w:r w:rsidR="00DA2FF1">
        <w:rPr>
          <w:rFonts w:ascii="Book Antiqua" w:hAnsi="Book Antiqua"/>
          <w:szCs w:val="24"/>
        </w:rPr>
        <w:t>se persigue lle</w:t>
      </w:r>
      <w:r w:rsidR="00EA3A33">
        <w:rPr>
          <w:rFonts w:ascii="Book Antiqua" w:hAnsi="Book Antiqua"/>
          <w:szCs w:val="24"/>
        </w:rPr>
        <w:t>n</w:t>
      </w:r>
      <w:r w:rsidR="00DA2FF1">
        <w:rPr>
          <w:rFonts w:ascii="Book Antiqua" w:hAnsi="Book Antiqua"/>
          <w:szCs w:val="24"/>
        </w:rPr>
        <w:t xml:space="preserve">ar </w:t>
      </w:r>
      <w:r w:rsidRPr="00232E12">
        <w:rPr>
          <w:rFonts w:ascii="Book Antiqua" w:hAnsi="Book Antiqua"/>
          <w:szCs w:val="24"/>
        </w:rPr>
        <w:t>en favor del mejor bienestar de las menores. Toda mujer embaraza</w:t>
      </w:r>
      <w:r w:rsidR="0012434E" w:rsidRPr="00232E12">
        <w:rPr>
          <w:rFonts w:ascii="Book Antiqua" w:hAnsi="Book Antiqua"/>
          <w:szCs w:val="24"/>
        </w:rPr>
        <w:t>da</w:t>
      </w:r>
      <w:r w:rsidRPr="00232E12">
        <w:rPr>
          <w:rFonts w:ascii="Book Antiqua" w:hAnsi="Book Antiqua"/>
          <w:szCs w:val="24"/>
        </w:rPr>
        <w:t xml:space="preserve"> que decide abortar debe conocer las repercusiones que trae consigo esa decisión, así como las consecuencias psicológicas y físicas que dicho procedimiento podría conllevar a corto, mediano y largo plazo. A su vez, se le debe proteger de presiones indebidas. Si esto debe ser así para una mujer adulta, todavía más debe serlo para una menor cuyo estado de vulnerabilidad es mayor por razón de la inmadurez típica de su etapa de desarrollo físico, cognitivo y psicoemocional. </w:t>
      </w:r>
    </w:p>
    <w:p w14:paraId="56AC198C" w14:textId="45B50A60" w:rsidR="009A0705" w:rsidRPr="00232E12" w:rsidRDefault="009A0705" w:rsidP="00232E12">
      <w:pPr>
        <w:spacing w:before="120" w:after="120" w:line="360" w:lineRule="auto"/>
        <w:ind w:firstLine="360"/>
        <w:jc w:val="both"/>
        <w:rPr>
          <w:rFonts w:ascii="Book Antiqua" w:hAnsi="Book Antiqua"/>
          <w:szCs w:val="24"/>
        </w:rPr>
      </w:pPr>
      <w:r w:rsidRPr="00232E12">
        <w:rPr>
          <w:rFonts w:ascii="Book Antiqua" w:hAnsi="Book Antiqua"/>
          <w:szCs w:val="24"/>
        </w:rPr>
        <w:t xml:space="preserve">El aborto provocado </w:t>
      </w:r>
      <w:r w:rsidR="00E87A7D" w:rsidRPr="00232E12">
        <w:rPr>
          <w:rFonts w:ascii="Book Antiqua" w:hAnsi="Book Antiqua"/>
          <w:szCs w:val="24"/>
        </w:rPr>
        <w:t xml:space="preserve">es una </w:t>
      </w:r>
      <w:r w:rsidRPr="00232E12">
        <w:rPr>
          <w:rFonts w:ascii="Book Antiqua" w:hAnsi="Book Antiqua"/>
          <w:szCs w:val="24"/>
        </w:rPr>
        <w:t xml:space="preserve">práctica que implica la terminación voluntaria de la vida humana en desarrollo, es una decisión que, por su naturaleza permanente e irrevocable, conlleva, no pocas veces, el sufrimiento de heridas emocionales difíciles de sanar. Los trastornos psicológicos en las jóvenes, como consecuencia de un aborto, se pueden presentar años después del mismo afectando, incluso, sus relaciones interpersonales y familiares. Conscientes de las implicaciones tanto físicas como </w:t>
      </w:r>
      <w:r w:rsidR="00B02376" w:rsidRPr="00232E12">
        <w:rPr>
          <w:rFonts w:ascii="Book Antiqua" w:hAnsi="Book Antiqua"/>
          <w:szCs w:val="24"/>
        </w:rPr>
        <w:t>psicológica</w:t>
      </w:r>
      <w:r w:rsidRPr="00232E12">
        <w:rPr>
          <w:rFonts w:ascii="Book Antiqua" w:hAnsi="Book Antiqua"/>
          <w:szCs w:val="24"/>
        </w:rPr>
        <w:t xml:space="preserve">s que pueden </w:t>
      </w:r>
      <w:r w:rsidRPr="00232E12">
        <w:rPr>
          <w:rFonts w:ascii="Book Antiqua" w:hAnsi="Book Antiqua"/>
          <w:szCs w:val="24"/>
        </w:rPr>
        <w:lastRenderedPageBreak/>
        <w:t xml:space="preserve">arrastrar las jóvenes a través del resto de sus vidas como consecuencia de un aborto, el </w:t>
      </w:r>
      <w:r w:rsidR="00DA2FF1">
        <w:rPr>
          <w:rFonts w:ascii="Book Antiqua" w:hAnsi="Book Antiqua"/>
          <w:szCs w:val="24"/>
        </w:rPr>
        <w:t xml:space="preserve">Gobierno </w:t>
      </w:r>
      <w:r w:rsidRPr="00232E12">
        <w:rPr>
          <w:rFonts w:ascii="Book Antiqua" w:hAnsi="Book Antiqua"/>
          <w:szCs w:val="24"/>
        </w:rPr>
        <w:t>debe procurar -como lo hace para procedimiento</w:t>
      </w:r>
      <w:r w:rsidR="0012434E" w:rsidRPr="00232E12">
        <w:rPr>
          <w:rFonts w:ascii="Book Antiqua" w:hAnsi="Book Antiqua"/>
          <w:szCs w:val="24"/>
        </w:rPr>
        <w:t>s</w:t>
      </w:r>
      <w:r w:rsidRPr="00232E12">
        <w:rPr>
          <w:rFonts w:ascii="Book Antiqua" w:hAnsi="Book Antiqua"/>
          <w:szCs w:val="24"/>
        </w:rPr>
        <w:t xml:space="preserve"> médicos de menor impacto y riesgo- que una menor no tome este tipo de decisión sin la intervención de sus padres o custodio legal, o sin que el </w:t>
      </w:r>
      <w:r w:rsidR="00DA2FF1">
        <w:rPr>
          <w:rFonts w:ascii="Book Antiqua" w:hAnsi="Book Antiqua"/>
          <w:szCs w:val="24"/>
        </w:rPr>
        <w:t>Gobierno</w:t>
      </w:r>
      <w:r w:rsidRPr="00232E12">
        <w:rPr>
          <w:rFonts w:ascii="Book Antiqua" w:hAnsi="Book Antiqua"/>
          <w:szCs w:val="24"/>
        </w:rPr>
        <w:t xml:space="preserve"> se asegure que, en ausencia de estos, la menor </w:t>
      </w:r>
      <w:r w:rsidR="00D47F6C" w:rsidRPr="00232E12">
        <w:rPr>
          <w:rFonts w:ascii="Book Antiqua" w:hAnsi="Book Antiqua"/>
          <w:szCs w:val="24"/>
        </w:rPr>
        <w:t>está</w:t>
      </w:r>
      <w:r w:rsidRPr="00232E12">
        <w:rPr>
          <w:rFonts w:ascii="Book Antiqua" w:hAnsi="Book Antiqua"/>
          <w:szCs w:val="24"/>
        </w:rPr>
        <w:t xml:space="preserve"> capacitada para tomar dicha decisión de una manera libre, voluntaria e inteligentemente. </w:t>
      </w:r>
    </w:p>
    <w:p w14:paraId="2F12AF73" w14:textId="6ECCFFA3" w:rsidR="009A0705" w:rsidRPr="00232E12" w:rsidRDefault="009A0705" w:rsidP="00232E12">
      <w:pPr>
        <w:spacing w:before="120" w:after="120" w:line="360" w:lineRule="auto"/>
        <w:ind w:firstLine="360"/>
        <w:jc w:val="both"/>
        <w:rPr>
          <w:rFonts w:ascii="Book Antiqua" w:hAnsi="Book Antiqua"/>
          <w:szCs w:val="24"/>
        </w:rPr>
      </w:pPr>
      <w:r w:rsidRPr="00232E12">
        <w:rPr>
          <w:rFonts w:ascii="Book Antiqua" w:hAnsi="Book Antiqua"/>
          <w:szCs w:val="24"/>
        </w:rPr>
        <w:t xml:space="preserve"> </w:t>
      </w:r>
      <w:r w:rsidR="00E87A7D" w:rsidRPr="00232E12">
        <w:rPr>
          <w:rFonts w:ascii="Book Antiqua" w:hAnsi="Book Antiqua"/>
          <w:szCs w:val="24"/>
        </w:rPr>
        <w:t xml:space="preserve">Ante </w:t>
      </w:r>
      <w:r w:rsidRPr="00232E12">
        <w:rPr>
          <w:rFonts w:ascii="Book Antiqua" w:hAnsi="Book Antiqua"/>
          <w:szCs w:val="24"/>
        </w:rPr>
        <w:t>el interés apremiante de proteger el mejor bienestar de las menores, muchas jurisdicciones de Estados Unidos requieren, por ley, que los progenitores o custodios legales estén involucrados en todo el proceso conducente a un aborto.  De esta forma, no solo se busca asegurar que la menor sea guiada, ayudada y acompañada por quienes tienen el deber de procurar su mejor bienestar, sino que, además, con ello</w:t>
      </w:r>
      <w:r w:rsidR="00A82F6D" w:rsidRPr="00232E12">
        <w:rPr>
          <w:rFonts w:ascii="Book Antiqua" w:hAnsi="Book Antiqua"/>
          <w:szCs w:val="24"/>
        </w:rPr>
        <w:t>,</w:t>
      </w:r>
      <w:r w:rsidRPr="00232E12">
        <w:rPr>
          <w:rFonts w:ascii="Book Antiqua" w:hAnsi="Book Antiqua"/>
          <w:szCs w:val="24"/>
        </w:rPr>
        <w:t xml:space="preserve"> se busca prevenir y combatir el abuso sexual de menores. Y es que, mientras una menor pueda realizarse un aborto sin el conocimiento y consentimiento de al menos de uno de los progenitores, las niñas y jóvenes continuarán siendo presas fáciles de quienes saben que pueden abusar sexualmente de ellas y forzarlas a abortar sin que nadie se dé cuenta.</w:t>
      </w:r>
    </w:p>
    <w:p w14:paraId="7B14F885" w14:textId="41CDE192" w:rsidR="009508A2" w:rsidRPr="00232E12" w:rsidRDefault="009508A2" w:rsidP="00232E12">
      <w:pPr>
        <w:spacing w:before="120" w:after="120" w:line="360" w:lineRule="auto"/>
        <w:ind w:firstLine="360"/>
        <w:jc w:val="both"/>
        <w:rPr>
          <w:rFonts w:ascii="Book Antiqua" w:hAnsi="Book Antiqua" w:cs="Segoe UI"/>
          <w:color w:val="0D0D0D"/>
          <w:shd w:val="clear" w:color="auto" w:fill="FFFFFF"/>
        </w:rPr>
      </w:pPr>
      <w:r w:rsidRPr="00232E12">
        <w:rPr>
          <w:rFonts w:ascii="Book Antiqua" w:hAnsi="Book Antiqua" w:cs="Segoe UI"/>
          <w:color w:val="0D0D0D"/>
          <w:shd w:val="clear" w:color="auto" w:fill="FFFFFF"/>
        </w:rPr>
        <w:t xml:space="preserve">En </w:t>
      </w:r>
      <w:proofErr w:type="spellStart"/>
      <w:r w:rsidRPr="00740D16">
        <w:rPr>
          <w:rFonts w:ascii="Book Antiqua" w:hAnsi="Book Antiqua" w:cs="Segoe UI"/>
          <w:color w:val="0D0D0D"/>
          <w:u w:val="single"/>
          <w:shd w:val="clear" w:color="auto" w:fill="FFFFFF"/>
        </w:rPr>
        <w:t>Dobbs</w:t>
      </w:r>
      <w:proofErr w:type="spellEnd"/>
      <w:r w:rsidRPr="00740D16">
        <w:rPr>
          <w:rFonts w:ascii="Book Antiqua" w:hAnsi="Book Antiqua" w:cs="Segoe UI"/>
          <w:color w:val="0D0D0D"/>
          <w:u w:val="single"/>
          <w:shd w:val="clear" w:color="auto" w:fill="FFFFFF"/>
        </w:rPr>
        <w:t xml:space="preserve"> v. Jackson </w:t>
      </w:r>
      <w:proofErr w:type="spellStart"/>
      <w:r w:rsidRPr="00740D16">
        <w:rPr>
          <w:rFonts w:ascii="Book Antiqua" w:hAnsi="Book Antiqua" w:cs="Segoe UI"/>
          <w:color w:val="0D0D0D"/>
          <w:u w:val="single"/>
          <w:shd w:val="clear" w:color="auto" w:fill="FFFFFF"/>
        </w:rPr>
        <w:t>Women’s</w:t>
      </w:r>
      <w:proofErr w:type="spellEnd"/>
      <w:r w:rsidRPr="00740D16">
        <w:rPr>
          <w:rFonts w:ascii="Book Antiqua" w:hAnsi="Book Antiqua" w:cs="Segoe UI"/>
          <w:color w:val="0D0D0D"/>
          <w:u w:val="single"/>
          <w:shd w:val="clear" w:color="auto" w:fill="FFFFFF"/>
        </w:rPr>
        <w:t xml:space="preserve"> </w:t>
      </w:r>
      <w:proofErr w:type="spellStart"/>
      <w:r w:rsidRPr="00740D16">
        <w:rPr>
          <w:rFonts w:ascii="Book Antiqua" w:hAnsi="Book Antiqua" w:cs="Segoe UI"/>
          <w:color w:val="0D0D0D"/>
          <w:u w:val="single"/>
          <w:shd w:val="clear" w:color="auto" w:fill="FFFFFF"/>
        </w:rPr>
        <w:t>Health</w:t>
      </w:r>
      <w:proofErr w:type="spellEnd"/>
      <w:r w:rsidRPr="00740D16">
        <w:rPr>
          <w:rFonts w:ascii="Book Antiqua" w:hAnsi="Book Antiqua" w:cs="Segoe UI"/>
          <w:color w:val="0D0D0D"/>
          <w:u w:val="single"/>
          <w:shd w:val="clear" w:color="auto" w:fill="FFFFFF"/>
        </w:rPr>
        <w:t xml:space="preserve"> </w:t>
      </w:r>
      <w:proofErr w:type="spellStart"/>
      <w:r w:rsidRPr="00740D16">
        <w:rPr>
          <w:rFonts w:ascii="Book Antiqua" w:hAnsi="Book Antiqua" w:cs="Segoe UI"/>
          <w:color w:val="0D0D0D"/>
          <w:u w:val="single"/>
          <w:shd w:val="clear" w:color="auto" w:fill="FFFFFF"/>
        </w:rPr>
        <w:t>Org</w:t>
      </w:r>
      <w:proofErr w:type="spellEnd"/>
      <w:r w:rsidRPr="00740D16">
        <w:rPr>
          <w:rFonts w:ascii="Book Antiqua" w:hAnsi="Book Antiqua" w:cs="Segoe UI"/>
          <w:color w:val="0D0D0D"/>
          <w:u w:val="single"/>
          <w:shd w:val="clear" w:color="auto" w:fill="FFFFFF"/>
        </w:rPr>
        <w:t>.</w:t>
      </w:r>
      <w:r w:rsidRPr="00232E12">
        <w:rPr>
          <w:rFonts w:ascii="Book Antiqua" w:hAnsi="Book Antiqua" w:cs="Segoe UI"/>
          <w:color w:val="0D0D0D"/>
          <w:shd w:val="clear" w:color="auto" w:fill="FFFFFF"/>
        </w:rPr>
        <w:t xml:space="preserve">, el Tribunal Supremo de los Estados Unidos determinó que la constitución federal no garantiza, ni contiene protección alguna, en cuanto al aborto. </w:t>
      </w:r>
      <w:r w:rsidR="00DA2FF1" w:rsidRPr="00232E12">
        <w:rPr>
          <w:rFonts w:ascii="Book Antiqua" w:hAnsi="Book Antiqua" w:cs="Segoe UI"/>
          <w:color w:val="0D0D0D"/>
          <w:shd w:val="clear" w:color="auto" w:fill="FFFFFF"/>
        </w:rPr>
        <w:t>Fun</w:t>
      </w:r>
      <w:r w:rsidR="00DA2FF1">
        <w:rPr>
          <w:rFonts w:ascii="Book Antiqua" w:hAnsi="Book Antiqua" w:cs="Segoe UI"/>
          <w:color w:val="0D0D0D"/>
          <w:shd w:val="clear" w:color="auto" w:fill="FFFFFF"/>
        </w:rPr>
        <w:t>d</w:t>
      </w:r>
      <w:r w:rsidR="00DA2FF1" w:rsidRPr="00232E12">
        <w:rPr>
          <w:rFonts w:ascii="Book Antiqua" w:hAnsi="Book Antiqua" w:cs="Segoe UI"/>
          <w:color w:val="0D0D0D"/>
          <w:shd w:val="clear" w:color="auto" w:fill="FFFFFF"/>
        </w:rPr>
        <w:t>amentándose</w:t>
      </w:r>
      <w:r w:rsidRPr="00232E12">
        <w:rPr>
          <w:rFonts w:ascii="Book Antiqua" w:hAnsi="Book Antiqua" w:cs="Segoe UI"/>
          <w:color w:val="0D0D0D"/>
          <w:shd w:val="clear" w:color="auto" w:fill="FFFFFF"/>
        </w:rPr>
        <w:t xml:space="preserve"> en esta decisión, </w:t>
      </w:r>
      <w:r w:rsidR="009F2459" w:rsidRPr="00232E12">
        <w:rPr>
          <w:rFonts w:ascii="Book Antiqua" w:hAnsi="Book Antiqua" w:cs="Segoe UI"/>
          <w:color w:val="0D0D0D"/>
          <w:shd w:val="clear" w:color="auto" w:fill="FFFFFF"/>
        </w:rPr>
        <w:t xml:space="preserve">el Tribunal Supremo federal </w:t>
      </w:r>
      <w:r w:rsidRPr="00232E12">
        <w:rPr>
          <w:rFonts w:ascii="Book Antiqua" w:hAnsi="Book Antiqua" w:cs="Segoe UI"/>
          <w:color w:val="0D0D0D"/>
          <w:shd w:val="clear" w:color="auto" w:fill="FFFFFF"/>
        </w:rPr>
        <w:t>revocó</w:t>
      </w:r>
      <w:r w:rsidR="009F2459" w:rsidRPr="00232E12">
        <w:rPr>
          <w:rFonts w:ascii="Book Antiqua" w:hAnsi="Book Antiqua" w:cs="Segoe UI"/>
          <w:color w:val="0D0D0D"/>
          <w:shd w:val="clear" w:color="auto" w:fill="FFFFFF"/>
        </w:rPr>
        <w:t xml:space="preserve"> los casos de</w:t>
      </w:r>
      <w:r w:rsidRPr="00232E12">
        <w:rPr>
          <w:rFonts w:ascii="Book Antiqua" w:hAnsi="Book Antiqua" w:cs="Segoe UI"/>
          <w:color w:val="0D0D0D"/>
          <w:shd w:val="clear" w:color="auto" w:fill="FFFFFF"/>
        </w:rPr>
        <w:t xml:space="preserve"> </w:t>
      </w:r>
      <w:r w:rsidRPr="00EA3A33">
        <w:rPr>
          <w:rFonts w:ascii="Book Antiqua" w:hAnsi="Book Antiqua" w:cs="Segoe UI"/>
          <w:color w:val="0D0D0D"/>
          <w:u w:val="single"/>
          <w:shd w:val="clear" w:color="auto" w:fill="FFFFFF"/>
        </w:rPr>
        <w:t>Roe v. Wade</w:t>
      </w:r>
      <w:r w:rsidRPr="00232E12">
        <w:rPr>
          <w:rFonts w:ascii="Book Antiqua" w:hAnsi="Book Antiqua" w:cs="Segoe UI"/>
          <w:color w:val="0D0D0D"/>
          <w:shd w:val="clear" w:color="auto" w:fill="FFFFFF"/>
        </w:rPr>
        <w:t xml:space="preserve">, 410 U.S. 113 (1973), y </w:t>
      </w:r>
      <w:proofErr w:type="spellStart"/>
      <w:r w:rsidRPr="00740D16">
        <w:rPr>
          <w:rFonts w:ascii="Book Antiqua" w:hAnsi="Book Antiqua" w:cs="Segoe UI"/>
          <w:color w:val="0D0D0D"/>
          <w:u w:val="single"/>
          <w:shd w:val="clear" w:color="auto" w:fill="FFFFFF"/>
        </w:rPr>
        <w:t>Planned</w:t>
      </w:r>
      <w:proofErr w:type="spellEnd"/>
      <w:r w:rsidRPr="00740D16">
        <w:rPr>
          <w:rFonts w:ascii="Book Antiqua" w:hAnsi="Book Antiqua" w:cs="Segoe UI"/>
          <w:color w:val="0D0D0D"/>
          <w:u w:val="single"/>
          <w:shd w:val="clear" w:color="auto" w:fill="FFFFFF"/>
        </w:rPr>
        <w:t xml:space="preserve"> </w:t>
      </w:r>
      <w:proofErr w:type="spellStart"/>
      <w:r w:rsidRPr="00740D16">
        <w:rPr>
          <w:rFonts w:ascii="Book Antiqua" w:hAnsi="Book Antiqua" w:cs="Segoe UI"/>
          <w:color w:val="0D0D0D"/>
          <w:u w:val="single"/>
          <w:shd w:val="clear" w:color="auto" w:fill="FFFFFF"/>
        </w:rPr>
        <w:t>Parenthood</w:t>
      </w:r>
      <w:proofErr w:type="spellEnd"/>
      <w:r w:rsidRPr="00740D16">
        <w:rPr>
          <w:rFonts w:ascii="Book Antiqua" w:hAnsi="Book Antiqua" w:cs="Segoe UI"/>
          <w:color w:val="0D0D0D"/>
          <w:u w:val="single"/>
          <w:shd w:val="clear" w:color="auto" w:fill="FFFFFF"/>
        </w:rPr>
        <w:t xml:space="preserve"> of </w:t>
      </w:r>
      <w:proofErr w:type="spellStart"/>
      <w:r w:rsidRPr="00740D16">
        <w:rPr>
          <w:rFonts w:ascii="Book Antiqua" w:hAnsi="Book Antiqua" w:cs="Segoe UI"/>
          <w:color w:val="0D0D0D"/>
          <w:u w:val="single"/>
          <w:shd w:val="clear" w:color="auto" w:fill="FFFFFF"/>
        </w:rPr>
        <w:t>Southeastern</w:t>
      </w:r>
      <w:proofErr w:type="spellEnd"/>
      <w:r w:rsidRPr="00740D16">
        <w:rPr>
          <w:rFonts w:ascii="Book Antiqua" w:hAnsi="Book Antiqua" w:cs="Segoe UI"/>
          <w:color w:val="0D0D0D"/>
          <w:u w:val="single"/>
          <w:shd w:val="clear" w:color="auto" w:fill="FFFFFF"/>
        </w:rPr>
        <w:t xml:space="preserve"> Pennsylvania v. Casey</w:t>
      </w:r>
      <w:r w:rsidRPr="00232E12">
        <w:rPr>
          <w:rFonts w:ascii="Book Antiqua" w:hAnsi="Book Antiqua" w:cs="Segoe UI"/>
          <w:color w:val="0D0D0D"/>
          <w:shd w:val="clear" w:color="auto" w:fill="FFFFFF"/>
        </w:rPr>
        <w:t xml:space="preserve">, 505 U.S. 833 (1992) —casos que habían reconocido un amplio derecho al aborto bajo la </w:t>
      </w:r>
      <w:r w:rsidR="009F2459" w:rsidRPr="00232E12">
        <w:rPr>
          <w:rFonts w:ascii="Book Antiqua" w:hAnsi="Book Antiqua" w:cs="Segoe UI"/>
          <w:color w:val="0D0D0D"/>
          <w:shd w:val="clear" w:color="auto" w:fill="FFFFFF"/>
        </w:rPr>
        <w:t xml:space="preserve">constitución </w:t>
      </w:r>
      <w:r w:rsidRPr="00232E12">
        <w:rPr>
          <w:rFonts w:ascii="Book Antiqua" w:hAnsi="Book Antiqua" w:cs="Segoe UI"/>
          <w:color w:val="0D0D0D"/>
          <w:shd w:val="clear" w:color="auto" w:fill="FFFFFF"/>
        </w:rPr>
        <w:t xml:space="preserve">federal. Al revocar esas decisiones, </w:t>
      </w:r>
      <w:r w:rsidR="009F2459" w:rsidRPr="00232E12">
        <w:rPr>
          <w:rFonts w:ascii="Book Antiqua" w:hAnsi="Book Antiqua" w:cs="Segoe UI"/>
          <w:color w:val="0D0D0D"/>
          <w:shd w:val="clear" w:color="auto" w:fill="FFFFFF"/>
        </w:rPr>
        <w:t xml:space="preserve">el Tribunal Supremo en </w:t>
      </w:r>
      <w:proofErr w:type="spellStart"/>
      <w:r w:rsidRPr="00740D16">
        <w:rPr>
          <w:rFonts w:ascii="Book Antiqua" w:hAnsi="Book Antiqua" w:cs="Segoe UI"/>
          <w:color w:val="0D0D0D"/>
          <w:u w:val="single"/>
          <w:shd w:val="clear" w:color="auto" w:fill="FFFFFF"/>
        </w:rPr>
        <w:t>Dobbs</w:t>
      </w:r>
      <w:proofErr w:type="spellEnd"/>
      <w:r w:rsidRPr="00232E12">
        <w:rPr>
          <w:rFonts w:ascii="Book Antiqua" w:hAnsi="Book Antiqua" w:cs="Segoe UI"/>
          <w:color w:val="0D0D0D"/>
          <w:shd w:val="clear" w:color="auto" w:fill="FFFFFF"/>
        </w:rPr>
        <w:t xml:space="preserve"> devolvió al pueblo y a sus representantes electos la autoridad para regular el aborto</w:t>
      </w:r>
      <w:r w:rsidR="009F2459" w:rsidRPr="00232E12">
        <w:rPr>
          <w:rFonts w:ascii="Book Antiqua" w:hAnsi="Book Antiqua" w:cs="Segoe UI"/>
          <w:color w:val="0D0D0D"/>
          <w:shd w:val="clear" w:color="auto" w:fill="FFFFFF"/>
        </w:rPr>
        <w:t xml:space="preserve"> en cada estado o territorio de los Estados Unidos de América.</w:t>
      </w:r>
    </w:p>
    <w:p w14:paraId="22C2224B" w14:textId="4862E520" w:rsidR="000814BD" w:rsidRPr="00232E12" w:rsidRDefault="009F2459" w:rsidP="00232E12">
      <w:pPr>
        <w:spacing w:before="120" w:after="120" w:line="360" w:lineRule="auto"/>
        <w:ind w:firstLine="360"/>
        <w:jc w:val="both"/>
        <w:rPr>
          <w:rFonts w:ascii="Book Antiqua" w:hAnsi="Book Antiqua"/>
          <w:szCs w:val="24"/>
        </w:rPr>
      </w:pPr>
      <w:r w:rsidRPr="00232E12">
        <w:rPr>
          <w:rFonts w:ascii="Book Antiqua" w:hAnsi="Book Antiqua"/>
          <w:szCs w:val="24"/>
        </w:rPr>
        <w:t xml:space="preserve">Por consiguiente, esta </w:t>
      </w:r>
      <w:r w:rsidR="0044103B">
        <w:rPr>
          <w:rFonts w:ascii="Book Antiqua" w:hAnsi="Book Antiqua"/>
          <w:szCs w:val="24"/>
        </w:rPr>
        <w:t xml:space="preserve">Asamblea Legislativa </w:t>
      </w:r>
      <w:r w:rsidRPr="00232E12">
        <w:rPr>
          <w:rFonts w:ascii="Book Antiqua" w:hAnsi="Book Antiqua"/>
          <w:szCs w:val="24"/>
        </w:rPr>
        <w:t xml:space="preserve">tiene amplia discreción al momento de regular el aborto en Puerto Rico, en especial en aquellos casos en donde una menor de </w:t>
      </w:r>
      <w:r w:rsidR="0044103B">
        <w:rPr>
          <w:rFonts w:ascii="Book Antiqua" w:hAnsi="Book Antiqua"/>
          <w:szCs w:val="24"/>
        </w:rPr>
        <w:t xml:space="preserve">(15) </w:t>
      </w:r>
      <w:r w:rsidR="005B66B5" w:rsidRPr="00232E12">
        <w:rPr>
          <w:rFonts w:ascii="Book Antiqua" w:hAnsi="Book Antiqua"/>
          <w:szCs w:val="24"/>
        </w:rPr>
        <w:t>quince años o menos</w:t>
      </w:r>
      <w:r w:rsidRPr="00232E12">
        <w:rPr>
          <w:rFonts w:ascii="Book Antiqua" w:hAnsi="Book Antiqua"/>
          <w:szCs w:val="24"/>
        </w:rPr>
        <w:t xml:space="preserve"> acude a una clínica de aborto con el propósito de terminar con su embarazo</w:t>
      </w:r>
      <w:r w:rsidR="005B66B5" w:rsidRPr="00232E12">
        <w:rPr>
          <w:rFonts w:ascii="Book Antiqua" w:hAnsi="Book Antiqua"/>
          <w:szCs w:val="24"/>
        </w:rPr>
        <w:t xml:space="preserve"> y cumple con los parámetros dispuesto en </w:t>
      </w:r>
      <w:r w:rsidR="0044103B">
        <w:rPr>
          <w:rFonts w:ascii="Book Antiqua" w:hAnsi="Book Antiqua"/>
          <w:szCs w:val="24"/>
        </w:rPr>
        <w:t xml:space="preserve">el </w:t>
      </w:r>
      <w:r w:rsidR="005B66B5" w:rsidRPr="00232E12">
        <w:rPr>
          <w:rFonts w:ascii="Book Antiqua" w:hAnsi="Book Antiqua"/>
          <w:szCs w:val="24"/>
        </w:rPr>
        <w:t>ordenamiento jurídico para llevarse a cabo un aborto</w:t>
      </w:r>
      <w:r w:rsidRPr="00232E12">
        <w:rPr>
          <w:rFonts w:ascii="Book Antiqua" w:hAnsi="Book Antiqua"/>
          <w:szCs w:val="24"/>
        </w:rPr>
        <w:t xml:space="preserve">. </w:t>
      </w:r>
    </w:p>
    <w:p w14:paraId="4FDBB018" w14:textId="0ECBD189" w:rsidR="002F14DE" w:rsidRPr="00232E12" w:rsidRDefault="000814BD" w:rsidP="00232E12">
      <w:pPr>
        <w:spacing w:before="120" w:after="120" w:line="360" w:lineRule="auto"/>
        <w:ind w:firstLine="360"/>
        <w:jc w:val="both"/>
      </w:pPr>
      <w:r w:rsidRPr="00232E12">
        <w:rPr>
          <w:rFonts w:ascii="Book Antiqua" w:hAnsi="Book Antiqua"/>
          <w:szCs w:val="24"/>
        </w:rPr>
        <w:lastRenderedPageBreak/>
        <w:tab/>
        <w:t xml:space="preserve">Como parte del estudio de esta medida, la Comisión de Asuntos de Vida y Familia hizo un referido a varias agencias, entre ellas al Departamento de Justicia, a raíz de la información brindada por los centros de terminación de embarazo que apuntaba a posibles casos de abuso sexual a menores e incumplimiento de las clínicas de aborto con su deber de notificación, para los años 2018-2022 al amparo, de la Ley 246-2011. El 22 de febrero de 2024, el Departamento de Justicia le rindió un informe a la Comisión con sus hallazgos luego de investigar sesenta y siete (67) casos de menores de </w:t>
      </w:r>
      <w:r w:rsidR="0044103B">
        <w:rPr>
          <w:rFonts w:ascii="Book Antiqua" w:hAnsi="Book Antiqua"/>
          <w:szCs w:val="24"/>
        </w:rPr>
        <w:t>quine (</w:t>
      </w:r>
      <w:r w:rsidRPr="00232E12">
        <w:rPr>
          <w:rFonts w:ascii="Book Antiqua" w:hAnsi="Book Antiqua"/>
          <w:szCs w:val="24"/>
        </w:rPr>
        <w:t>15</w:t>
      </w:r>
      <w:r w:rsidR="0044103B">
        <w:rPr>
          <w:rFonts w:ascii="Book Antiqua" w:hAnsi="Book Antiqua"/>
          <w:szCs w:val="24"/>
        </w:rPr>
        <w:t>)</w:t>
      </w:r>
      <w:r w:rsidRPr="00232E12">
        <w:rPr>
          <w:rFonts w:ascii="Book Antiqua" w:hAnsi="Book Antiqua"/>
          <w:szCs w:val="24"/>
        </w:rPr>
        <w:t xml:space="preserve"> años o menos a quienes las clínicas de aborto le practicaron un aborto entre el 2018 al 2022.</w:t>
      </w:r>
      <w:r w:rsidR="002F14DE" w:rsidRPr="00232E12">
        <w:rPr>
          <w:rFonts w:ascii="Book Antiqua" w:hAnsi="Book Antiqua"/>
          <w:szCs w:val="24"/>
        </w:rPr>
        <w:t xml:space="preserve"> Dos (2) niñas de las sesenta y siete (67) identificadas por el Departamento de Justicia, resultaron ser víctimas de agresión sexual. En treinta y dos (32) de los sesenta y cinco (65) casos en donde el Departamento de Justicia descartó agresión sexual, el embarazo se produjo entre menores de edad. Es decir, tanto la niña como el niño eran menores de dieciséis (16) años. En veintidós (22) casos se trató de niñas de catorce (14) o quince (15) años que sostuvieron relaciones sexuales con varones de dieciocho (18) a diecinueve (19) años. Es decir, estas menores quedaron embarazadas de personas cuya diferencia de edad con ellas era igual o menor de cuatro (4) años. En ocho (8) casos las menores quedaron embarazadas como producto de una relación con una persona cuya diferencia de edad excedía los cuatro (4) años.</w:t>
      </w:r>
      <w:r w:rsidR="002F14DE" w:rsidRPr="00232E12">
        <w:t xml:space="preserve"> </w:t>
      </w:r>
    </w:p>
    <w:p w14:paraId="36C9B8D7" w14:textId="06A915D6" w:rsidR="002F14DE" w:rsidRPr="00232E12" w:rsidRDefault="002F14DE" w:rsidP="00232E12">
      <w:pPr>
        <w:spacing w:before="120" w:after="120" w:line="360" w:lineRule="auto"/>
        <w:ind w:firstLine="360"/>
        <w:jc w:val="both"/>
        <w:rPr>
          <w:rFonts w:ascii="Book Antiqua" w:hAnsi="Book Antiqua"/>
          <w:szCs w:val="24"/>
        </w:rPr>
      </w:pPr>
      <w:r w:rsidRPr="00232E12">
        <w:rPr>
          <w:rFonts w:ascii="Book Antiqua" w:hAnsi="Book Antiqua"/>
          <w:szCs w:val="24"/>
        </w:rPr>
        <w:t xml:space="preserve">De los sesenta y siete (67) casos de menores de </w:t>
      </w:r>
      <w:r w:rsidR="0044103B">
        <w:rPr>
          <w:rFonts w:ascii="Book Antiqua" w:hAnsi="Book Antiqua"/>
          <w:szCs w:val="24"/>
        </w:rPr>
        <w:t>quince (</w:t>
      </w:r>
      <w:r w:rsidRPr="00232E12">
        <w:rPr>
          <w:rFonts w:ascii="Book Antiqua" w:hAnsi="Book Antiqua"/>
          <w:szCs w:val="24"/>
        </w:rPr>
        <w:t>15</w:t>
      </w:r>
      <w:r w:rsidR="0044103B">
        <w:rPr>
          <w:rFonts w:ascii="Book Antiqua" w:hAnsi="Book Antiqua"/>
          <w:szCs w:val="24"/>
        </w:rPr>
        <w:t>)</w:t>
      </w:r>
      <w:r w:rsidRPr="00232E12">
        <w:rPr>
          <w:rFonts w:ascii="Book Antiqua" w:hAnsi="Book Antiqua"/>
          <w:szCs w:val="24"/>
        </w:rPr>
        <w:t xml:space="preserve"> años o menos embarazadas a quienes le practicaron un aborto y que, según la ley, debieron ser referidos para investigación por sospecha de abuso sexual, solo una clínica hizo tres (3) referidos. Sesenta y cuatro (64) casos no fueron referidos a las autoridades.</w:t>
      </w:r>
    </w:p>
    <w:p w14:paraId="1E7625EE" w14:textId="2688B3D8" w:rsidR="002F14DE" w:rsidRPr="00232E12" w:rsidRDefault="002F14DE" w:rsidP="00232E12">
      <w:pPr>
        <w:spacing w:before="120" w:after="120" w:line="360" w:lineRule="auto"/>
        <w:ind w:firstLine="360"/>
        <w:jc w:val="both"/>
        <w:rPr>
          <w:rFonts w:ascii="Book Antiqua" w:hAnsi="Book Antiqua"/>
          <w:szCs w:val="24"/>
        </w:rPr>
      </w:pPr>
      <w:r w:rsidRPr="00232E12">
        <w:rPr>
          <w:rFonts w:ascii="Book Antiqua" w:hAnsi="Book Antiqua"/>
          <w:szCs w:val="24"/>
        </w:rPr>
        <w:t>A su vez, del informe rendido por el Departamento de Justicia a la Comisión surge que treinta y seis (36) de los sesenta y siete (67) casos la menor fue acompañada con su madre, o madre y padre. A su vez, en treinta (30) de los casos, del expediente de la clínica de aborto o de la entrevista a la menor, no surge si esta fue acompañada o fue sola a realizarse un aborto. En un solo expediente surge específicamente que la menor fue sola.</w:t>
      </w:r>
    </w:p>
    <w:p w14:paraId="6C2A2BE9" w14:textId="12E5F80F" w:rsidR="00407B40" w:rsidRPr="00232E12" w:rsidRDefault="009A0705" w:rsidP="00232E12">
      <w:pPr>
        <w:spacing w:before="120" w:after="120" w:line="360" w:lineRule="auto"/>
        <w:ind w:firstLine="360"/>
        <w:jc w:val="both"/>
        <w:rPr>
          <w:rFonts w:ascii="Book Antiqua" w:hAnsi="Book Antiqua"/>
          <w:szCs w:val="24"/>
        </w:rPr>
      </w:pPr>
      <w:r w:rsidRPr="00232E12">
        <w:rPr>
          <w:rFonts w:ascii="Book Antiqua" w:hAnsi="Book Antiqua"/>
          <w:szCs w:val="24"/>
        </w:rPr>
        <w:lastRenderedPageBreak/>
        <w:tab/>
      </w:r>
      <w:r w:rsidR="002F14DE" w:rsidRPr="00232E12">
        <w:rPr>
          <w:rFonts w:ascii="Book Antiqua" w:hAnsi="Book Antiqua"/>
          <w:szCs w:val="24"/>
        </w:rPr>
        <w:t xml:space="preserve">Como resultado de lo </w:t>
      </w:r>
      <w:r w:rsidR="00740D16" w:rsidRPr="00232E12">
        <w:rPr>
          <w:rFonts w:ascii="Book Antiqua" w:hAnsi="Book Antiqua"/>
          <w:szCs w:val="24"/>
        </w:rPr>
        <w:t>anterior, esta</w:t>
      </w:r>
      <w:r w:rsidR="002F14DE" w:rsidRPr="00232E12">
        <w:rPr>
          <w:rFonts w:ascii="Book Antiqua" w:hAnsi="Book Antiqua"/>
          <w:szCs w:val="24"/>
        </w:rPr>
        <w:t xml:space="preserve"> </w:t>
      </w:r>
      <w:r w:rsidRPr="00232E12">
        <w:rPr>
          <w:rFonts w:ascii="Book Antiqua" w:hAnsi="Book Antiqua"/>
          <w:szCs w:val="24"/>
        </w:rPr>
        <w:t>Asamblea Legislativa reitera su compromiso con el bienestar de los menores, en este caso, particularmente de las niñas y las jóvenes en Puerto Rico</w:t>
      </w:r>
      <w:r w:rsidR="002F14DE" w:rsidRPr="00232E12">
        <w:rPr>
          <w:rFonts w:ascii="Book Antiqua" w:hAnsi="Book Antiqua"/>
          <w:szCs w:val="24"/>
        </w:rPr>
        <w:t xml:space="preserve"> menores de 15 años o menos</w:t>
      </w:r>
      <w:r w:rsidRPr="00232E12">
        <w:rPr>
          <w:rFonts w:ascii="Book Antiqua" w:hAnsi="Book Antiqua"/>
          <w:szCs w:val="24"/>
        </w:rPr>
        <w:t xml:space="preserve">, y como signo de este compromiso aprueba esta </w:t>
      </w:r>
      <w:r w:rsidR="000E7E80" w:rsidRPr="00232E12">
        <w:rPr>
          <w:rFonts w:ascii="Book Antiqua" w:hAnsi="Book Antiqua"/>
          <w:szCs w:val="24"/>
        </w:rPr>
        <w:t>Ley</w:t>
      </w:r>
      <w:r w:rsidRPr="00232E12">
        <w:rPr>
          <w:rFonts w:ascii="Book Antiqua" w:hAnsi="Book Antiqua"/>
          <w:szCs w:val="24"/>
        </w:rPr>
        <w:t>.</w:t>
      </w:r>
    </w:p>
    <w:p w14:paraId="62108F8D" w14:textId="77777777" w:rsidR="004E10AA" w:rsidRPr="00232E12" w:rsidRDefault="004E10AA" w:rsidP="002B0A58">
      <w:pPr>
        <w:spacing w:line="480" w:lineRule="auto"/>
        <w:jc w:val="both"/>
        <w:rPr>
          <w:rFonts w:ascii="Book Antiqua" w:hAnsi="Book Antiqua"/>
          <w:b/>
          <w:szCs w:val="24"/>
        </w:rPr>
      </w:pPr>
      <w:r w:rsidRPr="00232E12">
        <w:rPr>
          <w:rFonts w:ascii="Book Antiqua" w:hAnsi="Book Antiqua"/>
          <w:b/>
        </w:rPr>
        <w:t>DECRÉTASE POR LA ASAMBLEA LEGISLATIVA DE PUERTO RICO:</w:t>
      </w:r>
    </w:p>
    <w:p w14:paraId="72A3D3EC" w14:textId="77777777" w:rsidR="00475A08" w:rsidRPr="00232E12" w:rsidRDefault="00475A08" w:rsidP="002B0A58">
      <w:pPr>
        <w:pStyle w:val="BodyText"/>
        <w:spacing w:line="480" w:lineRule="auto"/>
        <w:rPr>
          <w:rFonts w:ascii="Book Antiqua" w:hAnsi="Book Antiqua"/>
          <w:szCs w:val="24"/>
          <w:lang w:val="es-PR"/>
        </w:rPr>
        <w:sectPr w:rsidR="00475A08" w:rsidRPr="00232E12" w:rsidSect="00A1332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14:paraId="530D1446" w14:textId="7D7823E3"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Artículo 1.- Esta Ley se denominará “</w:t>
      </w:r>
      <w:r w:rsidR="00740D16" w:rsidRPr="00232E12">
        <w:rPr>
          <w:rFonts w:ascii="Book Antiqua" w:hAnsi="Book Antiqua"/>
          <w:szCs w:val="24"/>
        </w:rPr>
        <w:t xml:space="preserve">Ley </w:t>
      </w:r>
      <w:r w:rsidR="00740D16" w:rsidRPr="00232E12">
        <w:rPr>
          <w:rFonts w:ascii="Book Antiqua" w:eastAsia="ヒラギノ角ゴ Pro W3" w:hAnsi="Book Antiqua"/>
          <w:color w:val="000000"/>
          <w:spacing w:val="-3"/>
          <w:szCs w:val="24"/>
          <w:lang w:val="es-ES"/>
        </w:rPr>
        <w:t>para</w:t>
      </w:r>
      <w:r w:rsidR="002F14DE" w:rsidRPr="00232E12">
        <w:rPr>
          <w:rFonts w:ascii="Book Antiqua" w:eastAsia="ヒラギノ角ゴ Pro W3" w:hAnsi="Book Antiqua"/>
          <w:color w:val="000000"/>
          <w:spacing w:val="-3"/>
          <w:szCs w:val="24"/>
          <w:lang w:val="es-ES"/>
        </w:rPr>
        <w:t xml:space="preserve"> establecer </w:t>
      </w:r>
      <w:r w:rsidR="00E87A7D" w:rsidRPr="00232E12">
        <w:rPr>
          <w:rFonts w:ascii="Book Antiqua" w:eastAsia="ヒラギノ角ゴ Pro W3" w:hAnsi="Book Antiqua"/>
          <w:color w:val="000000"/>
          <w:spacing w:val="-3"/>
          <w:szCs w:val="24"/>
          <w:lang w:val="es-ES"/>
        </w:rPr>
        <w:t xml:space="preserve">un </w:t>
      </w:r>
      <w:r w:rsidR="002F14DE" w:rsidRPr="00232E12">
        <w:rPr>
          <w:rFonts w:ascii="Book Antiqua" w:eastAsia="ヒラギノ角ゴ Pro W3" w:hAnsi="Book Antiqua"/>
          <w:color w:val="000000"/>
          <w:spacing w:val="-3"/>
          <w:szCs w:val="24"/>
          <w:lang w:val="es-ES"/>
        </w:rPr>
        <w:t xml:space="preserve">protocolo de manejo de casos de abortos en menores de quince </w:t>
      </w:r>
      <w:r w:rsidR="0044103B">
        <w:rPr>
          <w:rFonts w:ascii="Book Antiqua" w:eastAsia="ヒラギノ角ゴ Pro W3" w:hAnsi="Book Antiqua"/>
          <w:color w:val="000000"/>
          <w:spacing w:val="-3"/>
          <w:szCs w:val="24"/>
          <w:lang w:val="es-ES"/>
        </w:rPr>
        <w:t xml:space="preserve">(15) </w:t>
      </w:r>
      <w:r w:rsidR="002F14DE" w:rsidRPr="00232E12">
        <w:rPr>
          <w:rFonts w:ascii="Book Antiqua" w:eastAsia="ヒラギノ角ゴ Pro W3" w:hAnsi="Book Antiqua"/>
          <w:color w:val="000000"/>
          <w:spacing w:val="-3"/>
          <w:szCs w:val="24"/>
          <w:lang w:val="es-ES"/>
        </w:rPr>
        <w:t>años o menos en Puerto Rico”</w:t>
      </w:r>
      <w:r w:rsidRPr="00232E12">
        <w:rPr>
          <w:rFonts w:ascii="Book Antiqua" w:hAnsi="Book Antiqua"/>
          <w:szCs w:val="24"/>
        </w:rPr>
        <w:t>.</w:t>
      </w:r>
    </w:p>
    <w:p w14:paraId="299B92B4" w14:textId="55E6775E"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Artículo 2.- Política Pública</w:t>
      </w:r>
      <w:r w:rsidR="00592A0A">
        <w:rPr>
          <w:rFonts w:ascii="Book Antiqua" w:hAnsi="Book Antiqua"/>
          <w:szCs w:val="24"/>
        </w:rPr>
        <w:t>.</w:t>
      </w:r>
    </w:p>
    <w:p w14:paraId="1780CF4D" w14:textId="3D6077F0" w:rsidR="00A34D0C" w:rsidRPr="00232E12" w:rsidRDefault="00A34D0C" w:rsidP="00232E12">
      <w:pPr>
        <w:pStyle w:val="BodyText"/>
        <w:spacing w:line="480" w:lineRule="auto"/>
        <w:ind w:firstLine="360"/>
        <w:rPr>
          <w:rFonts w:ascii="Book Antiqua" w:hAnsi="Book Antiqua"/>
          <w:szCs w:val="24"/>
          <w:lang w:val="es-ES"/>
        </w:rPr>
      </w:pPr>
      <w:r w:rsidRPr="00232E12">
        <w:rPr>
          <w:rFonts w:ascii="Book Antiqua" w:hAnsi="Book Antiqua"/>
          <w:szCs w:val="24"/>
        </w:rPr>
        <w:t xml:space="preserve">Será política pública del Gobierno de Puerto Rico garantizar el cuidado, la </w:t>
      </w:r>
      <w:r w:rsidR="00740D16" w:rsidRPr="00232E12">
        <w:rPr>
          <w:rFonts w:ascii="Book Antiqua" w:hAnsi="Book Antiqua"/>
          <w:szCs w:val="24"/>
        </w:rPr>
        <w:t>salud, la</w:t>
      </w:r>
      <w:r w:rsidRPr="00232E12">
        <w:rPr>
          <w:rFonts w:ascii="Book Antiqua" w:hAnsi="Book Antiqua"/>
          <w:szCs w:val="24"/>
        </w:rPr>
        <w:t xml:space="preserve"> seguridad y el consentimiento informado que merece </w:t>
      </w:r>
      <w:r w:rsidR="00B85FE7" w:rsidRPr="00232E12">
        <w:rPr>
          <w:rFonts w:ascii="Book Antiqua" w:hAnsi="Book Antiqua"/>
          <w:szCs w:val="24"/>
        </w:rPr>
        <w:t>toda menor</w:t>
      </w:r>
      <w:r w:rsidR="00073BB8" w:rsidRPr="00232E12">
        <w:rPr>
          <w:rFonts w:ascii="Book Antiqua" w:hAnsi="Book Antiqua"/>
          <w:szCs w:val="24"/>
        </w:rPr>
        <w:t xml:space="preserve"> de </w:t>
      </w:r>
      <w:r w:rsidR="0044103B">
        <w:rPr>
          <w:rFonts w:ascii="Book Antiqua" w:hAnsi="Book Antiqua"/>
          <w:szCs w:val="24"/>
        </w:rPr>
        <w:t>quince (</w:t>
      </w:r>
      <w:r w:rsidR="00073BB8" w:rsidRPr="00232E12">
        <w:rPr>
          <w:rFonts w:ascii="Book Antiqua" w:hAnsi="Book Antiqua"/>
          <w:szCs w:val="24"/>
        </w:rPr>
        <w:t>15</w:t>
      </w:r>
      <w:r w:rsidR="0044103B">
        <w:rPr>
          <w:rFonts w:ascii="Book Antiqua" w:hAnsi="Book Antiqua"/>
          <w:szCs w:val="24"/>
        </w:rPr>
        <w:t>)</w:t>
      </w:r>
      <w:r w:rsidR="00073BB8" w:rsidRPr="00232E12">
        <w:rPr>
          <w:rFonts w:ascii="Book Antiqua" w:hAnsi="Book Antiqua"/>
          <w:szCs w:val="24"/>
        </w:rPr>
        <w:t xml:space="preserve"> años o </w:t>
      </w:r>
      <w:r w:rsidR="00B85FE7" w:rsidRPr="00232E12">
        <w:rPr>
          <w:rFonts w:ascii="Book Antiqua" w:hAnsi="Book Antiqua"/>
          <w:szCs w:val="24"/>
        </w:rPr>
        <w:t>menos que</w:t>
      </w:r>
      <w:r w:rsidRPr="00232E12">
        <w:rPr>
          <w:rFonts w:ascii="Book Antiqua" w:hAnsi="Book Antiqua"/>
          <w:szCs w:val="24"/>
        </w:rPr>
        <w:t xml:space="preserve"> determine culminar voluntariamente con su estado de gestación</w:t>
      </w:r>
      <w:r w:rsidR="004262E4" w:rsidRPr="00232E12">
        <w:rPr>
          <w:rFonts w:ascii="Book Antiqua" w:hAnsi="Book Antiqua"/>
          <w:szCs w:val="24"/>
        </w:rPr>
        <w:t xml:space="preserve">. Para lograr esta política pública </w:t>
      </w:r>
      <w:r w:rsidRPr="00232E12">
        <w:rPr>
          <w:rFonts w:ascii="Book Antiqua" w:hAnsi="Book Antiqua"/>
          <w:szCs w:val="24"/>
        </w:rPr>
        <w:t xml:space="preserve"> todas aquellas clínicas, centros, hospitales que cuenten con centro de terminación de embarazos y médicos que realicen este tipo de procedimientos, </w:t>
      </w:r>
      <w:r w:rsidR="004262E4" w:rsidRPr="00232E12">
        <w:rPr>
          <w:rFonts w:ascii="Book Antiqua" w:hAnsi="Book Antiqua"/>
          <w:szCs w:val="24"/>
        </w:rPr>
        <w:t xml:space="preserve">deberán cumplir con el siguiente protocolo y </w:t>
      </w:r>
      <w:r w:rsidRPr="00232E12">
        <w:rPr>
          <w:rFonts w:ascii="Book Antiqua" w:hAnsi="Book Antiqua"/>
          <w:szCs w:val="24"/>
        </w:rPr>
        <w:t xml:space="preserve"> requisitos previo a la realización del aborto: </w:t>
      </w:r>
      <w:bookmarkStart w:id="1" w:name="_Hlk164635238"/>
      <w:r w:rsidR="004262E4" w:rsidRPr="00232E12">
        <w:rPr>
          <w:rFonts w:ascii="Book Antiqua" w:hAnsi="Book Antiqua"/>
          <w:szCs w:val="24"/>
        </w:rPr>
        <w:t xml:space="preserve">(1) </w:t>
      </w:r>
      <w:r w:rsidRPr="00232E12">
        <w:rPr>
          <w:rFonts w:ascii="Book Antiqua" w:hAnsi="Book Antiqua"/>
          <w:szCs w:val="24"/>
        </w:rPr>
        <w:t xml:space="preserve">notificar y obtener el consentimiento </w:t>
      </w:r>
      <w:r w:rsidR="00073BB8" w:rsidRPr="00232E12">
        <w:rPr>
          <w:rFonts w:ascii="Book Antiqua" w:hAnsi="Book Antiqua"/>
          <w:szCs w:val="24"/>
        </w:rPr>
        <w:t xml:space="preserve">informado </w:t>
      </w:r>
      <w:r w:rsidRPr="00232E12">
        <w:rPr>
          <w:rFonts w:ascii="Book Antiqua" w:hAnsi="Book Antiqua"/>
          <w:szCs w:val="24"/>
        </w:rPr>
        <w:t xml:space="preserve">de al menos uno de los progenitores </w:t>
      </w:r>
      <w:r w:rsidR="008A26D8" w:rsidRPr="00232E12">
        <w:rPr>
          <w:rFonts w:ascii="Book Antiqua" w:hAnsi="Book Antiqua"/>
          <w:szCs w:val="24"/>
        </w:rPr>
        <w:t xml:space="preserve">que ostente la patria potestad </w:t>
      </w:r>
      <w:r w:rsidRPr="00232E12">
        <w:rPr>
          <w:rFonts w:ascii="Book Antiqua" w:hAnsi="Book Antiqua"/>
          <w:szCs w:val="24"/>
        </w:rPr>
        <w:t xml:space="preserve">o </w:t>
      </w:r>
      <w:r w:rsidR="00BC3BF1" w:rsidRPr="00232E12">
        <w:rPr>
          <w:rFonts w:ascii="Book Antiqua" w:hAnsi="Book Antiqua"/>
          <w:szCs w:val="24"/>
        </w:rPr>
        <w:t xml:space="preserve">del </w:t>
      </w:r>
      <w:r w:rsidRPr="00232E12">
        <w:rPr>
          <w:rFonts w:ascii="Book Antiqua" w:hAnsi="Book Antiqua"/>
          <w:szCs w:val="24"/>
        </w:rPr>
        <w:t>custodio legal de la menor</w:t>
      </w:r>
      <w:r w:rsidR="00073BB8" w:rsidRPr="00232E12">
        <w:rPr>
          <w:rFonts w:ascii="Book Antiqua" w:hAnsi="Book Antiqua"/>
          <w:szCs w:val="24"/>
        </w:rPr>
        <w:t>, quien deberá estar presente con la menor al momento de acudir a llevarse a cabo la terminación de embarazo</w:t>
      </w:r>
      <w:r w:rsidR="004262E4" w:rsidRPr="00232E12">
        <w:rPr>
          <w:rFonts w:ascii="Book Antiqua" w:hAnsi="Book Antiqua"/>
          <w:szCs w:val="24"/>
        </w:rPr>
        <w:t xml:space="preserve">; (2) documentar </w:t>
      </w:r>
      <w:r w:rsidR="004262E4" w:rsidRPr="00232E12">
        <w:rPr>
          <w:rFonts w:ascii="Book Antiqua" w:hAnsi="Book Antiqua"/>
          <w:color w:val="000000"/>
          <w:szCs w:val="24"/>
        </w:rPr>
        <w:t>en el expediente de la menor los datos de identificación del progenitor o tutor legal que la acompaña; (3) hacer un referido inmediato al Departamento de la Familia, aun cuando el padre, la madre o el tutor legal preste el consentimiento informado para la terminación de embarazo; (</w:t>
      </w:r>
      <w:r w:rsidR="0044103B">
        <w:rPr>
          <w:rFonts w:ascii="Book Antiqua" w:hAnsi="Book Antiqua"/>
          <w:color w:val="000000"/>
          <w:szCs w:val="24"/>
        </w:rPr>
        <w:t>4</w:t>
      </w:r>
      <w:r w:rsidR="004262E4" w:rsidRPr="00232E12">
        <w:rPr>
          <w:rFonts w:ascii="Book Antiqua" w:hAnsi="Book Antiqua"/>
          <w:color w:val="000000"/>
          <w:szCs w:val="24"/>
        </w:rPr>
        <w:t>) documentar en el expediente de la menor el número de referido al Departamento de la Familia, la fecha y hora de este.</w:t>
      </w:r>
    </w:p>
    <w:bookmarkEnd w:id="1"/>
    <w:p w14:paraId="273CBA91" w14:textId="0D4B4557"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lastRenderedPageBreak/>
        <w:t xml:space="preserve"> Artículo 3.- Requisitos a Cumplirse por el Médico Previo al Procedimiento de Aborto en una Menor de </w:t>
      </w:r>
      <w:r w:rsidR="00073BB8" w:rsidRPr="00232E12">
        <w:rPr>
          <w:rFonts w:ascii="Book Antiqua" w:hAnsi="Book Antiqua"/>
          <w:szCs w:val="24"/>
        </w:rPr>
        <w:t xml:space="preserve">quince </w:t>
      </w:r>
      <w:r w:rsidR="00886829">
        <w:rPr>
          <w:rFonts w:ascii="Book Antiqua" w:hAnsi="Book Antiqua"/>
          <w:szCs w:val="24"/>
        </w:rPr>
        <w:t xml:space="preserve">(15) </w:t>
      </w:r>
      <w:r w:rsidR="00073BB8" w:rsidRPr="00232E12">
        <w:rPr>
          <w:rFonts w:ascii="Book Antiqua" w:hAnsi="Book Antiqua"/>
          <w:szCs w:val="24"/>
        </w:rPr>
        <w:t>años o menos.</w:t>
      </w:r>
    </w:p>
    <w:p w14:paraId="673D677B" w14:textId="0337D83A" w:rsidR="00A34D0C" w:rsidRPr="00232E12" w:rsidRDefault="61065582" w:rsidP="00232E12">
      <w:pPr>
        <w:pStyle w:val="BodyText"/>
        <w:spacing w:line="480" w:lineRule="auto"/>
        <w:ind w:firstLine="360"/>
        <w:rPr>
          <w:rFonts w:ascii="Book Antiqua" w:hAnsi="Book Antiqua"/>
          <w:lang w:val="es-ES"/>
        </w:rPr>
      </w:pPr>
      <w:r w:rsidRPr="00232E12">
        <w:rPr>
          <w:rFonts w:ascii="Book Antiqua" w:hAnsi="Book Antiqua"/>
          <w:lang w:val="es-ES"/>
        </w:rPr>
        <w:t>Ninguna clínica, centro, hospital o médico con licencia para practicar medicina en Puerto Rico podrá realizarle un aborto a una menor de quince</w:t>
      </w:r>
      <w:r w:rsidR="00886829">
        <w:rPr>
          <w:rFonts w:ascii="Book Antiqua" w:hAnsi="Book Antiqua"/>
          <w:lang w:val="es-ES"/>
        </w:rPr>
        <w:t xml:space="preserve"> (15)</w:t>
      </w:r>
      <w:r w:rsidRPr="00232E12">
        <w:rPr>
          <w:rFonts w:ascii="Book Antiqua" w:hAnsi="Book Antiqua"/>
          <w:lang w:val="es-ES"/>
        </w:rPr>
        <w:t xml:space="preserve"> años o menos, salvo que el médico que llevará a cabo el procedimiento o un agente de la clínica, centro u hospital, cumpla con los siguientes requisitos en cuanto al menos uno de los progenitores que ostente la patria potestad o el custodio legal de la menor: (1) </w:t>
      </w:r>
      <w:proofErr w:type="spellStart"/>
      <w:r w:rsidRPr="00232E12">
        <w:rPr>
          <w:rFonts w:ascii="Book Antiqua" w:hAnsi="Book Antiqua"/>
          <w:lang w:val="es-ES"/>
        </w:rPr>
        <w:t>este</w:t>
      </w:r>
      <w:proofErr w:type="spellEnd"/>
      <w:r w:rsidRPr="00232E12">
        <w:rPr>
          <w:rFonts w:ascii="Book Antiqua" w:hAnsi="Book Antiqua"/>
          <w:lang w:val="es-ES"/>
        </w:rPr>
        <w:t xml:space="preserve"> presente al momento de llevarse a cabo la terminación de embarazo; (2) firme un documento prestando su consentimiento informado con relación al aborto; (3) documente en el expediente de la menor los datos de identificación del padre, madre o tu</w:t>
      </w:r>
      <w:r w:rsidR="00886829">
        <w:rPr>
          <w:rFonts w:ascii="Book Antiqua" w:hAnsi="Book Antiqua"/>
          <w:lang w:val="es-ES"/>
        </w:rPr>
        <w:t>tor</w:t>
      </w:r>
      <w:r w:rsidRPr="00232E12">
        <w:rPr>
          <w:rFonts w:ascii="Book Antiqua" w:hAnsi="Book Antiqua"/>
          <w:lang w:val="es-ES"/>
        </w:rPr>
        <w:t xml:space="preserve"> legal que la acompaña y presta</w:t>
      </w:r>
      <w:r w:rsidR="000F7D7B">
        <w:rPr>
          <w:rFonts w:ascii="Book Antiqua" w:hAnsi="Book Antiqua"/>
          <w:lang w:val="es-ES"/>
        </w:rPr>
        <w:t>n</w:t>
      </w:r>
      <w:r w:rsidRPr="00232E12">
        <w:rPr>
          <w:rFonts w:ascii="Book Antiqua" w:hAnsi="Book Antiqua"/>
          <w:lang w:val="es-ES"/>
        </w:rPr>
        <w:t xml:space="preserve"> su consentimiento informado; (4) haga un referido al Departamento de la Familia, aun cuando el padre, la madre o el tutor legal preste su consentimiento informado para la terminación de embarazo; (</w:t>
      </w:r>
      <w:r w:rsidR="000F7D7B">
        <w:rPr>
          <w:rFonts w:ascii="Book Antiqua" w:hAnsi="Book Antiqua"/>
          <w:lang w:val="es-ES"/>
        </w:rPr>
        <w:t>5</w:t>
      </w:r>
      <w:r w:rsidRPr="00232E12">
        <w:rPr>
          <w:rFonts w:ascii="Book Antiqua" w:hAnsi="Book Antiqua"/>
          <w:lang w:val="es-ES"/>
        </w:rPr>
        <w:t xml:space="preserve">) documente en el expediente de la menor el número de referido al Departamento de la Familia, la fecha y hora de este.  </w:t>
      </w:r>
    </w:p>
    <w:p w14:paraId="665A4ED2" w14:textId="57BA4E8B" w:rsidR="00A34D0C" w:rsidRPr="00232E12" w:rsidRDefault="00A34D0C" w:rsidP="00232E12">
      <w:pPr>
        <w:pStyle w:val="BodyText"/>
        <w:spacing w:line="480" w:lineRule="auto"/>
        <w:ind w:firstLine="360"/>
        <w:rPr>
          <w:rFonts w:ascii="Book Antiqua" w:hAnsi="Book Antiqua"/>
          <w:lang w:val="es-ES"/>
        </w:rPr>
      </w:pPr>
      <w:r w:rsidRPr="00232E12">
        <w:rPr>
          <w:rFonts w:ascii="Book Antiqua" w:hAnsi="Book Antiqua"/>
          <w:lang w:val="es-ES"/>
        </w:rPr>
        <w:t>Artículo 4</w:t>
      </w:r>
      <w:r w:rsidR="00AB7A24" w:rsidRPr="00232E12">
        <w:rPr>
          <w:rFonts w:ascii="Book Antiqua" w:hAnsi="Book Antiqua"/>
          <w:lang w:val="es-ES"/>
        </w:rPr>
        <w:t>.</w:t>
      </w:r>
      <w:r w:rsidRPr="00232E12">
        <w:rPr>
          <w:rFonts w:ascii="Book Antiqua" w:hAnsi="Book Antiqua"/>
          <w:lang w:val="es-ES"/>
        </w:rPr>
        <w:t xml:space="preserve">- </w:t>
      </w:r>
      <w:r w:rsidR="003E3A8D" w:rsidRPr="00232E12">
        <w:rPr>
          <w:rFonts w:ascii="Book Antiqua" w:hAnsi="Book Antiqua"/>
          <w:lang w:val="es-ES"/>
        </w:rPr>
        <w:t>Excepción</w:t>
      </w:r>
      <w:r w:rsidR="00592A0A">
        <w:rPr>
          <w:rFonts w:ascii="Book Antiqua" w:hAnsi="Book Antiqua"/>
          <w:lang w:val="es-ES"/>
        </w:rPr>
        <w:t>.</w:t>
      </w:r>
    </w:p>
    <w:p w14:paraId="567A181B" w14:textId="71AE20F0" w:rsidR="00A34D0C" w:rsidRPr="00232E12" w:rsidRDefault="61065582" w:rsidP="00232E12">
      <w:pPr>
        <w:pStyle w:val="BodyText"/>
        <w:spacing w:line="480" w:lineRule="auto"/>
        <w:ind w:firstLine="360"/>
        <w:rPr>
          <w:rFonts w:ascii="Book Antiqua" w:hAnsi="Book Antiqua"/>
          <w:lang w:val="es-ES"/>
        </w:rPr>
      </w:pPr>
      <w:bookmarkStart w:id="2" w:name="_Hlk164635392"/>
      <w:r w:rsidRPr="00232E12">
        <w:rPr>
          <w:rFonts w:ascii="Book Antiqua" w:hAnsi="Book Antiqua"/>
          <w:color w:val="000000" w:themeColor="text1"/>
          <w:lang w:val="es-ES"/>
        </w:rPr>
        <w:t>En el caso que la menor de quince</w:t>
      </w:r>
      <w:r w:rsidR="000F7D7B">
        <w:rPr>
          <w:rFonts w:ascii="Book Antiqua" w:hAnsi="Book Antiqua"/>
          <w:color w:val="000000" w:themeColor="text1"/>
          <w:lang w:val="es-ES"/>
        </w:rPr>
        <w:t xml:space="preserve"> (15)</w:t>
      </w:r>
      <w:r w:rsidRPr="00232E12">
        <w:rPr>
          <w:rFonts w:ascii="Book Antiqua" w:hAnsi="Book Antiqua"/>
          <w:color w:val="000000" w:themeColor="text1"/>
          <w:lang w:val="es-ES"/>
        </w:rPr>
        <w:t xml:space="preserve"> años o menos alegue que el embarazo fue causado por su progenitor o tutor legal </w:t>
      </w:r>
      <w:r w:rsidR="00740D16" w:rsidRPr="00232E12">
        <w:rPr>
          <w:rFonts w:ascii="Book Antiqua" w:hAnsi="Book Antiqua"/>
          <w:color w:val="000000" w:themeColor="text1"/>
          <w:lang w:val="es-ES"/>
        </w:rPr>
        <w:t xml:space="preserve">la </w:t>
      </w:r>
      <w:r w:rsidR="00740D16" w:rsidRPr="00232E12">
        <w:rPr>
          <w:rFonts w:ascii="Book Antiqua" w:hAnsi="Book Antiqua"/>
          <w:lang w:val="es-ES"/>
        </w:rPr>
        <w:t>clínica</w:t>
      </w:r>
      <w:r w:rsidRPr="00232E12">
        <w:rPr>
          <w:rFonts w:ascii="Book Antiqua" w:hAnsi="Book Antiqua"/>
          <w:lang w:val="es-ES"/>
        </w:rPr>
        <w:t xml:space="preserve">, centro, hospital o médico que vaya </w:t>
      </w:r>
      <w:r w:rsidR="00B85FE7" w:rsidRPr="00232E12">
        <w:rPr>
          <w:rFonts w:ascii="Book Antiqua" w:hAnsi="Book Antiqua"/>
          <w:lang w:val="es-ES"/>
        </w:rPr>
        <w:t>a llevar</w:t>
      </w:r>
      <w:r w:rsidRPr="00232E12">
        <w:rPr>
          <w:rFonts w:ascii="Book Antiqua" w:hAnsi="Book Antiqua"/>
          <w:lang w:val="es-ES"/>
        </w:rPr>
        <w:t xml:space="preserve"> a cabo la terminación de embarazo estará eximido de cumplir con el requisito de la presenci</w:t>
      </w:r>
      <w:r w:rsidR="003E69F6" w:rsidRPr="00232E12">
        <w:rPr>
          <w:rFonts w:ascii="Book Antiqua" w:hAnsi="Book Antiqua"/>
          <w:lang w:val="es-ES"/>
        </w:rPr>
        <w:t>a</w:t>
      </w:r>
      <w:r w:rsidRPr="00232E12">
        <w:rPr>
          <w:rFonts w:ascii="Book Antiqua" w:hAnsi="Book Antiqua"/>
          <w:lang w:val="es-ES"/>
        </w:rPr>
        <w:t xml:space="preserve"> de uno de los progenitores que ostenta la patria potestad o el custodio legal de la menor, así como de la prestación del consentimiento informado por parte de estos. No obstante, vendrán obligados a</w:t>
      </w:r>
      <w:r w:rsidRPr="00232E12">
        <w:rPr>
          <w:color w:val="000000" w:themeColor="text1"/>
          <w:sz w:val="27"/>
          <w:szCs w:val="27"/>
          <w:lang w:val="es-ES"/>
        </w:rPr>
        <w:t xml:space="preserve"> </w:t>
      </w:r>
      <w:r w:rsidRPr="00232E12">
        <w:rPr>
          <w:rFonts w:ascii="Book Antiqua" w:hAnsi="Book Antiqua"/>
          <w:color w:val="000000" w:themeColor="text1"/>
          <w:lang w:val="es-ES"/>
        </w:rPr>
        <w:t xml:space="preserve">ejercer una custodia de emergencia al </w:t>
      </w:r>
      <w:r w:rsidRPr="00232E12">
        <w:rPr>
          <w:rFonts w:ascii="Book Antiqua" w:hAnsi="Book Antiqua"/>
          <w:color w:val="000000" w:themeColor="text1"/>
          <w:lang w:val="es-ES"/>
        </w:rPr>
        <w:lastRenderedPageBreak/>
        <w:t>amparo de la Ley 57-2023 en su Artículo 9. Deberá a su vez documentar en el expediente de la menor el número de referido al Departamento de la Familia, la fecha y hora de este</w:t>
      </w:r>
      <w:r w:rsidRPr="00232E12">
        <w:rPr>
          <w:color w:val="000000" w:themeColor="text1"/>
          <w:sz w:val="27"/>
          <w:szCs w:val="27"/>
          <w:lang w:val="es-ES"/>
        </w:rPr>
        <w:t>.</w:t>
      </w:r>
      <w:r w:rsidRPr="00232E12">
        <w:rPr>
          <w:rFonts w:ascii="Book Antiqua" w:hAnsi="Book Antiqua"/>
          <w:lang w:val="es-ES"/>
        </w:rPr>
        <w:t xml:space="preserve"> </w:t>
      </w:r>
      <w:bookmarkEnd w:id="2"/>
      <w:r w:rsidRPr="00232E12">
        <w:rPr>
          <w:rFonts w:ascii="Book Antiqua" w:hAnsi="Book Antiqua"/>
          <w:lang w:val="es-ES"/>
        </w:rPr>
        <w:t xml:space="preserve">   </w:t>
      </w:r>
    </w:p>
    <w:p w14:paraId="59CE5D7E" w14:textId="2243ADE0"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Artículo 5</w:t>
      </w:r>
      <w:r w:rsidR="00AB7A24" w:rsidRPr="00232E12">
        <w:rPr>
          <w:rFonts w:ascii="Book Antiqua" w:hAnsi="Book Antiqua"/>
          <w:szCs w:val="24"/>
        </w:rPr>
        <w:t>.</w:t>
      </w:r>
      <w:r w:rsidRPr="00232E12">
        <w:rPr>
          <w:rFonts w:ascii="Book Antiqua" w:hAnsi="Book Antiqua"/>
          <w:szCs w:val="24"/>
        </w:rPr>
        <w:t>- Consentimiento</w:t>
      </w:r>
      <w:r w:rsidR="009A73B7" w:rsidRPr="00232E12">
        <w:rPr>
          <w:rFonts w:ascii="Book Antiqua" w:hAnsi="Book Antiqua"/>
          <w:szCs w:val="24"/>
        </w:rPr>
        <w:t xml:space="preserve"> Informado</w:t>
      </w:r>
      <w:r w:rsidR="00592A0A">
        <w:rPr>
          <w:rFonts w:ascii="Book Antiqua" w:hAnsi="Book Antiqua"/>
          <w:szCs w:val="24"/>
        </w:rPr>
        <w:t>.</w:t>
      </w:r>
    </w:p>
    <w:p w14:paraId="50262144" w14:textId="77777777" w:rsidR="000E7E80" w:rsidRDefault="61065582" w:rsidP="00232E12">
      <w:pPr>
        <w:pStyle w:val="BodyText"/>
        <w:spacing w:line="480" w:lineRule="auto"/>
        <w:ind w:firstLine="360"/>
        <w:rPr>
          <w:rFonts w:ascii="Book Antiqua" w:hAnsi="Book Antiqua"/>
          <w:lang w:val="es-ES"/>
        </w:rPr>
      </w:pPr>
      <w:r w:rsidRPr="00232E12">
        <w:rPr>
          <w:rFonts w:ascii="Book Antiqua" w:hAnsi="Book Antiqua"/>
          <w:lang w:val="es-ES"/>
        </w:rPr>
        <w:t xml:space="preserve">El progenitor que ostente la patria potestad o el custodio legal que esté presente, y acompañe a la </w:t>
      </w:r>
      <w:r w:rsidR="00740D16" w:rsidRPr="00232E12">
        <w:rPr>
          <w:rFonts w:ascii="Book Antiqua" w:hAnsi="Book Antiqua"/>
          <w:lang w:val="es-ES"/>
        </w:rPr>
        <w:t>menor, deberá</w:t>
      </w:r>
      <w:r w:rsidRPr="00232E12">
        <w:rPr>
          <w:rFonts w:ascii="Book Antiqua" w:hAnsi="Book Antiqua"/>
          <w:lang w:val="es-ES"/>
        </w:rPr>
        <w:t xml:space="preserve"> prestar su consentimiento informado por escrito como requisito previo a que la clínica, centro, hospital o médico lleve a cabo la terminación del embarazo. El consentimiento informado deberá constar por escrito y ser firmado en la instalación donde el procedimiento de aborto se llevará a cabo.</w:t>
      </w:r>
      <w:r w:rsidR="00592A0A">
        <w:rPr>
          <w:rFonts w:ascii="Book Antiqua" w:hAnsi="Book Antiqua"/>
          <w:lang w:val="es-ES"/>
        </w:rPr>
        <w:t xml:space="preserve"> </w:t>
      </w:r>
    </w:p>
    <w:p w14:paraId="1F752571" w14:textId="03149BE7"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El</w:t>
      </w:r>
      <w:r w:rsidR="00592A0A">
        <w:rPr>
          <w:rFonts w:ascii="Book Antiqua" w:hAnsi="Book Antiqua"/>
          <w:szCs w:val="24"/>
        </w:rPr>
        <w:t xml:space="preserve"> p</w:t>
      </w:r>
      <w:r w:rsidRPr="00232E12">
        <w:rPr>
          <w:rFonts w:ascii="Book Antiqua" w:hAnsi="Book Antiqua"/>
          <w:szCs w:val="24"/>
        </w:rPr>
        <w:t>rogenitor</w:t>
      </w:r>
      <w:r w:rsidR="00BC3BF1" w:rsidRPr="00232E12">
        <w:rPr>
          <w:rFonts w:ascii="Book Antiqua" w:hAnsi="Book Antiqua"/>
          <w:szCs w:val="24"/>
        </w:rPr>
        <w:t xml:space="preserve"> que ostente la patria potestad</w:t>
      </w:r>
      <w:r w:rsidRPr="00232E12">
        <w:rPr>
          <w:rFonts w:ascii="Book Antiqua" w:hAnsi="Book Antiqua"/>
          <w:szCs w:val="24"/>
        </w:rPr>
        <w:t xml:space="preserve"> o </w:t>
      </w:r>
      <w:r w:rsidR="00612C5A" w:rsidRPr="00232E12">
        <w:rPr>
          <w:rFonts w:ascii="Book Antiqua" w:hAnsi="Book Antiqua"/>
          <w:szCs w:val="24"/>
        </w:rPr>
        <w:t xml:space="preserve">el </w:t>
      </w:r>
      <w:r w:rsidRPr="00232E12">
        <w:rPr>
          <w:rFonts w:ascii="Book Antiqua" w:hAnsi="Book Antiqua"/>
          <w:szCs w:val="24"/>
        </w:rPr>
        <w:t xml:space="preserve">custodio legal que firma el consentimiento </w:t>
      </w:r>
      <w:r w:rsidR="009A73B7" w:rsidRPr="00232E12">
        <w:rPr>
          <w:rFonts w:ascii="Book Antiqua" w:hAnsi="Book Antiqua"/>
          <w:szCs w:val="24"/>
        </w:rPr>
        <w:t xml:space="preserve">informado </w:t>
      </w:r>
      <w:r w:rsidRPr="00232E12">
        <w:rPr>
          <w:rFonts w:ascii="Book Antiqua" w:hAnsi="Book Antiqua"/>
          <w:szCs w:val="24"/>
        </w:rPr>
        <w:t xml:space="preserve">presentará identificación con foto y firma, expedida por </w:t>
      </w:r>
      <w:r w:rsidR="00E87A7D" w:rsidRPr="00232E12">
        <w:rPr>
          <w:rFonts w:ascii="Book Antiqua" w:hAnsi="Book Antiqua"/>
          <w:szCs w:val="24"/>
        </w:rPr>
        <w:t xml:space="preserve">una </w:t>
      </w:r>
      <w:r w:rsidRPr="00232E12">
        <w:rPr>
          <w:rFonts w:ascii="Book Antiqua" w:hAnsi="Book Antiqua"/>
          <w:szCs w:val="24"/>
        </w:rPr>
        <w:t>autoridad competente del Estado Libre Asociado de Puerto Rico</w:t>
      </w:r>
      <w:r w:rsidR="00B85FE7">
        <w:rPr>
          <w:rFonts w:ascii="Book Antiqua" w:hAnsi="Book Antiqua"/>
          <w:szCs w:val="24"/>
        </w:rPr>
        <w:t xml:space="preserve"> </w:t>
      </w:r>
      <w:r w:rsidR="00A44787" w:rsidRPr="00232E12">
        <w:rPr>
          <w:rFonts w:ascii="Book Antiqua" w:hAnsi="Book Antiqua"/>
          <w:szCs w:val="24"/>
        </w:rPr>
        <w:t>o de los Estados Unidos de América, lo cual incluye el pasaporte emitido por la mencionada jurisdicción, así como aquel pasaporte o documento debidamente expedido por una autoridad extranjera</w:t>
      </w:r>
      <w:r w:rsidRPr="00232E12">
        <w:rPr>
          <w:rFonts w:ascii="Book Antiqua" w:hAnsi="Book Antiqua"/>
          <w:szCs w:val="24"/>
        </w:rPr>
        <w:t xml:space="preserve">. El médico incluirá copia en el expediente de la menor del consentimiento </w:t>
      </w:r>
      <w:r w:rsidR="009A73B7" w:rsidRPr="00232E12">
        <w:rPr>
          <w:rFonts w:ascii="Book Antiqua" w:hAnsi="Book Antiqua"/>
          <w:szCs w:val="24"/>
        </w:rPr>
        <w:t xml:space="preserve">informado </w:t>
      </w:r>
      <w:r w:rsidRPr="00232E12">
        <w:rPr>
          <w:rFonts w:ascii="Book Antiqua" w:hAnsi="Book Antiqua"/>
          <w:szCs w:val="24"/>
        </w:rPr>
        <w:t>provisto y de la identificación utilizada. Este expediente deberá mantenerse por un tiempo no menor de cinco (5) años.</w:t>
      </w:r>
    </w:p>
    <w:p w14:paraId="3DB95DE9" w14:textId="775116D1"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Artículo</w:t>
      </w:r>
      <w:r w:rsidR="009A73B7" w:rsidRPr="00232E12">
        <w:rPr>
          <w:rFonts w:ascii="Book Antiqua" w:hAnsi="Book Antiqua"/>
          <w:szCs w:val="24"/>
        </w:rPr>
        <w:t xml:space="preserve"> </w:t>
      </w:r>
      <w:r w:rsidR="00B85FE7" w:rsidRPr="00232E12">
        <w:rPr>
          <w:rFonts w:ascii="Book Antiqua" w:hAnsi="Book Antiqua"/>
          <w:szCs w:val="24"/>
        </w:rPr>
        <w:t>6.</w:t>
      </w:r>
      <w:r w:rsidR="000F7D7B">
        <w:rPr>
          <w:rFonts w:ascii="Book Antiqua" w:hAnsi="Book Antiqua"/>
          <w:szCs w:val="24"/>
        </w:rPr>
        <w:t>-</w:t>
      </w:r>
      <w:r w:rsidRPr="00232E12">
        <w:rPr>
          <w:rFonts w:ascii="Book Antiqua" w:hAnsi="Book Antiqua"/>
          <w:szCs w:val="24"/>
        </w:rPr>
        <w:t xml:space="preserve"> Preeminencia de la Vida de la Madre Menor de Edad</w:t>
      </w:r>
      <w:r w:rsidR="00592A0A">
        <w:rPr>
          <w:rFonts w:ascii="Book Antiqua" w:hAnsi="Book Antiqua"/>
          <w:szCs w:val="24"/>
        </w:rPr>
        <w:t>.</w:t>
      </w:r>
    </w:p>
    <w:p w14:paraId="1BC4AC3F" w14:textId="60AE12F1"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Nada en esta Ley se podrá interpretar a los fines de impedir que se lleve a cabo un aborto en una menor</w:t>
      </w:r>
      <w:r w:rsidR="009A73B7" w:rsidRPr="00232E12">
        <w:rPr>
          <w:rFonts w:ascii="Book Antiqua" w:hAnsi="Book Antiqua"/>
          <w:szCs w:val="24"/>
        </w:rPr>
        <w:t xml:space="preserve"> de quince </w:t>
      </w:r>
      <w:r w:rsidR="000F7D7B">
        <w:rPr>
          <w:rFonts w:ascii="Book Antiqua" w:hAnsi="Book Antiqua"/>
          <w:szCs w:val="24"/>
        </w:rPr>
        <w:t xml:space="preserve">(15) </w:t>
      </w:r>
      <w:r w:rsidR="009A73B7" w:rsidRPr="00232E12">
        <w:rPr>
          <w:rFonts w:ascii="Book Antiqua" w:hAnsi="Book Antiqua"/>
          <w:szCs w:val="24"/>
        </w:rPr>
        <w:t xml:space="preserve">años o </w:t>
      </w:r>
      <w:r w:rsidR="00B85FE7" w:rsidRPr="00232E12">
        <w:rPr>
          <w:rFonts w:ascii="Book Antiqua" w:hAnsi="Book Antiqua"/>
          <w:szCs w:val="24"/>
        </w:rPr>
        <w:t>menos cuando</w:t>
      </w:r>
      <w:r w:rsidRPr="00232E12">
        <w:rPr>
          <w:rFonts w:ascii="Book Antiqua" w:hAnsi="Book Antiqua"/>
          <w:szCs w:val="24"/>
        </w:rPr>
        <w:t xml:space="preserve"> por razón médica se requiera que se lleve a cabo el mismo de manera inmediata y necesaria para salvar la vida de la menor embarazada.</w:t>
      </w:r>
    </w:p>
    <w:p w14:paraId="63487F09" w14:textId="6201506C"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lastRenderedPageBreak/>
        <w:t>Artículo</w:t>
      </w:r>
      <w:r w:rsidR="00CC3CEE" w:rsidRPr="00232E12">
        <w:rPr>
          <w:rFonts w:ascii="Book Antiqua" w:hAnsi="Book Antiqua"/>
          <w:szCs w:val="24"/>
        </w:rPr>
        <w:t xml:space="preserve"> 7</w:t>
      </w:r>
      <w:r w:rsidRPr="00232E12">
        <w:rPr>
          <w:rFonts w:ascii="Book Antiqua" w:hAnsi="Book Antiqua"/>
          <w:szCs w:val="24"/>
        </w:rPr>
        <w:t xml:space="preserve"> - Prohibición de Coacción</w:t>
      </w:r>
      <w:r w:rsidR="00592A0A">
        <w:rPr>
          <w:rFonts w:ascii="Book Antiqua" w:hAnsi="Book Antiqua"/>
          <w:szCs w:val="24"/>
        </w:rPr>
        <w:t>.</w:t>
      </w:r>
    </w:p>
    <w:p w14:paraId="4D3AAB4F" w14:textId="4060EC64"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 xml:space="preserve">Cualquier persona </w:t>
      </w:r>
      <w:r w:rsidR="00C16C51" w:rsidRPr="00232E12">
        <w:rPr>
          <w:rFonts w:ascii="Book Antiqua" w:hAnsi="Book Antiqua"/>
          <w:szCs w:val="24"/>
        </w:rPr>
        <w:t>que</w:t>
      </w:r>
      <w:r w:rsidRPr="00232E12">
        <w:rPr>
          <w:rFonts w:ascii="Book Antiqua" w:hAnsi="Book Antiqua"/>
          <w:szCs w:val="24"/>
        </w:rPr>
        <w:t xml:space="preserve"> </w:t>
      </w:r>
      <w:r w:rsidR="00C16C51" w:rsidRPr="00232E12">
        <w:rPr>
          <w:rFonts w:ascii="Book Antiqua" w:hAnsi="Book Antiqua"/>
          <w:szCs w:val="24"/>
        </w:rPr>
        <w:t xml:space="preserve">mediante el uso de la fuerza, coacción, amenaza, o violencia física </w:t>
      </w:r>
      <w:r w:rsidRPr="00232E12">
        <w:rPr>
          <w:rFonts w:ascii="Book Antiqua" w:hAnsi="Book Antiqua"/>
          <w:szCs w:val="24"/>
        </w:rPr>
        <w:t>obligue a una menor embarazada a someterse a un a</w:t>
      </w:r>
      <w:r w:rsidR="005F36E4" w:rsidRPr="00232E12">
        <w:rPr>
          <w:rFonts w:ascii="Book Antiqua" w:hAnsi="Book Antiqua"/>
          <w:szCs w:val="24"/>
        </w:rPr>
        <w:t xml:space="preserve">borto, incurrirá en delito con pena de reclusión </w:t>
      </w:r>
      <w:r w:rsidR="00C16C51" w:rsidRPr="00232E12">
        <w:rPr>
          <w:rFonts w:ascii="Book Antiqua" w:hAnsi="Book Antiqua"/>
          <w:szCs w:val="24"/>
        </w:rPr>
        <w:t xml:space="preserve">por un término fijo </w:t>
      </w:r>
      <w:r w:rsidR="00B85FE7" w:rsidRPr="00232E12">
        <w:rPr>
          <w:rFonts w:ascii="Book Antiqua" w:hAnsi="Book Antiqua"/>
          <w:szCs w:val="24"/>
        </w:rPr>
        <w:t>de tres</w:t>
      </w:r>
      <w:r w:rsidR="00C16C51" w:rsidRPr="00232E12">
        <w:rPr>
          <w:rFonts w:ascii="Book Antiqua" w:hAnsi="Book Antiqua"/>
          <w:szCs w:val="24"/>
        </w:rPr>
        <w:t xml:space="preserve"> (3) </w:t>
      </w:r>
      <w:r w:rsidR="00B85FE7" w:rsidRPr="00232E12">
        <w:rPr>
          <w:rFonts w:ascii="Book Antiqua" w:hAnsi="Book Antiqua"/>
          <w:szCs w:val="24"/>
        </w:rPr>
        <w:t>años.</w:t>
      </w:r>
      <w:r w:rsidRPr="00232E12">
        <w:rPr>
          <w:rFonts w:ascii="Book Antiqua" w:hAnsi="Book Antiqua"/>
          <w:szCs w:val="24"/>
        </w:rPr>
        <w:t xml:space="preserve">  </w:t>
      </w:r>
    </w:p>
    <w:p w14:paraId="0D41E0FA" w14:textId="515F968D"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Artículo</w:t>
      </w:r>
      <w:r w:rsidR="00CC3CEE" w:rsidRPr="00232E12">
        <w:rPr>
          <w:rFonts w:ascii="Book Antiqua" w:hAnsi="Book Antiqua"/>
          <w:szCs w:val="24"/>
        </w:rPr>
        <w:t xml:space="preserve"> 8</w:t>
      </w:r>
      <w:r w:rsidRPr="00232E12">
        <w:rPr>
          <w:rFonts w:ascii="Book Antiqua" w:hAnsi="Book Antiqua"/>
          <w:szCs w:val="24"/>
        </w:rPr>
        <w:t xml:space="preserve"> </w:t>
      </w:r>
      <w:r w:rsidR="00592A0A">
        <w:rPr>
          <w:rFonts w:ascii="Book Antiqua" w:hAnsi="Book Antiqua"/>
          <w:szCs w:val="24"/>
        </w:rPr>
        <w:t>–</w:t>
      </w:r>
      <w:r w:rsidRPr="00232E12">
        <w:rPr>
          <w:rFonts w:ascii="Book Antiqua" w:hAnsi="Book Antiqua"/>
          <w:szCs w:val="24"/>
        </w:rPr>
        <w:t xml:space="preserve"> Penalidad</w:t>
      </w:r>
      <w:r w:rsidR="00592A0A">
        <w:rPr>
          <w:rFonts w:ascii="Book Antiqua" w:hAnsi="Book Antiqua"/>
          <w:szCs w:val="24"/>
        </w:rPr>
        <w:t>.</w:t>
      </w:r>
    </w:p>
    <w:p w14:paraId="74B1676D" w14:textId="1ABBA9E9"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 xml:space="preserve">Cualquier persona, natural o jurídica, que realice o permita que se realice un aborto a una menor en violación a los Artículos 3 </w:t>
      </w:r>
      <w:r w:rsidR="001075F8" w:rsidRPr="00232E12">
        <w:rPr>
          <w:rFonts w:ascii="Book Antiqua" w:hAnsi="Book Antiqua"/>
          <w:szCs w:val="24"/>
        </w:rPr>
        <w:t xml:space="preserve">y </w:t>
      </w:r>
      <w:r w:rsidR="00B85FE7" w:rsidRPr="00232E12">
        <w:rPr>
          <w:rFonts w:ascii="Book Antiqua" w:hAnsi="Book Antiqua"/>
          <w:szCs w:val="24"/>
        </w:rPr>
        <w:t>4 de</w:t>
      </w:r>
      <w:r w:rsidRPr="00232E12">
        <w:rPr>
          <w:rFonts w:ascii="Book Antiqua" w:hAnsi="Book Antiqua"/>
          <w:szCs w:val="24"/>
        </w:rPr>
        <w:t xml:space="preserve"> esta legislación,</w:t>
      </w:r>
      <w:r w:rsidR="00AE2981" w:rsidRPr="00232E12">
        <w:rPr>
          <w:rFonts w:ascii="Book Antiqua" w:hAnsi="Book Antiqua"/>
          <w:szCs w:val="24"/>
        </w:rPr>
        <w:t xml:space="preserve"> incurrirá en delito con pena de reclusión</w:t>
      </w:r>
      <w:r w:rsidR="001075F8" w:rsidRPr="00232E12">
        <w:rPr>
          <w:rFonts w:ascii="Book Antiqua" w:hAnsi="Book Antiqua"/>
          <w:szCs w:val="24"/>
        </w:rPr>
        <w:t xml:space="preserve"> fija</w:t>
      </w:r>
      <w:r w:rsidR="00AE2981" w:rsidRPr="00232E12">
        <w:rPr>
          <w:rFonts w:ascii="Book Antiqua" w:hAnsi="Book Antiqua"/>
          <w:szCs w:val="24"/>
        </w:rPr>
        <w:t xml:space="preserve"> de dos (2) años y una multa de veinticinco mil dólares ($25,000.00)</w:t>
      </w:r>
      <w:r w:rsidRPr="00232E12">
        <w:rPr>
          <w:rFonts w:ascii="Book Antiqua" w:hAnsi="Book Antiqua"/>
          <w:szCs w:val="24"/>
        </w:rPr>
        <w:t xml:space="preserve">.  </w:t>
      </w:r>
    </w:p>
    <w:p w14:paraId="59E11116" w14:textId="0E35124E"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Artículo</w:t>
      </w:r>
      <w:r w:rsidR="00CC3CEE" w:rsidRPr="00232E12">
        <w:rPr>
          <w:rFonts w:ascii="Book Antiqua" w:hAnsi="Book Antiqua"/>
          <w:szCs w:val="24"/>
        </w:rPr>
        <w:t xml:space="preserve"> </w:t>
      </w:r>
      <w:r w:rsidR="000F7D7B">
        <w:rPr>
          <w:rFonts w:ascii="Book Antiqua" w:hAnsi="Book Antiqua"/>
          <w:szCs w:val="24"/>
        </w:rPr>
        <w:t>9</w:t>
      </w:r>
      <w:r w:rsidR="00B85FE7" w:rsidRPr="00232E12">
        <w:rPr>
          <w:rFonts w:ascii="Book Antiqua" w:hAnsi="Book Antiqua"/>
          <w:szCs w:val="24"/>
        </w:rPr>
        <w:t>.</w:t>
      </w:r>
      <w:r w:rsidRPr="00232E12">
        <w:rPr>
          <w:rFonts w:ascii="Book Antiqua" w:hAnsi="Book Antiqua"/>
          <w:szCs w:val="24"/>
        </w:rPr>
        <w:t>- Reglamentación</w:t>
      </w:r>
      <w:r w:rsidR="00592A0A">
        <w:rPr>
          <w:rFonts w:ascii="Book Antiqua" w:hAnsi="Book Antiqua"/>
          <w:szCs w:val="24"/>
        </w:rPr>
        <w:t>.</w:t>
      </w:r>
    </w:p>
    <w:p w14:paraId="613229AD" w14:textId="15D36E2E"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 xml:space="preserve">Se ordena al Departamento de Salud a emitir la reglamentación pertinente, de conformidad con las disposiciones de esta Ley </w:t>
      </w:r>
      <w:r w:rsidR="00B85FE7" w:rsidRPr="00232E12">
        <w:rPr>
          <w:rFonts w:ascii="Book Antiqua" w:hAnsi="Book Antiqua"/>
          <w:szCs w:val="24"/>
        </w:rPr>
        <w:t>y</w:t>
      </w:r>
      <w:r w:rsidR="00A44787" w:rsidRPr="00232E12">
        <w:rPr>
          <w:rFonts w:ascii="Book Antiqua" w:hAnsi="Book Antiqua"/>
          <w:szCs w:val="24"/>
        </w:rPr>
        <w:t xml:space="preserve"> de la Ley 38-2017, según enmendada</w:t>
      </w:r>
      <w:r w:rsidR="000F7D7B">
        <w:rPr>
          <w:rFonts w:ascii="Book Antiqua" w:hAnsi="Book Antiqua"/>
          <w:szCs w:val="24"/>
        </w:rPr>
        <w:t>.</w:t>
      </w:r>
    </w:p>
    <w:p w14:paraId="21A4E795" w14:textId="1E83DD8C" w:rsidR="00A34D0C"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Artículo</w:t>
      </w:r>
      <w:r w:rsidR="00CC3CEE" w:rsidRPr="00232E12">
        <w:rPr>
          <w:rFonts w:ascii="Book Antiqua" w:hAnsi="Book Antiqua"/>
          <w:szCs w:val="24"/>
        </w:rPr>
        <w:t xml:space="preserve"> </w:t>
      </w:r>
      <w:r w:rsidR="000F7D7B">
        <w:rPr>
          <w:rFonts w:ascii="Book Antiqua" w:hAnsi="Book Antiqua"/>
          <w:szCs w:val="24"/>
        </w:rPr>
        <w:t>10</w:t>
      </w:r>
      <w:r w:rsidR="00B85FE7" w:rsidRPr="00232E12">
        <w:rPr>
          <w:rFonts w:ascii="Book Antiqua" w:hAnsi="Book Antiqua"/>
          <w:szCs w:val="24"/>
        </w:rPr>
        <w:t>.</w:t>
      </w:r>
      <w:r w:rsidRPr="00232E12">
        <w:rPr>
          <w:rFonts w:ascii="Book Antiqua" w:hAnsi="Book Antiqua"/>
          <w:szCs w:val="24"/>
        </w:rPr>
        <w:t>- Vigencia</w:t>
      </w:r>
      <w:r w:rsidR="00592A0A">
        <w:rPr>
          <w:rFonts w:ascii="Book Antiqua" w:hAnsi="Book Antiqua"/>
          <w:szCs w:val="24"/>
        </w:rPr>
        <w:t>.</w:t>
      </w:r>
    </w:p>
    <w:p w14:paraId="300D41C6" w14:textId="77777777" w:rsidR="00952347" w:rsidRPr="00232E12" w:rsidRDefault="00A34D0C" w:rsidP="00232E12">
      <w:pPr>
        <w:pStyle w:val="BodyText"/>
        <w:spacing w:line="480" w:lineRule="auto"/>
        <w:ind w:firstLine="360"/>
        <w:rPr>
          <w:rFonts w:ascii="Book Antiqua" w:hAnsi="Book Antiqua"/>
          <w:szCs w:val="24"/>
        </w:rPr>
      </w:pPr>
      <w:r w:rsidRPr="00232E12">
        <w:rPr>
          <w:rFonts w:ascii="Book Antiqua" w:hAnsi="Book Antiqua"/>
          <w:szCs w:val="24"/>
        </w:rPr>
        <w:t>Esta Ley comenzará a regir inmediatamente después de su aprobación.</w:t>
      </w:r>
    </w:p>
    <w:sectPr w:rsidR="00952347" w:rsidRPr="00232E12" w:rsidSect="00A13321">
      <w:type w:val="continuous"/>
      <w:pgSz w:w="12240" w:h="15840" w:code="1"/>
      <w:pgMar w:top="1440" w:right="1440" w:bottom="1440" w:left="1757" w:header="720" w:footer="720" w:gutter="0"/>
      <w:lnNumType w:countBy="1" w:distance="2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AB3A4" w14:textId="77777777" w:rsidR="004E71D6" w:rsidRDefault="004E71D6">
      <w:r>
        <w:separator/>
      </w:r>
    </w:p>
  </w:endnote>
  <w:endnote w:type="continuationSeparator" w:id="0">
    <w:p w14:paraId="1BB2E5A9" w14:textId="77777777" w:rsidR="004E71D6" w:rsidRDefault="004E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54BC" w14:textId="77777777" w:rsidR="00D77151" w:rsidRDefault="00D77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64D58" w14:textId="77777777" w:rsidR="00D77151" w:rsidRDefault="00D77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49CA1" w14:textId="77777777" w:rsidR="00D77151" w:rsidRDefault="00D77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479CF" w14:textId="77777777" w:rsidR="004E71D6" w:rsidRDefault="004E71D6">
      <w:r>
        <w:separator/>
      </w:r>
    </w:p>
  </w:footnote>
  <w:footnote w:type="continuationSeparator" w:id="0">
    <w:p w14:paraId="370044D4" w14:textId="77777777" w:rsidR="004E71D6" w:rsidRDefault="004E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77777777" w:rsidR="00363468" w:rsidRDefault="00363468" w:rsidP="00735C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D0B940D" w14:textId="77777777" w:rsidR="00363468" w:rsidRDefault="00363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A514" w14:textId="41AC8C82" w:rsidR="00363468" w:rsidRDefault="00363468" w:rsidP="00735C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7FCB">
      <w:rPr>
        <w:rStyle w:val="PageNumber"/>
        <w:noProof/>
      </w:rPr>
      <w:t>8</w:t>
    </w:r>
    <w:r>
      <w:rPr>
        <w:rStyle w:val="PageNumber"/>
      </w:rPr>
      <w:fldChar w:fldCharType="end"/>
    </w:r>
  </w:p>
  <w:p w14:paraId="3DEEC669" w14:textId="77777777" w:rsidR="00363468" w:rsidRDefault="00363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A595" w14:textId="77777777" w:rsidR="00D77151" w:rsidRDefault="00D77151" w:rsidP="00D77151">
    <w:pPr>
      <w:keepNext/>
      <w:tabs>
        <w:tab w:val="right" w:pos="8640"/>
      </w:tabs>
      <w:jc w:val="center"/>
      <w:rPr>
        <w:rFonts w:ascii="Book Antiqua" w:hAnsi="Book Antiqua"/>
        <w:b/>
      </w:rPr>
    </w:pPr>
    <w:r>
      <w:rPr>
        <w:rFonts w:ascii="Book Antiqua" w:hAnsi="Book Antiqua"/>
        <w:b/>
        <w:lang w:eastAsia="es-PR"/>
      </w:rPr>
      <w:t>TEXTO APROBADO EN VOTACIÓN FINAL POR EL SENADO</w:t>
    </w:r>
  </w:p>
  <w:p w14:paraId="5641F77B" w14:textId="77777777" w:rsidR="00D77151" w:rsidRDefault="00D77151" w:rsidP="00D77151">
    <w:pPr>
      <w:pBdr>
        <w:bottom w:val="single" w:sz="18" w:space="1" w:color="auto"/>
      </w:pBdr>
      <w:tabs>
        <w:tab w:val="center" w:pos="4680"/>
        <w:tab w:val="left" w:pos="7065"/>
        <w:tab w:val="right" w:pos="8640"/>
        <w:tab w:val="right" w:pos="9360"/>
      </w:tabs>
      <w:jc w:val="center"/>
      <w:rPr>
        <w:rFonts w:ascii="Book Antiqua" w:hAnsi="Book Antiqua"/>
        <w:b/>
        <w:kern w:val="28"/>
        <w:lang w:eastAsia="es-PR"/>
      </w:rPr>
    </w:pPr>
    <w:r>
      <w:rPr>
        <w:rFonts w:ascii="Book Antiqua" w:hAnsi="Book Antiqua"/>
        <w:b/>
        <w:lang w:eastAsia="es-PR"/>
      </w:rPr>
      <w:t>(17 DE JUNIO DE 2024)</w:t>
    </w:r>
  </w:p>
  <w:p w14:paraId="402A7E31" w14:textId="77777777" w:rsidR="00D77151" w:rsidRPr="00D77151" w:rsidRDefault="00D77151" w:rsidP="00D77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73B4"/>
    <w:multiLevelType w:val="hybridMultilevel"/>
    <w:tmpl w:val="891697E4"/>
    <w:lvl w:ilvl="0" w:tplc="AF30660C">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F1B97"/>
    <w:multiLevelType w:val="hybridMultilevel"/>
    <w:tmpl w:val="0E50615C"/>
    <w:lvl w:ilvl="0" w:tplc="65480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53CDD"/>
    <w:multiLevelType w:val="hybridMultilevel"/>
    <w:tmpl w:val="141A9FFA"/>
    <w:lvl w:ilvl="0" w:tplc="2F6A47C0">
      <w:start w:val="1"/>
      <w:numFmt w:val="decimal"/>
      <w:lvlText w:val="(%1)"/>
      <w:lvlJc w:val="left"/>
      <w:pPr>
        <w:ind w:left="3240" w:hanging="36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3" w15:restartNumberingAfterBreak="0">
    <w:nsid w:val="5A8327E8"/>
    <w:multiLevelType w:val="hybridMultilevel"/>
    <w:tmpl w:val="B33A383A"/>
    <w:lvl w:ilvl="0" w:tplc="40B4878E">
      <w:start w:val="1"/>
      <w:numFmt w:val="decimal"/>
      <w:lvlText w:val="(%1)"/>
      <w:lvlJc w:val="left"/>
      <w:pPr>
        <w:ind w:left="3600" w:hanging="360"/>
      </w:pPr>
      <w:rPr>
        <w:rFonts w:hint="default"/>
      </w:r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4" w15:restartNumberingAfterBreak="0">
    <w:nsid w:val="676426C5"/>
    <w:multiLevelType w:val="hybridMultilevel"/>
    <w:tmpl w:val="C784A9AA"/>
    <w:lvl w:ilvl="0" w:tplc="75E8C02A">
      <w:start w:val="1"/>
      <w:numFmt w:val="lowerLetter"/>
      <w:lvlText w:val="(%1)"/>
      <w:lvlJc w:val="left"/>
      <w:pPr>
        <w:ind w:left="1440" w:hanging="360"/>
      </w:pPr>
      <w:rPr>
        <w:rFonts w:hint="default"/>
        <w:i w:val="0"/>
        <w:iCs/>
        <w:u w:val="non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AA"/>
    <w:rsid w:val="000413F9"/>
    <w:rsid w:val="00045AEA"/>
    <w:rsid w:val="00053111"/>
    <w:rsid w:val="00065E84"/>
    <w:rsid w:val="00072761"/>
    <w:rsid w:val="00073BB8"/>
    <w:rsid w:val="00081061"/>
    <w:rsid w:val="000814BD"/>
    <w:rsid w:val="000829ED"/>
    <w:rsid w:val="00093B67"/>
    <w:rsid w:val="000A000D"/>
    <w:rsid w:val="000D19C9"/>
    <w:rsid w:val="000E7E80"/>
    <w:rsid w:val="000F11D4"/>
    <w:rsid w:val="000F75CB"/>
    <w:rsid w:val="000F7D7B"/>
    <w:rsid w:val="001075F8"/>
    <w:rsid w:val="0012434E"/>
    <w:rsid w:val="00144E58"/>
    <w:rsid w:val="00174B38"/>
    <w:rsid w:val="001776E5"/>
    <w:rsid w:val="00180A40"/>
    <w:rsid w:val="00181113"/>
    <w:rsid w:val="00181B9B"/>
    <w:rsid w:val="001939AC"/>
    <w:rsid w:val="00193BFC"/>
    <w:rsid w:val="001C02DC"/>
    <w:rsid w:val="001C0525"/>
    <w:rsid w:val="001C208A"/>
    <w:rsid w:val="001C6ECF"/>
    <w:rsid w:val="00210959"/>
    <w:rsid w:val="002171C4"/>
    <w:rsid w:val="00223F01"/>
    <w:rsid w:val="00232E12"/>
    <w:rsid w:val="00235995"/>
    <w:rsid w:val="00251696"/>
    <w:rsid w:val="00263CB3"/>
    <w:rsid w:val="002828CA"/>
    <w:rsid w:val="0029104B"/>
    <w:rsid w:val="002B0A58"/>
    <w:rsid w:val="002B28EB"/>
    <w:rsid w:val="002B41C5"/>
    <w:rsid w:val="002D5C11"/>
    <w:rsid w:val="002F14DE"/>
    <w:rsid w:val="002F1A76"/>
    <w:rsid w:val="00302281"/>
    <w:rsid w:val="00320D0E"/>
    <w:rsid w:val="003214ED"/>
    <w:rsid w:val="00323E6D"/>
    <w:rsid w:val="00334D8D"/>
    <w:rsid w:val="00335B15"/>
    <w:rsid w:val="003375DC"/>
    <w:rsid w:val="00363468"/>
    <w:rsid w:val="00383560"/>
    <w:rsid w:val="00384C5D"/>
    <w:rsid w:val="00392E22"/>
    <w:rsid w:val="003935FF"/>
    <w:rsid w:val="003A2074"/>
    <w:rsid w:val="003A462B"/>
    <w:rsid w:val="003B06CD"/>
    <w:rsid w:val="003C65CA"/>
    <w:rsid w:val="003D1F9A"/>
    <w:rsid w:val="003D6A4A"/>
    <w:rsid w:val="003E0192"/>
    <w:rsid w:val="003E3A8D"/>
    <w:rsid w:val="003E69F6"/>
    <w:rsid w:val="00400749"/>
    <w:rsid w:val="00405909"/>
    <w:rsid w:val="00406CA5"/>
    <w:rsid w:val="00407B40"/>
    <w:rsid w:val="00412629"/>
    <w:rsid w:val="004262E4"/>
    <w:rsid w:val="004335DB"/>
    <w:rsid w:val="00436E17"/>
    <w:rsid w:val="0044103B"/>
    <w:rsid w:val="004565F2"/>
    <w:rsid w:val="004729E4"/>
    <w:rsid w:val="00475A08"/>
    <w:rsid w:val="00475ACB"/>
    <w:rsid w:val="00490F9E"/>
    <w:rsid w:val="00492368"/>
    <w:rsid w:val="004946E0"/>
    <w:rsid w:val="004964FF"/>
    <w:rsid w:val="004A4BC1"/>
    <w:rsid w:val="004C43EF"/>
    <w:rsid w:val="004C7A3E"/>
    <w:rsid w:val="004D495A"/>
    <w:rsid w:val="004E10AA"/>
    <w:rsid w:val="004E71D6"/>
    <w:rsid w:val="00507314"/>
    <w:rsid w:val="00523D00"/>
    <w:rsid w:val="00531B22"/>
    <w:rsid w:val="005764BA"/>
    <w:rsid w:val="0058232F"/>
    <w:rsid w:val="0058413B"/>
    <w:rsid w:val="00592A0A"/>
    <w:rsid w:val="005A34F8"/>
    <w:rsid w:val="005B66B5"/>
    <w:rsid w:val="005C1B0F"/>
    <w:rsid w:val="005D155B"/>
    <w:rsid w:val="005E22C2"/>
    <w:rsid w:val="005E310E"/>
    <w:rsid w:val="005F1CA2"/>
    <w:rsid w:val="005F27FD"/>
    <w:rsid w:val="005F36E4"/>
    <w:rsid w:val="00603559"/>
    <w:rsid w:val="0061187F"/>
    <w:rsid w:val="00612C5A"/>
    <w:rsid w:val="006373AE"/>
    <w:rsid w:val="00667A59"/>
    <w:rsid w:val="00676C8E"/>
    <w:rsid w:val="00684DD7"/>
    <w:rsid w:val="006A2BB4"/>
    <w:rsid w:val="006A5F0A"/>
    <w:rsid w:val="006A739F"/>
    <w:rsid w:val="006B2F12"/>
    <w:rsid w:val="006B30E8"/>
    <w:rsid w:val="006C300D"/>
    <w:rsid w:val="006C661C"/>
    <w:rsid w:val="006D3A2A"/>
    <w:rsid w:val="006D4294"/>
    <w:rsid w:val="006D769C"/>
    <w:rsid w:val="006E3F04"/>
    <w:rsid w:val="007002B2"/>
    <w:rsid w:val="007123CF"/>
    <w:rsid w:val="00714FDF"/>
    <w:rsid w:val="00715C44"/>
    <w:rsid w:val="00724753"/>
    <w:rsid w:val="00731B63"/>
    <w:rsid w:val="00735C78"/>
    <w:rsid w:val="00740D16"/>
    <w:rsid w:val="0075206E"/>
    <w:rsid w:val="00756540"/>
    <w:rsid w:val="007905DD"/>
    <w:rsid w:val="00796102"/>
    <w:rsid w:val="007A0DF7"/>
    <w:rsid w:val="007D0D56"/>
    <w:rsid w:val="007D5C19"/>
    <w:rsid w:val="007E279D"/>
    <w:rsid w:val="007E3A95"/>
    <w:rsid w:val="00812FD6"/>
    <w:rsid w:val="008171B3"/>
    <w:rsid w:val="008201A0"/>
    <w:rsid w:val="00825B88"/>
    <w:rsid w:val="00834E79"/>
    <w:rsid w:val="00842ADC"/>
    <w:rsid w:val="00847B53"/>
    <w:rsid w:val="00874B54"/>
    <w:rsid w:val="008760CA"/>
    <w:rsid w:val="00877D36"/>
    <w:rsid w:val="00886829"/>
    <w:rsid w:val="008A26D8"/>
    <w:rsid w:val="008A3A27"/>
    <w:rsid w:val="008B2B49"/>
    <w:rsid w:val="008B3868"/>
    <w:rsid w:val="008B4801"/>
    <w:rsid w:val="008B703C"/>
    <w:rsid w:val="008C04D2"/>
    <w:rsid w:val="008C47B8"/>
    <w:rsid w:val="008D3327"/>
    <w:rsid w:val="008E5192"/>
    <w:rsid w:val="008F2735"/>
    <w:rsid w:val="008F35D7"/>
    <w:rsid w:val="0090171E"/>
    <w:rsid w:val="009175DD"/>
    <w:rsid w:val="00920AEF"/>
    <w:rsid w:val="009242DF"/>
    <w:rsid w:val="00926B0A"/>
    <w:rsid w:val="00932080"/>
    <w:rsid w:val="0093315E"/>
    <w:rsid w:val="009508A2"/>
    <w:rsid w:val="00952347"/>
    <w:rsid w:val="00954FA2"/>
    <w:rsid w:val="00955B11"/>
    <w:rsid w:val="009618C2"/>
    <w:rsid w:val="00977204"/>
    <w:rsid w:val="0099214C"/>
    <w:rsid w:val="00992FB2"/>
    <w:rsid w:val="00993B09"/>
    <w:rsid w:val="009A0705"/>
    <w:rsid w:val="009A071E"/>
    <w:rsid w:val="009A3807"/>
    <w:rsid w:val="009A7212"/>
    <w:rsid w:val="009A73B7"/>
    <w:rsid w:val="009B39E4"/>
    <w:rsid w:val="009C6161"/>
    <w:rsid w:val="009C627B"/>
    <w:rsid w:val="009D4798"/>
    <w:rsid w:val="009D6CFC"/>
    <w:rsid w:val="009E5EB4"/>
    <w:rsid w:val="009F014F"/>
    <w:rsid w:val="009F2459"/>
    <w:rsid w:val="00A03461"/>
    <w:rsid w:val="00A13321"/>
    <w:rsid w:val="00A15007"/>
    <w:rsid w:val="00A15272"/>
    <w:rsid w:val="00A34D0C"/>
    <w:rsid w:val="00A377D5"/>
    <w:rsid w:val="00A40C95"/>
    <w:rsid w:val="00A44787"/>
    <w:rsid w:val="00A5658A"/>
    <w:rsid w:val="00A628B5"/>
    <w:rsid w:val="00A63AD8"/>
    <w:rsid w:val="00A71E6E"/>
    <w:rsid w:val="00A748E5"/>
    <w:rsid w:val="00A80B8F"/>
    <w:rsid w:val="00A82F6D"/>
    <w:rsid w:val="00A97B53"/>
    <w:rsid w:val="00AA0DAD"/>
    <w:rsid w:val="00AB7A24"/>
    <w:rsid w:val="00AC1835"/>
    <w:rsid w:val="00AC373B"/>
    <w:rsid w:val="00AC722C"/>
    <w:rsid w:val="00AE2981"/>
    <w:rsid w:val="00AF6534"/>
    <w:rsid w:val="00AF7AEA"/>
    <w:rsid w:val="00B01CA6"/>
    <w:rsid w:val="00B01E00"/>
    <w:rsid w:val="00B02376"/>
    <w:rsid w:val="00B075B6"/>
    <w:rsid w:val="00B41382"/>
    <w:rsid w:val="00B51D6E"/>
    <w:rsid w:val="00B61A1C"/>
    <w:rsid w:val="00B73C4D"/>
    <w:rsid w:val="00B8232F"/>
    <w:rsid w:val="00B82687"/>
    <w:rsid w:val="00B85FE7"/>
    <w:rsid w:val="00BB304F"/>
    <w:rsid w:val="00BC0EE4"/>
    <w:rsid w:val="00BC3BF1"/>
    <w:rsid w:val="00BC7EF9"/>
    <w:rsid w:val="00BD25FE"/>
    <w:rsid w:val="00BE6E32"/>
    <w:rsid w:val="00C16C51"/>
    <w:rsid w:val="00C247FE"/>
    <w:rsid w:val="00C34FFF"/>
    <w:rsid w:val="00C36B19"/>
    <w:rsid w:val="00C566F7"/>
    <w:rsid w:val="00C71469"/>
    <w:rsid w:val="00C841F7"/>
    <w:rsid w:val="00C84A37"/>
    <w:rsid w:val="00C87CEB"/>
    <w:rsid w:val="00C937D4"/>
    <w:rsid w:val="00C96B80"/>
    <w:rsid w:val="00CB0766"/>
    <w:rsid w:val="00CB155C"/>
    <w:rsid w:val="00CC1D61"/>
    <w:rsid w:val="00CC2CD3"/>
    <w:rsid w:val="00CC3CEE"/>
    <w:rsid w:val="00D30826"/>
    <w:rsid w:val="00D32BD9"/>
    <w:rsid w:val="00D41625"/>
    <w:rsid w:val="00D46859"/>
    <w:rsid w:val="00D47F6C"/>
    <w:rsid w:val="00D679A5"/>
    <w:rsid w:val="00D77151"/>
    <w:rsid w:val="00D80FF6"/>
    <w:rsid w:val="00D84425"/>
    <w:rsid w:val="00D95049"/>
    <w:rsid w:val="00D95AB3"/>
    <w:rsid w:val="00D96780"/>
    <w:rsid w:val="00DA2FF1"/>
    <w:rsid w:val="00DA7858"/>
    <w:rsid w:val="00DB3582"/>
    <w:rsid w:val="00DC2394"/>
    <w:rsid w:val="00DC3416"/>
    <w:rsid w:val="00DC79B9"/>
    <w:rsid w:val="00DD4F84"/>
    <w:rsid w:val="00DF06C7"/>
    <w:rsid w:val="00DF47D9"/>
    <w:rsid w:val="00E31BB8"/>
    <w:rsid w:val="00E35855"/>
    <w:rsid w:val="00E37FCB"/>
    <w:rsid w:val="00E45203"/>
    <w:rsid w:val="00E475EE"/>
    <w:rsid w:val="00E53A21"/>
    <w:rsid w:val="00E71369"/>
    <w:rsid w:val="00E815D1"/>
    <w:rsid w:val="00E87A7D"/>
    <w:rsid w:val="00E9117A"/>
    <w:rsid w:val="00E92438"/>
    <w:rsid w:val="00EA03C7"/>
    <w:rsid w:val="00EA3A33"/>
    <w:rsid w:val="00EA6693"/>
    <w:rsid w:val="00EA7E54"/>
    <w:rsid w:val="00EC7417"/>
    <w:rsid w:val="00ED7B24"/>
    <w:rsid w:val="00EF1278"/>
    <w:rsid w:val="00F1051F"/>
    <w:rsid w:val="00F1321B"/>
    <w:rsid w:val="00F2074A"/>
    <w:rsid w:val="00F22A99"/>
    <w:rsid w:val="00F3340C"/>
    <w:rsid w:val="00F3668C"/>
    <w:rsid w:val="00F37D83"/>
    <w:rsid w:val="00F50320"/>
    <w:rsid w:val="00F55677"/>
    <w:rsid w:val="00F6655E"/>
    <w:rsid w:val="00F701FF"/>
    <w:rsid w:val="00F70486"/>
    <w:rsid w:val="00F71A9A"/>
    <w:rsid w:val="00F879F5"/>
    <w:rsid w:val="00F90293"/>
    <w:rsid w:val="00F975DE"/>
    <w:rsid w:val="00FA22C0"/>
    <w:rsid w:val="00FA583F"/>
    <w:rsid w:val="00FA7C4D"/>
    <w:rsid w:val="00FB3E0F"/>
    <w:rsid w:val="00FC0302"/>
    <w:rsid w:val="00FD6C86"/>
    <w:rsid w:val="00FF4CBB"/>
    <w:rsid w:val="00FF5430"/>
    <w:rsid w:val="00FF5CEB"/>
    <w:rsid w:val="610655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D842"/>
  <w15:chartTrackingRefBased/>
  <w15:docId w15:val="{2268CDA1-526F-4B6B-9675-45FCAEAF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0AA"/>
    <w:rPr>
      <w:rFonts w:ascii="Times New Roman" w:eastAsia="SimSun" w:hAnsi="Times New Roman"/>
      <w:sz w:val="24"/>
      <w:lang w:val="es-P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4E10AA"/>
    <w:pPr>
      <w:tabs>
        <w:tab w:val="left" w:pos="648"/>
        <w:tab w:val="right" w:pos="7776"/>
        <w:tab w:val="left" w:pos="7848"/>
      </w:tabs>
    </w:pPr>
  </w:style>
  <w:style w:type="paragraph" w:styleId="BodyText">
    <w:name w:val="Body Text"/>
    <w:basedOn w:val="Normal"/>
    <w:link w:val="BodyTextChar"/>
    <w:rsid w:val="004E10AA"/>
    <w:pPr>
      <w:jc w:val="both"/>
    </w:pPr>
    <w:rPr>
      <w:rFonts w:ascii="Arial" w:hAnsi="Arial"/>
      <w:lang w:val="es-ES_tradnl" w:eastAsia="x-none"/>
    </w:rPr>
  </w:style>
  <w:style w:type="character" w:customStyle="1" w:styleId="BodyTextChar">
    <w:name w:val="Body Text Char"/>
    <w:link w:val="BodyText"/>
    <w:rsid w:val="004E10AA"/>
    <w:rPr>
      <w:rFonts w:ascii="Arial" w:eastAsia="SimSun" w:hAnsi="Arial" w:cs="Times New Roman"/>
      <w:sz w:val="24"/>
      <w:szCs w:val="20"/>
      <w:lang w:val="es-ES_tradnl"/>
    </w:rPr>
  </w:style>
  <w:style w:type="paragraph" w:styleId="NormalWeb">
    <w:name w:val="Normal (Web)"/>
    <w:basedOn w:val="Normal"/>
    <w:rsid w:val="004E10AA"/>
    <w:pPr>
      <w:spacing w:before="100" w:beforeAutospacing="1" w:after="100" w:afterAutospacing="1"/>
    </w:pPr>
    <w:rPr>
      <w:szCs w:val="24"/>
    </w:rPr>
  </w:style>
  <w:style w:type="paragraph" w:styleId="Header">
    <w:name w:val="header"/>
    <w:basedOn w:val="Normal"/>
    <w:link w:val="HeaderChar"/>
    <w:rsid w:val="004E10AA"/>
    <w:pPr>
      <w:tabs>
        <w:tab w:val="center" w:pos="4320"/>
        <w:tab w:val="right" w:pos="8640"/>
      </w:tabs>
    </w:pPr>
    <w:rPr>
      <w:lang w:eastAsia="x-none"/>
    </w:rPr>
  </w:style>
  <w:style w:type="character" w:customStyle="1" w:styleId="HeaderChar">
    <w:name w:val="Header Char"/>
    <w:link w:val="Header"/>
    <w:rsid w:val="004E10AA"/>
    <w:rPr>
      <w:rFonts w:ascii="Times New Roman" w:eastAsia="SimSun" w:hAnsi="Times New Roman" w:cs="Times New Roman"/>
      <w:sz w:val="24"/>
      <w:szCs w:val="20"/>
      <w:lang w:val="es-PR"/>
    </w:rPr>
  </w:style>
  <w:style w:type="character" w:styleId="PageNumber">
    <w:name w:val="page number"/>
    <w:basedOn w:val="DefaultParagraphFont"/>
    <w:rsid w:val="004E10AA"/>
  </w:style>
  <w:style w:type="character" w:styleId="LineNumber">
    <w:name w:val="line number"/>
    <w:basedOn w:val="DefaultParagraphFont"/>
    <w:uiPriority w:val="99"/>
    <w:semiHidden/>
    <w:unhideWhenUsed/>
    <w:rsid w:val="004E10AA"/>
  </w:style>
  <w:style w:type="paragraph" w:styleId="FootnoteText">
    <w:name w:val="footnote text"/>
    <w:basedOn w:val="Normal"/>
    <w:link w:val="FootnoteTextChar"/>
    <w:uiPriority w:val="99"/>
    <w:semiHidden/>
    <w:unhideWhenUsed/>
    <w:rsid w:val="006D769C"/>
    <w:rPr>
      <w:sz w:val="20"/>
      <w:lang w:eastAsia="x-none"/>
    </w:rPr>
  </w:style>
  <w:style w:type="character" w:customStyle="1" w:styleId="FootnoteTextChar">
    <w:name w:val="Footnote Text Char"/>
    <w:link w:val="FootnoteText"/>
    <w:uiPriority w:val="99"/>
    <w:semiHidden/>
    <w:rsid w:val="006D769C"/>
    <w:rPr>
      <w:rFonts w:ascii="Times New Roman" w:eastAsia="SimSun" w:hAnsi="Times New Roman"/>
      <w:lang w:val="es-PR"/>
    </w:rPr>
  </w:style>
  <w:style w:type="character" w:styleId="FootnoteReference">
    <w:name w:val="footnote reference"/>
    <w:uiPriority w:val="99"/>
    <w:unhideWhenUsed/>
    <w:rsid w:val="006D769C"/>
    <w:rPr>
      <w:vertAlign w:val="superscript"/>
    </w:rPr>
  </w:style>
  <w:style w:type="paragraph" w:styleId="BalloonText">
    <w:name w:val="Balloon Text"/>
    <w:basedOn w:val="Normal"/>
    <w:link w:val="BalloonTextChar"/>
    <w:uiPriority w:val="99"/>
    <w:semiHidden/>
    <w:unhideWhenUsed/>
    <w:rsid w:val="002171C4"/>
    <w:rPr>
      <w:rFonts w:ascii="Tahoma" w:hAnsi="Tahoma"/>
      <w:sz w:val="16"/>
      <w:szCs w:val="16"/>
      <w:lang w:eastAsia="x-none"/>
    </w:rPr>
  </w:style>
  <w:style w:type="character" w:customStyle="1" w:styleId="BalloonTextChar">
    <w:name w:val="Balloon Text Char"/>
    <w:link w:val="BalloonText"/>
    <w:uiPriority w:val="99"/>
    <w:semiHidden/>
    <w:rsid w:val="002171C4"/>
    <w:rPr>
      <w:rFonts w:ascii="Tahoma" w:eastAsia="SimSun" w:hAnsi="Tahoma" w:cs="Tahoma"/>
      <w:sz w:val="16"/>
      <w:szCs w:val="16"/>
      <w:lang w:val="es-PR"/>
    </w:rPr>
  </w:style>
  <w:style w:type="character" w:styleId="CommentReference">
    <w:name w:val="annotation reference"/>
    <w:uiPriority w:val="99"/>
    <w:semiHidden/>
    <w:unhideWhenUsed/>
    <w:rsid w:val="004946E0"/>
    <w:rPr>
      <w:sz w:val="16"/>
      <w:szCs w:val="16"/>
    </w:rPr>
  </w:style>
  <w:style w:type="paragraph" w:styleId="CommentText">
    <w:name w:val="annotation text"/>
    <w:basedOn w:val="Normal"/>
    <w:link w:val="CommentTextChar"/>
    <w:uiPriority w:val="99"/>
    <w:semiHidden/>
    <w:unhideWhenUsed/>
    <w:rsid w:val="004946E0"/>
    <w:rPr>
      <w:sz w:val="20"/>
    </w:rPr>
  </w:style>
  <w:style w:type="character" w:customStyle="1" w:styleId="CommentTextChar">
    <w:name w:val="Comment Text Char"/>
    <w:link w:val="CommentText"/>
    <w:uiPriority w:val="99"/>
    <w:semiHidden/>
    <w:rsid w:val="004946E0"/>
    <w:rPr>
      <w:rFonts w:ascii="Times New Roman" w:eastAsia="SimSun" w:hAnsi="Times New Roman"/>
      <w:lang w:val="es-PR"/>
    </w:rPr>
  </w:style>
  <w:style w:type="paragraph" w:styleId="CommentSubject">
    <w:name w:val="annotation subject"/>
    <w:basedOn w:val="CommentText"/>
    <w:next w:val="CommentText"/>
    <w:link w:val="CommentSubjectChar"/>
    <w:uiPriority w:val="99"/>
    <w:semiHidden/>
    <w:unhideWhenUsed/>
    <w:rsid w:val="004946E0"/>
    <w:rPr>
      <w:b/>
      <w:bCs/>
    </w:rPr>
  </w:style>
  <w:style w:type="character" w:customStyle="1" w:styleId="CommentSubjectChar">
    <w:name w:val="Comment Subject Char"/>
    <w:link w:val="CommentSubject"/>
    <w:uiPriority w:val="99"/>
    <w:semiHidden/>
    <w:rsid w:val="004946E0"/>
    <w:rPr>
      <w:rFonts w:ascii="Times New Roman" w:eastAsia="SimSun" w:hAnsi="Times New Roman"/>
      <w:b/>
      <w:bCs/>
      <w:lang w:val="es-PR"/>
    </w:rPr>
  </w:style>
  <w:style w:type="paragraph" w:styleId="Revision">
    <w:name w:val="Revision"/>
    <w:hidden/>
    <w:uiPriority w:val="99"/>
    <w:semiHidden/>
    <w:rsid w:val="004946E0"/>
    <w:rPr>
      <w:rFonts w:ascii="Times New Roman" w:eastAsia="SimSun" w:hAnsi="Times New Roman"/>
      <w:sz w:val="24"/>
      <w:lang w:val="es-PR" w:eastAsia="en-US"/>
    </w:rPr>
  </w:style>
  <w:style w:type="paragraph" w:styleId="Footer">
    <w:name w:val="footer"/>
    <w:basedOn w:val="Normal"/>
    <w:link w:val="FooterChar"/>
    <w:uiPriority w:val="99"/>
    <w:unhideWhenUsed/>
    <w:rsid w:val="00D47F6C"/>
    <w:pPr>
      <w:tabs>
        <w:tab w:val="center" w:pos="4680"/>
        <w:tab w:val="right" w:pos="9360"/>
      </w:tabs>
    </w:pPr>
  </w:style>
  <w:style w:type="character" w:customStyle="1" w:styleId="FooterChar">
    <w:name w:val="Footer Char"/>
    <w:link w:val="Footer"/>
    <w:uiPriority w:val="99"/>
    <w:rsid w:val="00D47F6C"/>
    <w:rPr>
      <w:rFonts w:ascii="Times New Roman" w:eastAsia="SimSun" w:hAnsi="Times New Roman"/>
      <w:sz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18968">
      <w:bodyDiv w:val="1"/>
      <w:marLeft w:val="0"/>
      <w:marRight w:val="0"/>
      <w:marTop w:val="0"/>
      <w:marBottom w:val="0"/>
      <w:divBdr>
        <w:top w:val="none" w:sz="0" w:space="0" w:color="auto"/>
        <w:left w:val="none" w:sz="0" w:space="0" w:color="auto"/>
        <w:bottom w:val="none" w:sz="0" w:space="0" w:color="auto"/>
        <w:right w:val="none" w:sz="0" w:space="0" w:color="auto"/>
      </w:divBdr>
    </w:div>
    <w:div w:id="7479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C58FC75B682744FB4A53C756BEDC3A3" ma:contentTypeVersion="15" ma:contentTypeDescription="Create a new document." ma:contentTypeScope="" ma:versionID="a9e464653cf2bcbd18e0b128148b6119">
  <xsd:schema xmlns:xsd="http://www.w3.org/2001/XMLSchema" xmlns:xs="http://www.w3.org/2001/XMLSchema" xmlns:p="http://schemas.microsoft.com/office/2006/metadata/properties" xmlns:ns1="http://schemas.microsoft.com/sharepoint/v3" xmlns:ns2="c890fddd-4e87-4e08-8b51-545f2a3f7b06" xmlns:ns3="f29de0d1-023e-4363-82d3-bb472b30be6a" targetNamespace="http://schemas.microsoft.com/office/2006/metadata/properties" ma:root="true" ma:fieldsID="bc604c804a76b73b22017f1fbce5ece3" ns1:_="" ns2:_="" ns3:_="">
    <xsd:import namespace="http://schemas.microsoft.com/sharepoint/v3"/>
    <xsd:import namespace="c890fddd-4e87-4e08-8b51-545f2a3f7b06"/>
    <xsd:import namespace="f29de0d1-023e-4363-82d3-bb472b30be6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0fddd-4e87-4e08-8b51-545f2a3f7b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b1c665b-18a4-423b-8a87-b9a4f8bf8551}" ma:internalName="TaxCatchAll" ma:showField="CatchAllData" ma:web="c890fddd-4e87-4e08-8b51-545f2a3f7b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de0d1-023e-4363-82d3-bb472b30be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f9b2a8-1e3a-458e-92b7-62c6f6b9188e"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890fddd-4e87-4e08-8b51-545f2a3f7b06" xsi:nil="true"/>
    <_ip_UnifiedCompliancePolicyProperties xmlns="http://schemas.microsoft.com/sharepoint/v3" xsi:nil="true"/>
    <lcf76f155ced4ddcb4097134ff3c332f xmlns="f29de0d1-023e-4363-82d3-bb472b30be6a">
      <Terms xmlns="http://schemas.microsoft.com/office/infopath/2007/PartnerControls"/>
    </lcf76f155ced4ddcb4097134ff3c332f>
    <_dlc_DocId xmlns="c890fddd-4e87-4e08-8b51-545f2a3f7b06">4SQX5P7U7WPY-958212181-795375</_dlc_DocId>
    <_dlc_DocIdUrl xmlns="c890fddd-4e87-4e08-8b51-545f2a3f7b06">
      <Url>https://senpr.sharepoint.com/sites/obralegislativa/_layouts/15/DocIdRedir.aspx?ID=4SQX5P7U7WPY-958212181-795375</Url>
      <Description>4SQX5P7U7WPY-958212181-795375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ACA15-15E3-4737-8A1F-829430F3676E}">
  <ds:schemaRefs>
    <ds:schemaRef ds:uri="http://schemas.microsoft.com/sharepoint/v3/contenttype/forms"/>
  </ds:schemaRefs>
</ds:datastoreItem>
</file>

<file path=customXml/itemProps2.xml><?xml version="1.0" encoding="utf-8"?>
<ds:datastoreItem xmlns:ds="http://schemas.openxmlformats.org/officeDocument/2006/customXml" ds:itemID="{4248E63A-DCC5-4714-881E-F662B91B2839}">
  <ds:schemaRefs>
    <ds:schemaRef ds:uri="http://schemas.microsoft.com/sharepoint/events"/>
  </ds:schemaRefs>
</ds:datastoreItem>
</file>

<file path=customXml/itemProps3.xml><?xml version="1.0" encoding="utf-8"?>
<ds:datastoreItem xmlns:ds="http://schemas.openxmlformats.org/officeDocument/2006/customXml" ds:itemID="{E66AEB4F-C7D9-4F41-8DA8-D0AB4FEB1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90fddd-4e87-4e08-8b51-545f2a3f7b06"/>
    <ds:schemaRef ds:uri="f29de0d1-023e-4363-82d3-bb472b30b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936C1-1D60-4F8F-A4BA-BAF2A22F17D0}">
  <ds:schemaRefs>
    <ds:schemaRef ds:uri="http://schemas.microsoft.com/office/2006/metadata/properties"/>
    <ds:schemaRef ds:uri="http://schemas.microsoft.com/office/infopath/2007/PartnerControls"/>
    <ds:schemaRef ds:uri="http://schemas.microsoft.com/sharepoint/v3"/>
    <ds:schemaRef ds:uri="c890fddd-4e87-4e08-8b51-545f2a3f7b06"/>
    <ds:schemaRef ds:uri="f29de0d1-023e-4363-82d3-bb472b30be6a"/>
  </ds:schemaRefs>
</ds:datastoreItem>
</file>

<file path=customXml/itemProps5.xml><?xml version="1.0" encoding="utf-8"?>
<ds:datastoreItem xmlns:ds="http://schemas.openxmlformats.org/officeDocument/2006/customXml" ds:itemID="{F6120659-EFCB-4673-861A-601EC1D1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amca</dc:creator>
  <cp:keywords/>
  <cp:lastModifiedBy>Carlos Sánchez</cp:lastModifiedBy>
  <cp:revision>2</cp:revision>
  <cp:lastPrinted>2021-07-15T01:31:00Z</cp:lastPrinted>
  <dcterms:created xsi:type="dcterms:W3CDTF">2024-06-22T03:15:00Z</dcterms:created>
  <dcterms:modified xsi:type="dcterms:W3CDTF">2024-06-22T03:15:00Z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0x0101008C58FC75B682744FB4A53C756BEDC3A3</vt:lpwstr>
  </property>
  <property fmtid="{D5CDD505-2E9C-101B-9397-08002B2CF9AE}" pid="3" name="_dlc_DocIdItemGuid">
    <vt:lpwstr>f7957121-6e08-49af-b1d1-d55cae822694</vt:lpwstr>
  </property>
  <property fmtid="{D5CDD505-2E9C-101B-9397-08002B2CF9AE}" pid="4" name="MediaServiceImageTags">
    <vt:lpwstr/>
  </property>
</Properties>
</file>