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E85" w:rsidRPr="009C2B71" w:rsidRDefault="003D4043" w:rsidP="00604E85">
      <w:pPr>
        <w:spacing w:before="240" w:after="0" w:line="240" w:lineRule="auto"/>
        <w:jc w:val="center"/>
        <w:rPr>
          <w:b/>
          <w:i/>
          <w:sz w:val="32"/>
        </w:rPr>
      </w:pPr>
      <w:r>
        <w:rPr>
          <w:b/>
          <w:noProof/>
          <w:sz w:val="32"/>
        </w:rPr>
        <mc:AlternateContent>
          <mc:Choice Requires="wps">
            <w:drawing>
              <wp:anchor distT="0" distB="0" distL="114300" distR="114300" simplePos="0" relativeHeight="251662336" behindDoc="0" locked="0" layoutInCell="1" allowOverlap="1">
                <wp:simplePos x="0" y="0"/>
                <wp:positionH relativeFrom="column">
                  <wp:posOffset>3238500</wp:posOffset>
                </wp:positionH>
                <wp:positionV relativeFrom="paragraph">
                  <wp:posOffset>-160020</wp:posOffset>
                </wp:positionV>
                <wp:extent cx="1638300" cy="243840"/>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1638300" cy="243840"/>
                        </a:xfrm>
                        <a:prstGeom prst="rect">
                          <a:avLst/>
                        </a:prstGeom>
                        <a:solidFill>
                          <a:schemeClr val="lt1"/>
                        </a:solidFill>
                        <a:ln w="6350">
                          <a:noFill/>
                        </a:ln>
                      </wps:spPr>
                      <wps:txbx>
                        <w:txbxContent>
                          <w:p w:rsidR="003D4043" w:rsidRPr="003D4043" w:rsidRDefault="003741F2">
                            <w:pPr>
                              <w:rPr>
                                <w:sz w:val="14"/>
                              </w:rPr>
                            </w:pPr>
                            <w:hyperlink r:id="rId8" w:history="1">
                              <w:r w:rsidR="003D4043" w:rsidRPr="00713007">
                                <w:rPr>
                                  <w:rStyle w:val="Hyperlink"/>
                                  <w:sz w:val="14"/>
                                </w:rPr>
                                <w:t>http://www.rsaia.org/legislative.html</w:t>
                              </w:r>
                            </w:hyperlink>
                            <w:r w:rsidR="003D4043">
                              <w:rPr>
                                <w:sz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55pt;margin-top:-12.6pt;width:129pt;height:1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" fillcolor="white [3201]" stroked="f" strokeweight=".5pt">
                <v:textbox>
                  <w:txbxContent>
                    <w:p w:rsidR="003D4043" w:rsidRPr="003D4043" w:rsidRDefault="003741F2">
                      <w:pPr>
                        <w:rPr>
                          <w:sz w:val="14"/>
                        </w:rPr>
                      </w:pPr>
                      <w:hyperlink r:id="rId9" w:history="1">
                        <w:r w:rsidR="003D4043" w:rsidRPr="00713007">
                          <w:rPr>
                            <w:rStyle w:val="Hyperlink"/>
                            <w:sz w:val="14"/>
                          </w:rPr>
                          <w:t>http://www.rsaia.org/legislative.html</w:t>
                        </w:r>
                      </w:hyperlink>
                      <w:r w:rsidR="003D4043">
                        <w:rPr>
                          <w:sz w:val="14"/>
                        </w:rPr>
                        <w:t xml:space="preserve"> </w:t>
                      </w:r>
                    </w:p>
                  </w:txbxContent>
                </v:textbox>
              </v:shape>
            </w:pict>
          </mc:Fallback>
        </mc:AlternateContent>
      </w:r>
      <w:r w:rsidR="0048456C" w:rsidRPr="00A33214">
        <w:rPr>
          <w:b/>
          <w:sz w:val="32"/>
        </w:rPr>
        <w:t>RSAI Position Pape</w:t>
      </w:r>
      <w:r w:rsidR="0048456C">
        <w:rPr>
          <w:b/>
          <w:sz w:val="32"/>
        </w:rPr>
        <w:t>r</w:t>
      </w:r>
      <w:r w:rsidR="00604E85">
        <w:rPr>
          <w:b/>
          <w:sz w:val="32"/>
        </w:rPr>
        <w:t>:</w:t>
      </w:r>
      <w:r w:rsidR="0048456C">
        <w:rPr>
          <w:b/>
          <w:sz w:val="32"/>
        </w:rPr>
        <w:t xml:space="preserve"> State Supplemental Assistance</w:t>
      </w:r>
      <w:r w:rsidR="00604E85">
        <w:rPr>
          <w:b/>
          <w:sz w:val="32"/>
        </w:rPr>
        <w:t xml:space="preserve"> </w:t>
      </w:r>
      <w:r w:rsidR="003C406C">
        <w:rPr>
          <w:b/>
          <w:sz w:val="32"/>
        </w:rPr>
        <w:t xml:space="preserve">(SSA) </w:t>
      </w:r>
      <w:r w:rsidR="00604E85">
        <w:rPr>
          <w:b/>
          <w:sz w:val="32"/>
        </w:rPr>
        <w:t xml:space="preserve">for </w:t>
      </w:r>
      <w:r w:rsidR="0084778B">
        <w:rPr>
          <w:b/>
          <w:sz w:val="32"/>
        </w:rPr>
        <w:t>2019</w:t>
      </w:r>
    </w:p>
    <w:p w:rsidR="0084778B" w:rsidRPr="00E73C01" w:rsidRDefault="00347091" w:rsidP="0084778B">
      <w:pPr>
        <w:spacing w:line="240" w:lineRule="auto"/>
        <w:rPr>
          <w:rFonts w:ascii="Arial" w:hAnsi="Arial" w:cs="Arial"/>
          <w:sz w:val="21"/>
          <w:szCs w:val="21"/>
        </w:rPr>
      </w:pPr>
      <w:r>
        <w:rPr>
          <w:rFonts w:ascii="Arial" w:hAnsi="Arial" w:cs="Arial"/>
          <w:sz w:val="21"/>
          <w:szCs w:val="21"/>
        </w:rPr>
        <w:br/>
      </w:r>
      <w:r w:rsidR="0084778B">
        <w:rPr>
          <w:noProof/>
        </w:rPr>
        <w:drawing>
          <wp:anchor distT="0" distB="0" distL="114300" distR="114300" simplePos="0" relativeHeight="251659264" behindDoc="1" locked="0" layoutInCell="1" allowOverlap="1" wp14:anchorId="1C218CFE" wp14:editId="4E2AA957">
            <wp:simplePos x="0" y="0"/>
            <wp:positionH relativeFrom="column">
              <wp:posOffset>2434590</wp:posOffset>
            </wp:positionH>
            <wp:positionV relativeFrom="paragraph">
              <wp:posOffset>221615</wp:posOffset>
            </wp:positionV>
            <wp:extent cx="4019550" cy="2511425"/>
            <wp:effectExtent l="0" t="0" r="0" b="3175"/>
            <wp:wrapTight wrapText="bothSides">
              <wp:wrapPolygon edited="0">
                <wp:start x="0" y="0"/>
                <wp:lineTo x="0" y="21463"/>
                <wp:lineTo x="21498" y="21463"/>
                <wp:lineTo x="2149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19550" cy="2511425"/>
                    </a:xfrm>
                    <a:prstGeom prst="rect">
                      <a:avLst/>
                    </a:prstGeom>
                  </pic:spPr>
                </pic:pic>
              </a:graphicData>
            </a:graphic>
            <wp14:sizeRelH relativeFrom="page">
              <wp14:pctWidth>0</wp14:pctWidth>
            </wp14:sizeRelH>
            <wp14:sizeRelV relativeFrom="page">
              <wp14:pctHeight>0</wp14:pctHeight>
            </wp14:sizeRelV>
          </wp:anchor>
        </w:drawing>
      </w:r>
      <w:r w:rsidR="0084778B" w:rsidRPr="00E73C01">
        <w:rPr>
          <w:rFonts w:ascii="Arial" w:hAnsi="Arial" w:cs="Arial"/>
          <w:sz w:val="21"/>
          <w:szCs w:val="21"/>
        </w:rPr>
        <w:t>There is a cumulative impact to lo</w:t>
      </w:r>
      <w:bookmarkStart w:id="0" w:name="_GoBack"/>
      <w:bookmarkEnd w:id="0"/>
      <w:r w:rsidR="0084778B" w:rsidRPr="00E73C01">
        <w:rPr>
          <w:rFonts w:ascii="Arial" w:hAnsi="Arial" w:cs="Arial"/>
          <w:sz w:val="21"/>
          <w:szCs w:val="21"/>
        </w:rPr>
        <w:t xml:space="preserve">w per pupil funding increases in Iowa over many years. </w:t>
      </w:r>
      <w:r w:rsidR="0084778B" w:rsidRPr="00E73C01">
        <w:rPr>
          <w:rFonts w:ascii="Arial" w:hAnsi="Arial" w:cs="Arial"/>
          <w:noProof/>
          <w:sz w:val="21"/>
          <w:szCs w:val="21"/>
        </w:rPr>
        <w:t>This</w:t>
      </w:r>
      <w:r w:rsidR="0084778B" w:rsidRPr="00E73C01">
        <w:rPr>
          <w:rFonts w:ascii="Arial" w:hAnsi="Arial" w:cs="Arial"/>
          <w:sz w:val="21"/>
          <w:szCs w:val="21"/>
        </w:rPr>
        <w:t xml:space="preserve"> chart shows the historical percentage increase in Iowa’s state cost per pupil, previously called Allowable Growth, now State Supplemental Assistance, since the funding formula began in 1972-73:</w:t>
      </w:r>
    </w:p>
    <w:p w:rsidR="0084778B" w:rsidRPr="00E73C01" w:rsidRDefault="0084778B" w:rsidP="0084778B">
      <w:pPr>
        <w:spacing w:line="240" w:lineRule="auto"/>
        <w:rPr>
          <w:rFonts w:ascii="Arial" w:hAnsi="Arial" w:cs="Arial"/>
          <w:sz w:val="21"/>
          <w:szCs w:val="21"/>
        </w:rPr>
      </w:pPr>
      <w:r w:rsidRPr="00E73C01">
        <w:rPr>
          <w:rFonts w:ascii="Arial" w:hAnsi="Arial" w:cs="Arial"/>
          <w:b/>
          <w:sz w:val="21"/>
          <w:szCs w:val="21"/>
        </w:rPr>
        <w:t>Current reality:</w:t>
      </w:r>
      <w:r w:rsidRPr="00E73C01">
        <w:rPr>
          <w:rFonts w:ascii="Arial" w:hAnsi="Arial" w:cs="Arial"/>
          <w:sz w:val="21"/>
          <w:szCs w:val="21"/>
        </w:rPr>
        <w:t xml:space="preserve"> Annual cost increases have not been enough to pay for staff salaries sufficient to compete with the private sector, employee benefits, insurance, busing (drivers, fuel), textbooks, utilities, professional development and staff training, paper and materials, library books, instructional software, science labs and equipment, staffing and materials for specific student programs (dropout prevention, at-risk, English-language learner, special education, Talented and Gifted, CTE programs), assessments, administrative leadership and support. Low funding impacts the weightings, or multipliers, assigned to students requiring special education services, English language learner supports, concurrent enrollment (college credit) and preschool.  </w:t>
      </w:r>
    </w:p>
    <w:p w:rsidR="0084778B" w:rsidRPr="00E73C01" w:rsidRDefault="0084778B" w:rsidP="0084778B">
      <w:pPr>
        <w:spacing w:line="240" w:lineRule="auto"/>
        <w:rPr>
          <w:rFonts w:ascii="Arial" w:hAnsi="Arial" w:cs="Arial"/>
          <w:sz w:val="21"/>
          <w:szCs w:val="21"/>
        </w:rPr>
      </w:pPr>
      <w:r w:rsidRPr="00E73C01">
        <w:rPr>
          <w:rFonts w:ascii="Arial" w:hAnsi="Arial" w:cs="Arial"/>
          <w:sz w:val="21"/>
          <w:szCs w:val="21"/>
        </w:rPr>
        <w:t xml:space="preserve">The funding percentage is also applied to Teacher Salary and Professional Development supplements and the new Teacher Leadership and Compensation (TLC) supplements. These funds are strictly regulated for specific purposes.  AEA supports for special education and school improvement are also dependent on an adequate increase in the per pupil cost. Unfunded mandates from the state and federal level are paid from the per pupil amount.  When costs increase more than funding, program and staff reductions follow. </w:t>
      </w:r>
    </w:p>
    <w:p w:rsidR="0084778B" w:rsidRPr="00E73C01" w:rsidRDefault="0084778B" w:rsidP="0084778B">
      <w:pPr>
        <w:spacing w:before="120" w:line="240" w:lineRule="auto"/>
        <w:rPr>
          <w:rFonts w:ascii="Arial" w:hAnsi="Arial" w:cs="Arial"/>
          <w:sz w:val="21"/>
          <w:szCs w:val="21"/>
        </w:rPr>
      </w:pPr>
      <w:r w:rsidRPr="00E73C01">
        <w:rPr>
          <w:rFonts w:ascii="Arial" w:hAnsi="Arial" w:cs="Arial"/>
          <w:b/>
          <w:sz w:val="21"/>
          <w:szCs w:val="21"/>
        </w:rPr>
        <w:t>Benchmarks/Economic Measures for Comparison:</w:t>
      </w:r>
      <w:r w:rsidRPr="00E73C01">
        <w:rPr>
          <w:rFonts w:ascii="Arial" w:hAnsi="Arial" w:cs="Arial"/>
          <w:sz w:val="21"/>
          <w:szCs w:val="21"/>
        </w:rPr>
        <w:t xml:space="preserve">  </w:t>
      </w:r>
    </w:p>
    <w:p w:rsidR="0084778B" w:rsidRPr="00E73C01" w:rsidRDefault="0084778B" w:rsidP="0084778B">
      <w:pPr>
        <w:spacing w:before="120" w:line="240" w:lineRule="auto"/>
        <w:rPr>
          <w:rFonts w:ascii="Arial" w:hAnsi="Arial" w:cs="Arial"/>
          <w:sz w:val="21"/>
          <w:szCs w:val="21"/>
        </w:rPr>
      </w:pPr>
      <w:r w:rsidRPr="00E73C01">
        <w:rPr>
          <w:rFonts w:ascii="Arial" w:hAnsi="Arial" w:cs="Arial"/>
          <w:sz w:val="21"/>
          <w:szCs w:val="21"/>
        </w:rPr>
        <w:t xml:space="preserve">When comparing the state cost per pupil to economic benchmarks and comparisons with other states, Iowa school funding falls short.  For example: </w:t>
      </w:r>
    </w:p>
    <w:p w:rsidR="0084778B" w:rsidRPr="00E73C01" w:rsidRDefault="0084778B" w:rsidP="0084778B">
      <w:pPr>
        <w:pStyle w:val="ListParagraph"/>
        <w:numPr>
          <w:ilvl w:val="0"/>
          <w:numId w:val="7"/>
        </w:numPr>
        <w:spacing w:before="120" w:after="0" w:line="240" w:lineRule="auto"/>
        <w:rPr>
          <w:rFonts w:ascii="Arial" w:hAnsi="Arial" w:cs="Arial"/>
          <w:sz w:val="21"/>
          <w:szCs w:val="21"/>
        </w:rPr>
      </w:pPr>
      <w:r w:rsidRPr="00E73C01">
        <w:rPr>
          <w:rFonts w:ascii="Arial" w:hAnsi="Arial" w:cs="Arial"/>
          <w:sz w:val="21"/>
          <w:szCs w:val="21"/>
        </w:rPr>
        <w:t xml:space="preserve">The Gross Domestic Product (GDP) for Iowa grew 20% controlling for inflation, 2011 to 2017, compared to the state cost per pupil which grew 14% without controlling for inflation (means the gap is even larger.) </w:t>
      </w:r>
      <w:hyperlink r:id="rId11" w:history="1">
        <w:r w:rsidRPr="00E73C01">
          <w:rPr>
            <w:rStyle w:val="Hyperlink"/>
            <w:rFonts w:ascii="Arial" w:hAnsi="Arial" w:cs="Arial"/>
            <w:sz w:val="21"/>
            <w:szCs w:val="21"/>
          </w:rPr>
          <w:t>https://</w:t>
        </w:r>
      </w:hyperlink>
      <w:hyperlink r:id="rId12" w:history="1">
        <w:r w:rsidRPr="00E73C01">
          <w:rPr>
            <w:rStyle w:val="Hyperlink"/>
            <w:rFonts w:ascii="Arial" w:hAnsi="Arial" w:cs="Arial"/>
            <w:sz w:val="21"/>
            <w:szCs w:val="21"/>
          </w:rPr>
          <w:t>www.legis.iowa.gov/docs/publications/FTNO/966760.pdf</w:t>
        </w:r>
      </w:hyperlink>
    </w:p>
    <w:p w:rsidR="0084778B" w:rsidRPr="00E73C01" w:rsidRDefault="0084778B" w:rsidP="0084778B">
      <w:pPr>
        <w:pStyle w:val="ListParagraph"/>
        <w:numPr>
          <w:ilvl w:val="0"/>
          <w:numId w:val="7"/>
        </w:numPr>
        <w:spacing w:before="120" w:after="0" w:line="240" w:lineRule="auto"/>
        <w:rPr>
          <w:rFonts w:ascii="Arial" w:hAnsi="Arial" w:cs="Arial"/>
          <w:sz w:val="21"/>
          <w:szCs w:val="21"/>
        </w:rPr>
      </w:pPr>
      <w:r w:rsidRPr="00E73C01">
        <w:rPr>
          <w:rFonts w:ascii="Arial" w:hAnsi="Arial" w:cs="Arial"/>
          <w:sz w:val="21"/>
          <w:szCs w:val="21"/>
        </w:rPr>
        <w:t xml:space="preserve">Expressing the state cost per pupil as a percentage of one billion GDP shows a disturbing trend.  In the 1990s, the SCPP ranged between 52-44% of one billion GDP.  In the 2000s, the SCPP ranged from 45-37% of one billion GDP. Since 2010, the SCPP has ranged from 37-34% of one billion GDP, with the last four years showing the lowest comparison in the formula’s history. </w:t>
      </w:r>
    </w:p>
    <w:p w:rsidR="0084778B" w:rsidRPr="00E73C01" w:rsidRDefault="0084778B" w:rsidP="0084778B">
      <w:pPr>
        <w:pStyle w:val="ListParagraph"/>
        <w:numPr>
          <w:ilvl w:val="0"/>
          <w:numId w:val="7"/>
        </w:numPr>
        <w:spacing w:before="120" w:after="0" w:line="240" w:lineRule="auto"/>
        <w:rPr>
          <w:rFonts w:ascii="Arial" w:hAnsi="Arial" w:cs="Arial"/>
          <w:sz w:val="21"/>
          <w:szCs w:val="21"/>
        </w:rPr>
      </w:pPr>
      <w:r w:rsidRPr="00E73C01">
        <w:rPr>
          <w:rFonts w:ascii="Arial" w:hAnsi="Arial" w:cs="Arial"/>
          <w:sz w:val="21"/>
          <w:szCs w:val="21"/>
        </w:rPr>
        <w:t xml:space="preserve">Iowa Per Capita Personal Income increased 21%, 2010-2017 </w:t>
      </w:r>
      <w:hyperlink r:id="rId13" w:history="1">
        <w:r w:rsidRPr="00E73C01">
          <w:rPr>
            <w:rStyle w:val="Hyperlink"/>
            <w:rFonts w:ascii="Arial" w:hAnsi="Arial" w:cs="Arial"/>
            <w:sz w:val="21"/>
            <w:szCs w:val="21"/>
          </w:rPr>
          <w:t>https://</w:t>
        </w:r>
      </w:hyperlink>
      <w:hyperlink r:id="rId14" w:history="1">
        <w:r w:rsidRPr="00E73C01">
          <w:rPr>
            <w:rStyle w:val="Hyperlink"/>
            <w:rFonts w:ascii="Arial" w:hAnsi="Arial" w:cs="Arial"/>
            <w:sz w:val="21"/>
            <w:szCs w:val="21"/>
          </w:rPr>
          <w:t>fred.stlouisfed.org</w:t>
        </w:r>
      </w:hyperlink>
      <w:r w:rsidRPr="00E73C01">
        <w:rPr>
          <w:rFonts w:ascii="Arial" w:hAnsi="Arial" w:cs="Arial"/>
          <w:sz w:val="21"/>
          <w:szCs w:val="21"/>
        </w:rPr>
        <w:t xml:space="preserve"> </w:t>
      </w:r>
    </w:p>
    <w:p w:rsidR="0084778B" w:rsidRPr="00E73C01" w:rsidRDefault="0084778B" w:rsidP="0084778B">
      <w:pPr>
        <w:pStyle w:val="ListParagraph"/>
        <w:numPr>
          <w:ilvl w:val="0"/>
          <w:numId w:val="7"/>
        </w:numPr>
        <w:spacing w:before="120" w:after="0" w:line="240" w:lineRule="auto"/>
        <w:rPr>
          <w:rFonts w:ascii="Arial" w:hAnsi="Arial" w:cs="Arial"/>
          <w:sz w:val="21"/>
          <w:szCs w:val="21"/>
        </w:rPr>
      </w:pPr>
      <w:r w:rsidRPr="00E73C01">
        <w:rPr>
          <w:rFonts w:ascii="Arial" w:hAnsi="Arial" w:cs="Arial"/>
          <w:sz w:val="21"/>
          <w:szCs w:val="21"/>
        </w:rPr>
        <w:t xml:space="preserve">Iowa Nominal Median Household Income increased by $8,286 or 17.3%, 2010-2016. </w:t>
      </w:r>
      <w:hyperlink r:id="rId15" w:history="1">
        <w:r w:rsidRPr="00E73C01">
          <w:rPr>
            <w:rStyle w:val="Hyperlink"/>
            <w:rFonts w:ascii="Arial" w:hAnsi="Arial" w:cs="Arial"/>
            <w:sz w:val="21"/>
            <w:szCs w:val="21"/>
          </w:rPr>
          <w:t>https://www.deptofnumbers.com/income/iowa/</w:t>
        </w:r>
      </w:hyperlink>
      <w:r w:rsidRPr="00E73C01">
        <w:rPr>
          <w:rFonts w:ascii="Arial" w:hAnsi="Arial" w:cs="Arial"/>
          <w:sz w:val="21"/>
          <w:szCs w:val="21"/>
        </w:rPr>
        <w:t xml:space="preserve">  </w:t>
      </w:r>
    </w:p>
    <w:p w:rsidR="0084778B" w:rsidRPr="00E73C01" w:rsidRDefault="0084778B" w:rsidP="002C2EC7">
      <w:pPr>
        <w:spacing w:before="120" w:line="240" w:lineRule="auto"/>
        <w:rPr>
          <w:rFonts w:ascii="Arial" w:hAnsi="Arial" w:cs="Arial"/>
          <w:sz w:val="21"/>
          <w:szCs w:val="21"/>
        </w:rPr>
      </w:pPr>
      <w:r w:rsidRPr="00E73C01">
        <w:rPr>
          <w:rFonts w:ascii="Arial" w:hAnsi="Arial" w:cs="Arial"/>
          <w:b/>
          <w:sz w:val="21"/>
          <w:szCs w:val="21"/>
        </w:rPr>
        <w:t>Recent Iowa Investments in Education:</w:t>
      </w:r>
      <w:r w:rsidRPr="00E73C01">
        <w:rPr>
          <w:rFonts w:ascii="Arial" w:hAnsi="Arial" w:cs="Arial"/>
          <w:sz w:val="21"/>
          <w:szCs w:val="21"/>
        </w:rPr>
        <w:t xml:space="preserve">  During the 2018 election, candidates mentioned an increase in state funding of $765 million since 2011.  Some additional context explains what school leaders believe: </w:t>
      </w:r>
    </w:p>
    <w:p w:rsidR="0084778B" w:rsidRPr="00E73C01" w:rsidRDefault="0084778B" w:rsidP="0084778B">
      <w:pPr>
        <w:spacing w:before="120"/>
        <w:rPr>
          <w:rFonts w:ascii="Arial" w:hAnsi="Arial" w:cs="Arial"/>
          <w:sz w:val="21"/>
          <w:szCs w:val="21"/>
        </w:rPr>
      </w:pPr>
      <w:r w:rsidRPr="00E73C01">
        <w:rPr>
          <w:rFonts w:ascii="Arial" w:hAnsi="Arial" w:cs="Arial"/>
          <w:sz w:val="21"/>
          <w:szCs w:val="21"/>
        </w:rPr>
        <w:t xml:space="preserve">State funding did increase by $765 million over those 8 years. However, $90 million of that was state money that offset reductions in property taxes (see HF 2230 </w:t>
      </w:r>
      <w:hyperlink r:id="rId16" w:history="1">
        <w:r w:rsidRPr="00E73C01">
          <w:rPr>
            <w:rStyle w:val="Hyperlink"/>
            <w:rFonts w:ascii="Arial" w:hAnsi="Arial" w:cs="Arial"/>
            <w:sz w:val="21"/>
            <w:szCs w:val="21"/>
          </w:rPr>
          <w:t>fiscal note 2018</w:t>
        </w:r>
      </w:hyperlink>
      <w:r w:rsidRPr="00E73C01">
        <w:rPr>
          <w:rFonts w:ascii="Arial" w:hAnsi="Arial" w:cs="Arial"/>
          <w:sz w:val="21"/>
          <w:szCs w:val="21"/>
        </w:rPr>
        <w:t xml:space="preserve">); $159 million was the Teacher Leadership Program; $86 million paid for new teachers and classrooms for 13,802 new students (enrollment </w:t>
      </w:r>
      <w:r w:rsidRPr="00E73C01">
        <w:rPr>
          <w:rFonts w:ascii="Arial" w:hAnsi="Arial" w:cs="Arial"/>
          <w:sz w:val="21"/>
          <w:szCs w:val="21"/>
        </w:rPr>
        <w:lastRenderedPageBreak/>
        <w:t xml:space="preserve">data from DE Education Statistics web site </w:t>
      </w:r>
      <w:hyperlink r:id="rId17" w:history="1">
        <w:r w:rsidRPr="00E73C01">
          <w:rPr>
            <w:rStyle w:val="Hyperlink"/>
            <w:rFonts w:ascii="Arial" w:hAnsi="Arial" w:cs="Arial"/>
            <w:sz w:val="21"/>
            <w:szCs w:val="21"/>
          </w:rPr>
          <w:t>https://educateiowa.gov/education-statistics</w:t>
        </w:r>
      </w:hyperlink>
      <w:r w:rsidRPr="00E73C01">
        <w:rPr>
          <w:rFonts w:ascii="Arial" w:hAnsi="Arial" w:cs="Arial"/>
          <w:sz w:val="21"/>
          <w:szCs w:val="21"/>
        </w:rPr>
        <w:t xml:space="preserve">). Although $765 million sounds like a lot of money, the remaining amount supporting the regular education classroom translates into 58 cents per student per instructional day. </w:t>
      </w:r>
    </w:p>
    <w:p w:rsidR="0084778B" w:rsidRPr="00E73C01" w:rsidRDefault="0084778B" w:rsidP="0084778B">
      <w:pPr>
        <w:spacing w:before="120"/>
        <w:rPr>
          <w:rFonts w:ascii="Arial" w:hAnsi="Arial" w:cs="Arial"/>
          <w:sz w:val="21"/>
          <w:szCs w:val="21"/>
        </w:rPr>
      </w:pPr>
      <w:r w:rsidRPr="00E73C01">
        <w:rPr>
          <w:rFonts w:ascii="Arial" w:hAnsi="Arial" w:cs="Arial"/>
          <w:b/>
          <w:iCs/>
          <w:sz w:val="21"/>
          <w:szCs w:val="21"/>
        </w:rPr>
        <w:t>Other State Comparisons:</w:t>
      </w:r>
      <w:r w:rsidRPr="00E73C01">
        <w:rPr>
          <w:rFonts w:ascii="Arial" w:hAnsi="Arial" w:cs="Arial"/>
          <w:iCs/>
          <w:sz w:val="21"/>
          <w:szCs w:val="21"/>
        </w:rPr>
        <w:t xml:space="preserve"> First, from 2016 US Census data updated May 2018 </w:t>
      </w:r>
      <w:hyperlink r:id="rId18" w:history="1">
        <w:r w:rsidRPr="00E73C01">
          <w:rPr>
            <w:rStyle w:val="Hyperlink"/>
            <w:rFonts w:ascii="Arial" w:hAnsi="Arial" w:cs="Arial"/>
            <w:sz w:val="21"/>
            <w:szCs w:val="21"/>
          </w:rPr>
          <w:t>https</w:t>
        </w:r>
      </w:hyperlink>
      <w:hyperlink r:id="rId19" w:history="1">
        <w:r w:rsidRPr="00E73C01">
          <w:rPr>
            <w:rStyle w:val="Hyperlink"/>
            <w:rFonts w:ascii="Arial" w:hAnsi="Arial" w:cs="Arial"/>
            <w:sz w:val="21"/>
            <w:szCs w:val="21"/>
          </w:rPr>
          <w:t>://</w:t>
        </w:r>
      </w:hyperlink>
      <w:hyperlink r:id="rId20" w:history="1">
        <w:r w:rsidRPr="00E73C01">
          <w:rPr>
            <w:rStyle w:val="Hyperlink"/>
            <w:rFonts w:ascii="Arial" w:hAnsi="Arial" w:cs="Arial"/>
            <w:sz w:val="21"/>
            <w:szCs w:val="21"/>
          </w:rPr>
          <w:t>www.census.gov/data/tables/2016/econ/school-finances/secondary-education-finance.html</w:t>
        </w:r>
      </w:hyperlink>
    </w:p>
    <w:p w:rsidR="0084778B" w:rsidRPr="00E73C01" w:rsidRDefault="0084778B" w:rsidP="0084778B">
      <w:pPr>
        <w:pStyle w:val="ListParagraph"/>
        <w:numPr>
          <w:ilvl w:val="0"/>
          <w:numId w:val="8"/>
        </w:numPr>
        <w:spacing w:before="120" w:after="0" w:line="240" w:lineRule="auto"/>
        <w:rPr>
          <w:rFonts w:ascii="Arial" w:hAnsi="Arial" w:cs="Arial"/>
          <w:sz w:val="21"/>
          <w:szCs w:val="21"/>
        </w:rPr>
      </w:pPr>
      <w:r w:rsidRPr="00E73C01">
        <w:rPr>
          <w:rFonts w:ascii="Arial" w:hAnsi="Arial" w:cs="Arial"/>
          <w:sz w:val="21"/>
          <w:szCs w:val="21"/>
        </w:rPr>
        <w:t>Iowa ranks 25</w:t>
      </w:r>
      <w:r w:rsidRPr="00E73C01">
        <w:rPr>
          <w:rFonts w:ascii="Arial" w:hAnsi="Arial" w:cs="Arial"/>
          <w:sz w:val="21"/>
          <w:szCs w:val="21"/>
          <w:vertAlign w:val="superscript"/>
        </w:rPr>
        <w:t>th</w:t>
      </w:r>
      <w:r w:rsidRPr="00E73C01">
        <w:rPr>
          <w:rFonts w:ascii="Arial" w:hAnsi="Arial" w:cs="Arial"/>
          <w:sz w:val="21"/>
          <w:szCs w:val="21"/>
        </w:rPr>
        <w:t xml:space="preserve"> in per pupil public elementary and secondary school system revenue, which is $734 below the national average. </w:t>
      </w:r>
    </w:p>
    <w:p w:rsidR="0084778B" w:rsidRPr="00E73C01" w:rsidRDefault="0084778B" w:rsidP="0084778B">
      <w:pPr>
        <w:pStyle w:val="ListParagraph"/>
        <w:numPr>
          <w:ilvl w:val="0"/>
          <w:numId w:val="8"/>
        </w:numPr>
        <w:spacing w:before="120" w:after="0" w:line="240" w:lineRule="auto"/>
        <w:rPr>
          <w:rFonts w:ascii="Arial" w:hAnsi="Arial" w:cs="Arial"/>
          <w:sz w:val="21"/>
          <w:szCs w:val="21"/>
        </w:rPr>
      </w:pPr>
      <w:r w:rsidRPr="00E73C01">
        <w:rPr>
          <w:rFonts w:ascii="Arial" w:hAnsi="Arial" w:cs="Arial"/>
          <w:sz w:val="21"/>
          <w:szCs w:val="21"/>
        </w:rPr>
        <w:t>Iowa ranks 21</w:t>
      </w:r>
      <w:r w:rsidRPr="00E73C01">
        <w:rPr>
          <w:rFonts w:ascii="Arial" w:hAnsi="Arial" w:cs="Arial"/>
          <w:sz w:val="21"/>
          <w:szCs w:val="21"/>
          <w:vertAlign w:val="superscript"/>
        </w:rPr>
        <w:t>st</w:t>
      </w:r>
      <w:r w:rsidRPr="00E73C01">
        <w:rPr>
          <w:rFonts w:ascii="Arial" w:hAnsi="Arial" w:cs="Arial"/>
          <w:sz w:val="21"/>
          <w:szCs w:val="21"/>
        </w:rPr>
        <w:t xml:space="preserve"> in state sources of revenue, which is $507 higher per pupil than the national average (Iowa’s local taxpayers contribute relatively less to education than in other states).</w:t>
      </w:r>
    </w:p>
    <w:p w:rsidR="0084778B" w:rsidRPr="00E73C01" w:rsidRDefault="0084778B" w:rsidP="0084778B">
      <w:pPr>
        <w:pStyle w:val="ListParagraph"/>
        <w:numPr>
          <w:ilvl w:val="0"/>
          <w:numId w:val="8"/>
        </w:numPr>
        <w:spacing w:before="120" w:after="0" w:line="240" w:lineRule="auto"/>
        <w:rPr>
          <w:rFonts w:ascii="Arial" w:hAnsi="Arial" w:cs="Arial"/>
          <w:sz w:val="21"/>
          <w:szCs w:val="21"/>
        </w:rPr>
      </w:pPr>
      <w:r w:rsidRPr="00E73C01">
        <w:rPr>
          <w:rFonts w:ascii="Arial" w:hAnsi="Arial" w:cs="Arial"/>
          <w:sz w:val="21"/>
          <w:szCs w:val="21"/>
        </w:rPr>
        <w:t xml:space="preserve">Iowa per pupil spending on employee benefits (pension and health insurance, etc.) is $336 per pupil below the national average.  </w:t>
      </w:r>
    </w:p>
    <w:p w:rsidR="0084778B" w:rsidRPr="00E73C01" w:rsidRDefault="0084778B" w:rsidP="00E73C01">
      <w:pPr>
        <w:spacing w:before="120" w:line="240" w:lineRule="auto"/>
        <w:rPr>
          <w:rFonts w:ascii="Arial" w:hAnsi="Arial" w:cs="Arial"/>
          <w:sz w:val="21"/>
          <w:szCs w:val="21"/>
        </w:rPr>
      </w:pPr>
      <w:r w:rsidRPr="00E73C01">
        <w:rPr>
          <w:rFonts w:ascii="Arial" w:hAnsi="Arial" w:cs="Arial"/>
          <w:noProof/>
          <w:sz w:val="21"/>
          <w:szCs w:val="21"/>
        </w:rPr>
        <w:drawing>
          <wp:anchor distT="0" distB="0" distL="114300" distR="114300" simplePos="0" relativeHeight="251661312" behindDoc="1" locked="0" layoutInCell="1" allowOverlap="1" wp14:anchorId="7E86B806" wp14:editId="114EC235">
            <wp:simplePos x="0" y="0"/>
            <wp:positionH relativeFrom="column">
              <wp:posOffset>3108960</wp:posOffset>
            </wp:positionH>
            <wp:positionV relativeFrom="paragraph">
              <wp:posOffset>495300</wp:posOffset>
            </wp:positionV>
            <wp:extent cx="3436620" cy="2339340"/>
            <wp:effectExtent l="0" t="0" r="11430" b="3810"/>
            <wp:wrapTight wrapText="bothSides">
              <wp:wrapPolygon edited="0">
                <wp:start x="0" y="0"/>
                <wp:lineTo x="0" y="21459"/>
                <wp:lineTo x="21552" y="21459"/>
                <wp:lineTo x="21552" y="0"/>
                <wp:lineTo x="0" y="0"/>
              </wp:wrapPolygon>
            </wp:wrapTight>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Pr="00E73C01">
        <w:rPr>
          <w:rFonts w:ascii="Arial" w:hAnsi="Arial" w:cs="Arial"/>
          <w:sz w:val="21"/>
          <w:szCs w:val="21"/>
        </w:rPr>
        <w:t>A true apples-to-apples comparison is found if you consider what percent of total state resources are spent on education.  NASBO (National Association of State Budget Officers) </w:t>
      </w:r>
      <w:hyperlink r:id="rId22" w:history="1">
        <w:r w:rsidRPr="00E73C01">
          <w:rPr>
            <w:rStyle w:val="Hyperlink"/>
            <w:rFonts w:ascii="Arial" w:hAnsi="Arial" w:cs="Arial"/>
            <w:sz w:val="21"/>
            <w:szCs w:val="21"/>
          </w:rPr>
          <w:t>State Expenditure Report</w:t>
        </w:r>
      </w:hyperlink>
      <w:r w:rsidRPr="00E73C01">
        <w:rPr>
          <w:rFonts w:ascii="Arial" w:hAnsi="Arial" w:cs="Arial"/>
          <w:sz w:val="21"/>
          <w:szCs w:val="21"/>
        </w:rPr>
        <w:t> analyzes all state expenditures:</w:t>
      </w:r>
    </w:p>
    <w:p w:rsidR="0084778B" w:rsidRPr="00E73C01" w:rsidRDefault="0084778B" w:rsidP="00E73C01">
      <w:pPr>
        <w:pStyle w:val="ListParagraph"/>
        <w:numPr>
          <w:ilvl w:val="0"/>
          <w:numId w:val="8"/>
        </w:numPr>
        <w:spacing w:before="120" w:after="0" w:line="240" w:lineRule="auto"/>
        <w:rPr>
          <w:rFonts w:ascii="Arial" w:hAnsi="Arial" w:cs="Arial"/>
          <w:sz w:val="21"/>
          <w:szCs w:val="21"/>
        </w:rPr>
      </w:pPr>
      <w:r w:rsidRPr="00E73C01">
        <w:rPr>
          <w:rFonts w:ascii="Arial" w:hAnsi="Arial" w:cs="Arial"/>
          <w:sz w:val="21"/>
          <w:szCs w:val="21"/>
        </w:rPr>
        <w:t>In FY 2018, Iowa’s education expenditures were 16.9% of total state expenditures. Plains states averaged 20.5%.  All states averaged 19.6%.</w:t>
      </w:r>
    </w:p>
    <w:p w:rsidR="0084778B" w:rsidRPr="00E73C01" w:rsidRDefault="0084778B" w:rsidP="00E73C01">
      <w:pPr>
        <w:pStyle w:val="ListParagraph"/>
        <w:numPr>
          <w:ilvl w:val="0"/>
          <w:numId w:val="8"/>
        </w:numPr>
        <w:spacing w:before="120" w:after="0" w:line="240" w:lineRule="auto"/>
        <w:rPr>
          <w:rFonts w:ascii="Arial" w:hAnsi="Arial" w:cs="Arial"/>
          <w:sz w:val="21"/>
          <w:szCs w:val="21"/>
        </w:rPr>
      </w:pPr>
      <w:r w:rsidRPr="00E73C01">
        <w:rPr>
          <w:rFonts w:ascii="Arial" w:hAnsi="Arial" w:cs="Arial"/>
          <w:sz w:val="21"/>
          <w:szCs w:val="21"/>
        </w:rPr>
        <w:t>Iowa ranks compared to all 50 states:  FY15 Iowa ranked 33</w:t>
      </w:r>
      <w:r w:rsidRPr="00E73C01">
        <w:rPr>
          <w:rFonts w:ascii="Arial" w:hAnsi="Arial" w:cs="Arial"/>
          <w:sz w:val="21"/>
          <w:szCs w:val="21"/>
          <w:vertAlign w:val="superscript"/>
        </w:rPr>
        <w:t>rd</w:t>
      </w:r>
      <w:r w:rsidRPr="00E73C01">
        <w:rPr>
          <w:rFonts w:ascii="Arial" w:hAnsi="Arial" w:cs="Arial"/>
          <w:sz w:val="21"/>
          <w:szCs w:val="21"/>
        </w:rPr>
        <w:t>.   FY16 Iowa ranked 36</w:t>
      </w:r>
      <w:r w:rsidRPr="00E73C01">
        <w:rPr>
          <w:rFonts w:ascii="Arial" w:hAnsi="Arial" w:cs="Arial"/>
          <w:sz w:val="21"/>
          <w:szCs w:val="21"/>
          <w:vertAlign w:val="superscript"/>
        </w:rPr>
        <w:t>th</w:t>
      </w:r>
      <w:r w:rsidRPr="00E73C01">
        <w:rPr>
          <w:rFonts w:ascii="Arial" w:hAnsi="Arial" w:cs="Arial"/>
          <w:sz w:val="21"/>
          <w:szCs w:val="21"/>
        </w:rPr>
        <w:t>.  FY17 Iowa ranked 34</w:t>
      </w:r>
      <w:r w:rsidRPr="00E73C01">
        <w:rPr>
          <w:rFonts w:ascii="Arial" w:hAnsi="Arial" w:cs="Arial"/>
          <w:sz w:val="21"/>
          <w:szCs w:val="21"/>
          <w:vertAlign w:val="superscript"/>
        </w:rPr>
        <w:t>th</w:t>
      </w:r>
      <w:r w:rsidRPr="00E73C01">
        <w:rPr>
          <w:rFonts w:ascii="Arial" w:hAnsi="Arial" w:cs="Arial"/>
          <w:sz w:val="21"/>
          <w:szCs w:val="21"/>
        </w:rPr>
        <w:t>. FY18 Iowa ranked 32</w:t>
      </w:r>
      <w:r w:rsidRPr="00E73C01">
        <w:rPr>
          <w:rFonts w:ascii="Arial" w:hAnsi="Arial" w:cs="Arial"/>
          <w:sz w:val="21"/>
          <w:szCs w:val="21"/>
          <w:vertAlign w:val="superscript"/>
        </w:rPr>
        <w:t>nd</w:t>
      </w:r>
      <w:r w:rsidRPr="00E73C01">
        <w:rPr>
          <w:rFonts w:ascii="Arial" w:hAnsi="Arial" w:cs="Arial"/>
          <w:sz w:val="21"/>
          <w:szCs w:val="21"/>
        </w:rPr>
        <w:t xml:space="preserve">. </w:t>
      </w:r>
    </w:p>
    <w:p w:rsidR="0084778B" w:rsidRPr="00E73C01" w:rsidRDefault="00E73C01" w:rsidP="00E73C01">
      <w:pPr>
        <w:pStyle w:val="ListParagraph"/>
        <w:numPr>
          <w:ilvl w:val="0"/>
          <w:numId w:val="8"/>
        </w:numPr>
        <w:spacing w:before="120" w:after="0" w:line="240" w:lineRule="auto"/>
        <w:rPr>
          <w:rFonts w:ascii="Arial" w:hAnsi="Arial" w:cs="Arial"/>
          <w:sz w:val="21"/>
          <w:szCs w:val="21"/>
        </w:rPr>
      </w:pPr>
      <w:r>
        <w:rPr>
          <w:rFonts w:ascii="Arial" w:hAnsi="Arial" w:cs="Arial"/>
          <w:sz w:val="21"/>
          <w:szCs w:val="21"/>
        </w:rPr>
        <w:t>RSAI</w:t>
      </w:r>
      <w:r w:rsidR="0084778B" w:rsidRPr="00E73C01">
        <w:rPr>
          <w:rFonts w:ascii="Arial" w:hAnsi="Arial" w:cs="Arial"/>
          <w:sz w:val="21"/>
          <w:szCs w:val="21"/>
        </w:rPr>
        <w:t xml:space="preserve"> calculates it would take an additional $612.4 million for Iowa to reach the national average of 19.6% which is $1,194 per pupil.</w:t>
      </w:r>
    </w:p>
    <w:p w:rsidR="0084778B" w:rsidRPr="00E73C01" w:rsidRDefault="0084778B" w:rsidP="0084778B">
      <w:pPr>
        <w:spacing w:before="240" w:line="240" w:lineRule="auto"/>
        <w:rPr>
          <w:rFonts w:ascii="Arial" w:hAnsi="Arial" w:cs="Arial"/>
          <w:sz w:val="21"/>
          <w:szCs w:val="21"/>
        </w:rPr>
      </w:pPr>
      <w:r w:rsidRPr="00E73C01">
        <w:rPr>
          <w:rFonts w:ascii="Arial" w:hAnsi="Arial" w:cs="Arial"/>
          <w:b/>
          <w:sz w:val="21"/>
          <w:szCs w:val="21"/>
        </w:rPr>
        <w:t>Impact:</w:t>
      </w:r>
      <w:r w:rsidRPr="00E73C01">
        <w:rPr>
          <w:rFonts w:ascii="Arial" w:hAnsi="Arial" w:cs="Arial"/>
          <w:sz w:val="21"/>
          <w:szCs w:val="21"/>
        </w:rPr>
        <w:t xml:space="preserve">  Schools have been working very hard to deliver results for students.  Iowa has seen slight growth in NAEP scores despite significant growth in poverty and ELL students.  Iowa continues to rank first in the nation in graduation, with over 91% of our students graduating with their class in four years.  Schools are committed to school improvement efforts, such as TLC, early literacy and STEM initiatives.  More students are taking higher level courses and achieving college credit while in high school.  These efforts will be compromised if the basic foundation of school funding is not sustained.  Schools in Iowa are experiencing an increasing number of teacher shortage content areas. There are not enough qualified applicants to fill jobs, generally indicating that the profession of teaching is being outpaced in the marketplace.  Class sizes are going up, making the job even harder.  Programs are being eliminated. Districts are offering fewer extracurricular and fine arts opportunities for students, especially in middle school.  </w:t>
      </w:r>
    </w:p>
    <w:p w:rsidR="0084778B" w:rsidRPr="00E73C01" w:rsidRDefault="0084778B" w:rsidP="0084778B">
      <w:pPr>
        <w:spacing w:line="240" w:lineRule="auto"/>
        <w:rPr>
          <w:rFonts w:ascii="Arial" w:hAnsi="Arial" w:cs="Arial"/>
          <w:sz w:val="21"/>
          <w:szCs w:val="21"/>
        </w:rPr>
      </w:pPr>
      <w:r w:rsidRPr="00E73C01">
        <w:rPr>
          <w:rFonts w:ascii="Arial" w:hAnsi="Arial" w:cs="Arial"/>
          <w:sz w:val="21"/>
          <w:szCs w:val="21"/>
        </w:rPr>
        <w:t xml:space="preserve">This trend will diminish the quality of Iowa’s workforce and impact our state’s future quality of life.    </w:t>
      </w:r>
    </w:p>
    <w:p w:rsidR="00651A15" w:rsidRPr="00B22E49" w:rsidRDefault="00E73C01" w:rsidP="0084778B">
      <w:pPr>
        <w:spacing w:line="240" w:lineRule="auto"/>
        <w:rPr>
          <w:rFonts w:cs="Arial"/>
          <w:sz w:val="20"/>
          <w:szCs w:val="20"/>
        </w:rPr>
      </w:pPr>
      <w:r>
        <w:rPr>
          <w:rFonts w:ascii="Arial" w:eastAsia="Times New Roman" w:hAnsi="Arial" w:cs="Arial"/>
          <w:b/>
          <w:bCs/>
          <w:color w:val="000000"/>
          <w:sz w:val="21"/>
          <w:szCs w:val="21"/>
        </w:rPr>
        <w:t xml:space="preserve">RSAI sets the increase in the state cost per pupil, known as </w:t>
      </w:r>
      <w:r w:rsidRPr="00D81876">
        <w:rPr>
          <w:rFonts w:ascii="Arial" w:eastAsia="Times New Roman" w:hAnsi="Arial" w:cs="Arial"/>
          <w:b/>
          <w:bCs/>
          <w:color w:val="000000"/>
          <w:sz w:val="21"/>
          <w:szCs w:val="21"/>
        </w:rPr>
        <w:t>State Supplemental Assistance</w:t>
      </w:r>
      <w:r>
        <w:rPr>
          <w:rFonts w:ascii="Arial" w:eastAsia="Times New Roman" w:hAnsi="Arial" w:cs="Arial"/>
          <w:b/>
          <w:bCs/>
          <w:color w:val="000000"/>
          <w:sz w:val="21"/>
          <w:szCs w:val="21"/>
        </w:rPr>
        <w:t>, as one of the top four priorities for 2019</w:t>
      </w:r>
      <w:r w:rsidRPr="00D81876">
        <w:rPr>
          <w:rFonts w:ascii="Arial" w:eastAsia="Times New Roman" w:hAnsi="Arial" w:cs="Arial"/>
          <w:b/>
          <w:bCs/>
          <w:color w:val="000000"/>
          <w:sz w:val="21"/>
          <w:szCs w:val="21"/>
        </w:rPr>
        <w:t>: </w:t>
      </w:r>
      <w:r w:rsidRPr="00D81876">
        <w:rPr>
          <w:rFonts w:ascii="Arial" w:eastAsia="Times New Roman" w:hAnsi="Arial" w:cs="Arial"/>
          <w:color w:val="000000"/>
          <w:sz w:val="21"/>
          <w:szCs w:val="21"/>
        </w:rPr>
        <w:t>Formula funding is especially critical to students in rural Iowa due to transportation costs, economies of scale, unique needs of students, mandates and compliance, the need for quality AEA services, and the ability to attract and retain staff. The sustainability of a quality education in rural schools depends on the return of education as the state’s top priority with an investment of meaningful new resources to improve opportunities for students. </w:t>
      </w:r>
    </w:p>
    <w:sectPr w:rsidR="00651A15" w:rsidRPr="00B22E49" w:rsidSect="00347091">
      <w:headerReference w:type="default" r:id="rId23"/>
      <w:footerReference w:type="default" r:id="rId24"/>
      <w:pgSz w:w="12240" w:h="15840"/>
      <w:pgMar w:top="1843" w:right="1008" w:bottom="5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1F2" w:rsidRDefault="003741F2" w:rsidP="00636F64">
      <w:pPr>
        <w:spacing w:after="0" w:line="240" w:lineRule="auto"/>
      </w:pPr>
      <w:r>
        <w:separator/>
      </w:r>
    </w:p>
  </w:endnote>
  <w:endnote w:type="continuationSeparator" w:id="0">
    <w:p w:rsidR="003741F2" w:rsidRDefault="003741F2"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091" w:rsidRDefault="00347091">
    <w:pPr>
      <w:pStyle w:val="Footer"/>
    </w:pPr>
    <w:r>
      <w:rPr>
        <w:bCs/>
        <w:noProof/>
        <w:sz w:val="24"/>
        <w:szCs w:val="24"/>
      </w:rPr>
      <mc:AlternateContent>
        <mc:Choice Requires="wps">
          <w:drawing>
            <wp:anchor distT="0" distB="0" distL="114300" distR="114300" simplePos="0" relativeHeight="251665408" behindDoc="0" locked="0" layoutInCell="1" allowOverlap="1" wp14:anchorId="630A7991" wp14:editId="23E697FA">
              <wp:simplePos x="0" y="0"/>
              <wp:positionH relativeFrom="column">
                <wp:posOffset>3684270</wp:posOffset>
              </wp:positionH>
              <wp:positionV relativeFrom="paragraph">
                <wp:posOffset>-95250</wp:posOffset>
              </wp:positionV>
              <wp:extent cx="2720340" cy="461010"/>
              <wp:effectExtent l="0" t="0" r="3810" b="0"/>
              <wp:wrapNone/>
              <wp:docPr id="1" name="Text Box 1"/>
              <wp:cNvGraphicFramePr/>
              <a:graphic xmlns:a="http://schemas.openxmlformats.org/drawingml/2006/main">
                <a:graphicData uri="http://schemas.microsoft.com/office/word/2010/wordprocessingShape">
                  <wps:wsp>
                    <wps:cNvSpPr txBox="1"/>
                    <wps:spPr>
                      <a:xfrm>
                        <a:off x="0" y="0"/>
                        <a:ext cx="2720340" cy="461010"/>
                      </a:xfrm>
                      <a:prstGeom prst="rect">
                        <a:avLst/>
                      </a:prstGeom>
                      <a:solidFill>
                        <a:schemeClr val="lt1"/>
                      </a:solidFill>
                      <a:ln w="6350">
                        <a:noFill/>
                      </a:ln>
                    </wps:spPr>
                    <wps:txbx>
                      <w:txbxContent>
                        <w:p w:rsidR="00347091" w:rsidRPr="00F67D45" w:rsidRDefault="00347091" w:rsidP="00347091">
                          <w:pPr>
                            <w:rPr>
                              <w:sz w:val="18"/>
                            </w:rPr>
                          </w:pPr>
                          <w:r w:rsidRPr="00F67D45">
                            <w:rPr>
                              <w:sz w:val="18"/>
                            </w:rPr>
                            <w:t xml:space="preserve">Margaret </w:t>
                          </w:r>
                          <w:proofErr w:type="spellStart"/>
                          <w:r w:rsidRPr="00F67D45">
                            <w:rPr>
                              <w:sz w:val="18"/>
                            </w:rPr>
                            <w:t>Buckton</w:t>
                          </w:r>
                          <w:proofErr w:type="spellEnd"/>
                          <w:r w:rsidRPr="00F67D45">
                            <w:rPr>
                              <w:sz w:val="18"/>
                            </w:rPr>
                            <w:t xml:space="preserve">, RSAI Professional Advocate </w:t>
                          </w:r>
                          <w:hyperlink r:id="rId1" w:history="1">
                            <w:r w:rsidRPr="004D355F">
                              <w:rPr>
                                <w:rStyle w:val="Hyperlink"/>
                                <w:sz w:val="18"/>
                              </w:rPr>
                              <w:t>margaret@iowaschoolfinance.com</w:t>
                            </w:r>
                          </w:hyperlink>
                          <w:r>
                            <w:rPr>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0A7991" id="_x0000_t202" coordsize="21600,21600" o:spt="202" path="m,l,21600r21600,l21600,xe">
              <v:stroke joinstyle="miter"/>
              <v:path gradientshapeok="t" o:connecttype="rect"/>
            </v:shapetype>
            <v:shape id="Text Box 1" o:spid="_x0000_s1029" type="#_x0000_t202" style="position:absolute;margin-left:290.1pt;margin-top:-7.5pt;width:214.2pt;height:3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" fillcolor="white [3201]" stroked="f" strokeweight=".5pt">
              <v:textbox>
                <w:txbxContent>
                  <w:p w:rsidR="00347091" w:rsidRPr="00F67D45" w:rsidRDefault="00347091" w:rsidP="00347091">
                    <w:pPr>
                      <w:rPr>
                        <w:sz w:val="18"/>
                      </w:rPr>
                    </w:pPr>
                    <w:r w:rsidRPr="00F67D45">
                      <w:rPr>
                        <w:sz w:val="18"/>
                      </w:rPr>
                      <w:t xml:space="preserve">Margaret </w:t>
                    </w:r>
                    <w:proofErr w:type="spellStart"/>
                    <w:r w:rsidRPr="00F67D45">
                      <w:rPr>
                        <w:sz w:val="18"/>
                      </w:rPr>
                      <w:t>Buckton</w:t>
                    </w:r>
                    <w:proofErr w:type="spellEnd"/>
                    <w:r w:rsidRPr="00F67D45">
                      <w:rPr>
                        <w:sz w:val="18"/>
                      </w:rPr>
                      <w:t xml:space="preserve">, RSAI Professional Advocate </w:t>
                    </w:r>
                    <w:hyperlink r:id="rId2" w:history="1">
                      <w:r w:rsidRPr="004D355F">
                        <w:rPr>
                          <w:rStyle w:val="Hyperlink"/>
                          <w:sz w:val="18"/>
                        </w:rPr>
                        <w:t>margaret@iowaschoolfinance.com</w:t>
                      </w:r>
                    </w:hyperlink>
                    <w:r>
                      <w:rPr>
                        <w:sz w:val="18"/>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1F2" w:rsidRDefault="003741F2" w:rsidP="00636F64">
      <w:pPr>
        <w:spacing w:after="0" w:line="240" w:lineRule="auto"/>
      </w:pPr>
      <w:r>
        <w:separator/>
      </w:r>
    </w:p>
  </w:footnote>
  <w:footnote w:type="continuationSeparator" w:id="0">
    <w:p w:rsidR="003741F2" w:rsidRDefault="003741F2"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64" w:rsidRDefault="00636F64" w:rsidP="00636F64">
    <w:r>
      <w:rPr>
        <w:noProof/>
      </w:rPr>
      <w:drawing>
        <wp:anchor distT="0" distB="0" distL="114300" distR="114300" simplePos="0" relativeHeight="251659264" behindDoc="1" locked="0" layoutInCell="1" allowOverlap="1" wp14:anchorId="64232A9E" wp14:editId="3426E76F">
          <wp:simplePos x="0" y="0"/>
          <wp:positionH relativeFrom="column">
            <wp:posOffset>3145790</wp:posOffset>
          </wp:positionH>
          <wp:positionV relativeFrom="paragraph">
            <wp:posOffset>-410560</wp:posOffset>
          </wp:positionV>
          <wp:extent cx="1776095" cy="1054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38966B6" wp14:editId="593648B4">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8966B6" id="Rectangle 5" o:spid="_x0000_s1027"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2901382" wp14:editId="3C492E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E7E61C5" wp14:editId="3179BD73">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665BA6C" wp14:editId="27AD8C5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5BA6C" id="Rectangle 2" o:spid="_x0000_s1028"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rsidR="00636F64" w:rsidRDefault="00636F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A12EC"/>
    <w:multiLevelType w:val="hybridMultilevel"/>
    <w:tmpl w:val="26028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70C2768"/>
    <w:multiLevelType w:val="hybridMultilevel"/>
    <w:tmpl w:val="D25A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8D78BA"/>
    <w:multiLevelType w:val="hybridMultilevel"/>
    <w:tmpl w:val="AEC8DC4C"/>
    <w:lvl w:ilvl="0" w:tplc="E0AA9E9C">
      <w:start w:val="1"/>
      <w:numFmt w:val="bullet"/>
      <w:lvlText w:val=""/>
      <w:lvlJc w:val="left"/>
      <w:pPr>
        <w:tabs>
          <w:tab w:val="num" w:pos="720"/>
        </w:tabs>
        <w:ind w:left="720" w:hanging="360"/>
      </w:pPr>
      <w:rPr>
        <w:rFonts w:ascii="Wingdings" w:hAnsi="Wingdings" w:hint="default"/>
      </w:rPr>
    </w:lvl>
    <w:lvl w:ilvl="1" w:tplc="2FA2E300">
      <w:start w:val="1"/>
      <w:numFmt w:val="bullet"/>
      <w:lvlText w:val=""/>
      <w:lvlJc w:val="left"/>
      <w:pPr>
        <w:tabs>
          <w:tab w:val="num" w:pos="1440"/>
        </w:tabs>
        <w:ind w:left="1440" w:hanging="360"/>
      </w:pPr>
      <w:rPr>
        <w:rFonts w:ascii="Wingdings" w:hAnsi="Wingdings" w:hint="default"/>
      </w:rPr>
    </w:lvl>
    <w:lvl w:ilvl="2" w:tplc="FAF8B13A">
      <w:start w:val="1"/>
      <w:numFmt w:val="bullet"/>
      <w:lvlText w:val=""/>
      <w:lvlJc w:val="left"/>
      <w:pPr>
        <w:tabs>
          <w:tab w:val="num" w:pos="2160"/>
        </w:tabs>
        <w:ind w:left="2160" w:hanging="360"/>
      </w:pPr>
      <w:rPr>
        <w:rFonts w:ascii="Wingdings" w:hAnsi="Wingdings" w:hint="default"/>
      </w:rPr>
    </w:lvl>
    <w:lvl w:ilvl="3" w:tplc="81AAD4AA">
      <w:start w:val="1"/>
      <w:numFmt w:val="bullet"/>
      <w:lvlText w:val=""/>
      <w:lvlJc w:val="left"/>
      <w:pPr>
        <w:tabs>
          <w:tab w:val="num" w:pos="2880"/>
        </w:tabs>
        <w:ind w:left="2880" w:hanging="360"/>
      </w:pPr>
      <w:rPr>
        <w:rFonts w:ascii="Wingdings" w:hAnsi="Wingdings" w:hint="default"/>
      </w:rPr>
    </w:lvl>
    <w:lvl w:ilvl="4" w:tplc="083EB2C6" w:tentative="1">
      <w:start w:val="1"/>
      <w:numFmt w:val="bullet"/>
      <w:lvlText w:val=""/>
      <w:lvlJc w:val="left"/>
      <w:pPr>
        <w:tabs>
          <w:tab w:val="num" w:pos="3600"/>
        </w:tabs>
        <w:ind w:left="3600" w:hanging="360"/>
      </w:pPr>
      <w:rPr>
        <w:rFonts w:ascii="Wingdings" w:hAnsi="Wingdings" w:hint="default"/>
      </w:rPr>
    </w:lvl>
    <w:lvl w:ilvl="5" w:tplc="FCC0EA16" w:tentative="1">
      <w:start w:val="1"/>
      <w:numFmt w:val="bullet"/>
      <w:lvlText w:val=""/>
      <w:lvlJc w:val="left"/>
      <w:pPr>
        <w:tabs>
          <w:tab w:val="num" w:pos="4320"/>
        </w:tabs>
        <w:ind w:left="4320" w:hanging="360"/>
      </w:pPr>
      <w:rPr>
        <w:rFonts w:ascii="Wingdings" w:hAnsi="Wingdings" w:hint="default"/>
      </w:rPr>
    </w:lvl>
    <w:lvl w:ilvl="6" w:tplc="F69694A0" w:tentative="1">
      <w:start w:val="1"/>
      <w:numFmt w:val="bullet"/>
      <w:lvlText w:val=""/>
      <w:lvlJc w:val="left"/>
      <w:pPr>
        <w:tabs>
          <w:tab w:val="num" w:pos="5040"/>
        </w:tabs>
        <w:ind w:left="5040" w:hanging="360"/>
      </w:pPr>
      <w:rPr>
        <w:rFonts w:ascii="Wingdings" w:hAnsi="Wingdings" w:hint="default"/>
      </w:rPr>
    </w:lvl>
    <w:lvl w:ilvl="7" w:tplc="251273A0" w:tentative="1">
      <w:start w:val="1"/>
      <w:numFmt w:val="bullet"/>
      <w:lvlText w:val=""/>
      <w:lvlJc w:val="left"/>
      <w:pPr>
        <w:tabs>
          <w:tab w:val="num" w:pos="5760"/>
        </w:tabs>
        <w:ind w:left="5760" w:hanging="360"/>
      </w:pPr>
      <w:rPr>
        <w:rFonts w:ascii="Wingdings" w:hAnsi="Wingdings" w:hint="default"/>
      </w:rPr>
    </w:lvl>
    <w:lvl w:ilvl="8" w:tplc="25AE098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F3626A"/>
    <w:multiLevelType w:val="hybridMultilevel"/>
    <w:tmpl w:val="323461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1"/>
  </w:num>
  <w:num w:numId="4">
    <w:abstractNumId w:val="3"/>
  </w:num>
  <w:num w:numId="5">
    <w:abstractNumId w:val="2"/>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5ABD"/>
    <w:rsid w:val="0003753F"/>
    <w:rsid w:val="000425CA"/>
    <w:rsid w:val="000445D4"/>
    <w:rsid w:val="0005379B"/>
    <w:rsid w:val="00055926"/>
    <w:rsid w:val="00056991"/>
    <w:rsid w:val="0006023D"/>
    <w:rsid w:val="00061C17"/>
    <w:rsid w:val="0006224E"/>
    <w:rsid w:val="0008079F"/>
    <w:rsid w:val="00082E61"/>
    <w:rsid w:val="00084388"/>
    <w:rsid w:val="00096444"/>
    <w:rsid w:val="000A6FD3"/>
    <w:rsid w:val="000B3A71"/>
    <w:rsid w:val="000C1879"/>
    <w:rsid w:val="000C58C0"/>
    <w:rsid w:val="000C617F"/>
    <w:rsid w:val="000D48D2"/>
    <w:rsid w:val="000E2481"/>
    <w:rsid w:val="000F7331"/>
    <w:rsid w:val="001022AC"/>
    <w:rsid w:val="001026E8"/>
    <w:rsid w:val="00107444"/>
    <w:rsid w:val="00114832"/>
    <w:rsid w:val="00117E4D"/>
    <w:rsid w:val="00126079"/>
    <w:rsid w:val="00127DBD"/>
    <w:rsid w:val="00132CB8"/>
    <w:rsid w:val="001346A0"/>
    <w:rsid w:val="001357A4"/>
    <w:rsid w:val="00141C99"/>
    <w:rsid w:val="0014231C"/>
    <w:rsid w:val="00145BCC"/>
    <w:rsid w:val="00147FF0"/>
    <w:rsid w:val="001503AF"/>
    <w:rsid w:val="001644DF"/>
    <w:rsid w:val="0016712D"/>
    <w:rsid w:val="0017186B"/>
    <w:rsid w:val="00187146"/>
    <w:rsid w:val="001918F6"/>
    <w:rsid w:val="001B46E2"/>
    <w:rsid w:val="001D16B9"/>
    <w:rsid w:val="001D2879"/>
    <w:rsid w:val="001D3510"/>
    <w:rsid w:val="001D6A34"/>
    <w:rsid w:val="001E0A5C"/>
    <w:rsid w:val="001F4A3D"/>
    <w:rsid w:val="0020306B"/>
    <w:rsid w:val="00231104"/>
    <w:rsid w:val="00232298"/>
    <w:rsid w:val="0023343D"/>
    <w:rsid w:val="00256E48"/>
    <w:rsid w:val="00256EA4"/>
    <w:rsid w:val="00271073"/>
    <w:rsid w:val="002764DB"/>
    <w:rsid w:val="00282ADF"/>
    <w:rsid w:val="00290F1D"/>
    <w:rsid w:val="00295CD0"/>
    <w:rsid w:val="002A305A"/>
    <w:rsid w:val="002A5125"/>
    <w:rsid w:val="002C2EC7"/>
    <w:rsid w:val="002C55E6"/>
    <w:rsid w:val="002C7044"/>
    <w:rsid w:val="002D0F2B"/>
    <w:rsid w:val="002D2BD2"/>
    <w:rsid w:val="002D3D46"/>
    <w:rsid w:val="002D43B3"/>
    <w:rsid w:val="002E304C"/>
    <w:rsid w:val="0030077D"/>
    <w:rsid w:val="00301F15"/>
    <w:rsid w:val="003107B3"/>
    <w:rsid w:val="00311CE6"/>
    <w:rsid w:val="00316CFF"/>
    <w:rsid w:val="00322B0A"/>
    <w:rsid w:val="003420EB"/>
    <w:rsid w:val="0034576D"/>
    <w:rsid w:val="00347091"/>
    <w:rsid w:val="00361A1E"/>
    <w:rsid w:val="003640C6"/>
    <w:rsid w:val="0036770C"/>
    <w:rsid w:val="003741F2"/>
    <w:rsid w:val="00382EE6"/>
    <w:rsid w:val="00390B9F"/>
    <w:rsid w:val="003924BE"/>
    <w:rsid w:val="00394B76"/>
    <w:rsid w:val="003A32A9"/>
    <w:rsid w:val="003A35B2"/>
    <w:rsid w:val="003A5D3F"/>
    <w:rsid w:val="003B29EE"/>
    <w:rsid w:val="003B58BF"/>
    <w:rsid w:val="003C35FE"/>
    <w:rsid w:val="003C406C"/>
    <w:rsid w:val="003C71F2"/>
    <w:rsid w:val="003D4043"/>
    <w:rsid w:val="003E0459"/>
    <w:rsid w:val="003E2FCC"/>
    <w:rsid w:val="003E30D6"/>
    <w:rsid w:val="003E68B2"/>
    <w:rsid w:val="003F0098"/>
    <w:rsid w:val="003F20F0"/>
    <w:rsid w:val="003F3273"/>
    <w:rsid w:val="00416D91"/>
    <w:rsid w:val="004172BB"/>
    <w:rsid w:val="00420F80"/>
    <w:rsid w:val="004268C1"/>
    <w:rsid w:val="00435F1B"/>
    <w:rsid w:val="00482F24"/>
    <w:rsid w:val="0048456C"/>
    <w:rsid w:val="00496686"/>
    <w:rsid w:val="004A1675"/>
    <w:rsid w:val="004A5575"/>
    <w:rsid w:val="004A7A41"/>
    <w:rsid w:val="004B787E"/>
    <w:rsid w:val="004C1220"/>
    <w:rsid w:val="004C254D"/>
    <w:rsid w:val="004C558E"/>
    <w:rsid w:val="004C770E"/>
    <w:rsid w:val="004E3F90"/>
    <w:rsid w:val="004F0328"/>
    <w:rsid w:val="004F0E0F"/>
    <w:rsid w:val="004F2923"/>
    <w:rsid w:val="00500ACB"/>
    <w:rsid w:val="00506207"/>
    <w:rsid w:val="00511508"/>
    <w:rsid w:val="00513FBC"/>
    <w:rsid w:val="00527BA5"/>
    <w:rsid w:val="0053222E"/>
    <w:rsid w:val="00540BF8"/>
    <w:rsid w:val="00547F26"/>
    <w:rsid w:val="00552D8E"/>
    <w:rsid w:val="00554CF5"/>
    <w:rsid w:val="0056309F"/>
    <w:rsid w:val="005637F7"/>
    <w:rsid w:val="00585C8E"/>
    <w:rsid w:val="00587800"/>
    <w:rsid w:val="0059162A"/>
    <w:rsid w:val="00597130"/>
    <w:rsid w:val="005A069E"/>
    <w:rsid w:val="005A584A"/>
    <w:rsid w:val="005B6429"/>
    <w:rsid w:val="005B72BB"/>
    <w:rsid w:val="005C0800"/>
    <w:rsid w:val="005C5178"/>
    <w:rsid w:val="005C6EE0"/>
    <w:rsid w:val="005D1953"/>
    <w:rsid w:val="005D44AC"/>
    <w:rsid w:val="005E1478"/>
    <w:rsid w:val="005E4650"/>
    <w:rsid w:val="005E4EA2"/>
    <w:rsid w:val="005E6B19"/>
    <w:rsid w:val="00604E85"/>
    <w:rsid w:val="00614EF5"/>
    <w:rsid w:val="00615F2C"/>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82FE2"/>
    <w:rsid w:val="00683073"/>
    <w:rsid w:val="006875AB"/>
    <w:rsid w:val="0069100F"/>
    <w:rsid w:val="006A2326"/>
    <w:rsid w:val="006A6E66"/>
    <w:rsid w:val="006A7DD0"/>
    <w:rsid w:val="006C6201"/>
    <w:rsid w:val="006C6665"/>
    <w:rsid w:val="006C756F"/>
    <w:rsid w:val="006D63CE"/>
    <w:rsid w:val="007004E2"/>
    <w:rsid w:val="007126E9"/>
    <w:rsid w:val="007427E2"/>
    <w:rsid w:val="007535F1"/>
    <w:rsid w:val="0075465F"/>
    <w:rsid w:val="0075723A"/>
    <w:rsid w:val="00764D14"/>
    <w:rsid w:val="00772FAD"/>
    <w:rsid w:val="0077341D"/>
    <w:rsid w:val="0079462F"/>
    <w:rsid w:val="007A1844"/>
    <w:rsid w:val="007A544C"/>
    <w:rsid w:val="007A66E6"/>
    <w:rsid w:val="007B08CF"/>
    <w:rsid w:val="007B1B7E"/>
    <w:rsid w:val="007B4587"/>
    <w:rsid w:val="007B6D42"/>
    <w:rsid w:val="007C47EA"/>
    <w:rsid w:val="007D5DA7"/>
    <w:rsid w:val="007E25D9"/>
    <w:rsid w:val="007F2E42"/>
    <w:rsid w:val="007F43AF"/>
    <w:rsid w:val="007F50D7"/>
    <w:rsid w:val="00805C61"/>
    <w:rsid w:val="00807746"/>
    <w:rsid w:val="00814254"/>
    <w:rsid w:val="00815DCB"/>
    <w:rsid w:val="008225DB"/>
    <w:rsid w:val="008248A6"/>
    <w:rsid w:val="00831694"/>
    <w:rsid w:val="00843769"/>
    <w:rsid w:val="0084778B"/>
    <w:rsid w:val="00850C39"/>
    <w:rsid w:val="00855DF1"/>
    <w:rsid w:val="00857545"/>
    <w:rsid w:val="00861DAA"/>
    <w:rsid w:val="008627D7"/>
    <w:rsid w:val="00876B0A"/>
    <w:rsid w:val="00895D8F"/>
    <w:rsid w:val="008A2A31"/>
    <w:rsid w:val="008B4AA4"/>
    <w:rsid w:val="008C5DD2"/>
    <w:rsid w:val="008F3693"/>
    <w:rsid w:val="00900395"/>
    <w:rsid w:val="00912BE2"/>
    <w:rsid w:val="009314B2"/>
    <w:rsid w:val="009412DC"/>
    <w:rsid w:val="00946764"/>
    <w:rsid w:val="009470EE"/>
    <w:rsid w:val="00950492"/>
    <w:rsid w:val="009508DB"/>
    <w:rsid w:val="00951677"/>
    <w:rsid w:val="00953651"/>
    <w:rsid w:val="0097360F"/>
    <w:rsid w:val="0097794D"/>
    <w:rsid w:val="009806F4"/>
    <w:rsid w:val="0099425E"/>
    <w:rsid w:val="00994D7C"/>
    <w:rsid w:val="009973A0"/>
    <w:rsid w:val="009B059F"/>
    <w:rsid w:val="009B0931"/>
    <w:rsid w:val="009B1DAF"/>
    <w:rsid w:val="009C2B71"/>
    <w:rsid w:val="009C62AE"/>
    <w:rsid w:val="009D3B70"/>
    <w:rsid w:val="009D5A28"/>
    <w:rsid w:val="009D6711"/>
    <w:rsid w:val="009F209C"/>
    <w:rsid w:val="009F222C"/>
    <w:rsid w:val="009F7218"/>
    <w:rsid w:val="00A023B6"/>
    <w:rsid w:val="00A0277B"/>
    <w:rsid w:val="00A06E74"/>
    <w:rsid w:val="00A073C5"/>
    <w:rsid w:val="00A17D3B"/>
    <w:rsid w:val="00A233B8"/>
    <w:rsid w:val="00A24CB0"/>
    <w:rsid w:val="00A26874"/>
    <w:rsid w:val="00A26C53"/>
    <w:rsid w:val="00A33214"/>
    <w:rsid w:val="00A37FA4"/>
    <w:rsid w:val="00A449CE"/>
    <w:rsid w:val="00A45D41"/>
    <w:rsid w:val="00A5581E"/>
    <w:rsid w:val="00A630BC"/>
    <w:rsid w:val="00A64BD3"/>
    <w:rsid w:val="00A67AB0"/>
    <w:rsid w:val="00A7044E"/>
    <w:rsid w:val="00A73A8F"/>
    <w:rsid w:val="00A741FD"/>
    <w:rsid w:val="00A92EFF"/>
    <w:rsid w:val="00AB00C7"/>
    <w:rsid w:val="00AB3D72"/>
    <w:rsid w:val="00AB69A5"/>
    <w:rsid w:val="00AD5A52"/>
    <w:rsid w:val="00AD6787"/>
    <w:rsid w:val="00AE2330"/>
    <w:rsid w:val="00AE45F6"/>
    <w:rsid w:val="00AE489C"/>
    <w:rsid w:val="00AE6870"/>
    <w:rsid w:val="00AF53F6"/>
    <w:rsid w:val="00B12727"/>
    <w:rsid w:val="00B22E49"/>
    <w:rsid w:val="00B33B1B"/>
    <w:rsid w:val="00B41697"/>
    <w:rsid w:val="00B42148"/>
    <w:rsid w:val="00B52F96"/>
    <w:rsid w:val="00B57830"/>
    <w:rsid w:val="00B604F8"/>
    <w:rsid w:val="00B66A8B"/>
    <w:rsid w:val="00B7440E"/>
    <w:rsid w:val="00B74A45"/>
    <w:rsid w:val="00B77BA6"/>
    <w:rsid w:val="00B803E8"/>
    <w:rsid w:val="00B82969"/>
    <w:rsid w:val="00B91E19"/>
    <w:rsid w:val="00BA345E"/>
    <w:rsid w:val="00BA3619"/>
    <w:rsid w:val="00BD2B4A"/>
    <w:rsid w:val="00BD5DC3"/>
    <w:rsid w:val="00BE5E78"/>
    <w:rsid w:val="00BF5E23"/>
    <w:rsid w:val="00C01A78"/>
    <w:rsid w:val="00C0630A"/>
    <w:rsid w:val="00C06B5E"/>
    <w:rsid w:val="00C07744"/>
    <w:rsid w:val="00C10325"/>
    <w:rsid w:val="00C17B49"/>
    <w:rsid w:val="00C4474C"/>
    <w:rsid w:val="00C46112"/>
    <w:rsid w:val="00C51228"/>
    <w:rsid w:val="00C62335"/>
    <w:rsid w:val="00C62F4A"/>
    <w:rsid w:val="00C63F9C"/>
    <w:rsid w:val="00C7113C"/>
    <w:rsid w:val="00C81B1E"/>
    <w:rsid w:val="00C927E7"/>
    <w:rsid w:val="00C96790"/>
    <w:rsid w:val="00CA68C8"/>
    <w:rsid w:val="00CC2CBF"/>
    <w:rsid w:val="00CE04E6"/>
    <w:rsid w:val="00CE7951"/>
    <w:rsid w:val="00D13D42"/>
    <w:rsid w:val="00D20D41"/>
    <w:rsid w:val="00D23F70"/>
    <w:rsid w:val="00D34B7D"/>
    <w:rsid w:val="00D375F8"/>
    <w:rsid w:val="00D43093"/>
    <w:rsid w:val="00D46008"/>
    <w:rsid w:val="00D47AA9"/>
    <w:rsid w:val="00D558AC"/>
    <w:rsid w:val="00D61C18"/>
    <w:rsid w:val="00D67DBB"/>
    <w:rsid w:val="00D77EC5"/>
    <w:rsid w:val="00D84846"/>
    <w:rsid w:val="00D87045"/>
    <w:rsid w:val="00D9379A"/>
    <w:rsid w:val="00D95E15"/>
    <w:rsid w:val="00DA1EAA"/>
    <w:rsid w:val="00DD08EC"/>
    <w:rsid w:val="00DD335F"/>
    <w:rsid w:val="00DE4D9F"/>
    <w:rsid w:val="00DE6EE9"/>
    <w:rsid w:val="00DF0DD8"/>
    <w:rsid w:val="00DF1495"/>
    <w:rsid w:val="00E00707"/>
    <w:rsid w:val="00E0448B"/>
    <w:rsid w:val="00E07A45"/>
    <w:rsid w:val="00E1125C"/>
    <w:rsid w:val="00E20424"/>
    <w:rsid w:val="00E310A1"/>
    <w:rsid w:val="00E40FED"/>
    <w:rsid w:val="00E67A71"/>
    <w:rsid w:val="00E73C01"/>
    <w:rsid w:val="00E7538C"/>
    <w:rsid w:val="00E92AE9"/>
    <w:rsid w:val="00E94834"/>
    <w:rsid w:val="00E964DB"/>
    <w:rsid w:val="00EA41DB"/>
    <w:rsid w:val="00EB2D7D"/>
    <w:rsid w:val="00EB56C7"/>
    <w:rsid w:val="00EE6C8B"/>
    <w:rsid w:val="00EF01F0"/>
    <w:rsid w:val="00EF63E1"/>
    <w:rsid w:val="00EF6752"/>
    <w:rsid w:val="00F00114"/>
    <w:rsid w:val="00F07FD1"/>
    <w:rsid w:val="00F11C6E"/>
    <w:rsid w:val="00F15488"/>
    <w:rsid w:val="00F15692"/>
    <w:rsid w:val="00F157C0"/>
    <w:rsid w:val="00F1656A"/>
    <w:rsid w:val="00F21178"/>
    <w:rsid w:val="00F2485B"/>
    <w:rsid w:val="00F31C7A"/>
    <w:rsid w:val="00F323FC"/>
    <w:rsid w:val="00F36E9A"/>
    <w:rsid w:val="00F4265E"/>
    <w:rsid w:val="00F45500"/>
    <w:rsid w:val="00F52E42"/>
    <w:rsid w:val="00F5754A"/>
    <w:rsid w:val="00F61C63"/>
    <w:rsid w:val="00F75588"/>
    <w:rsid w:val="00F77EF9"/>
    <w:rsid w:val="00F921BF"/>
    <w:rsid w:val="00FA0785"/>
    <w:rsid w:val="00FA089F"/>
    <w:rsid w:val="00FA4C7F"/>
    <w:rsid w:val="00FA4DC6"/>
    <w:rsid w:val="00FA6915"/>
    <w:rsid w:val="00FB283B"/>
    <w:rsid w:val="00FC55E8"/>
    <w:rsid w:val="00FC6B8D"/>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36FE1"/>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aia.org/legislative.html" TargetMode="External"/><Relationship Id="rId13" Type="http://schemas.openxmlformats.org/officeDocument/2006/relationships/hyperlink" Target="https://fred.stlouisfed.org/" TargetMode="External"/><Relationship Id="rId18" Type="http://schemas.openxmlformats.org/officeDocument/2006/relationships/hyperlink" Target="https://www.census.gov/data/tables/2016/econ/school-finances/secondary-education-finance.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yperlink" Target="https://www.legis.iowa.gov/docs/publications/FTNO/966760.pdf" TargetMode="External"/><Relationship Id="rId17" Type="http://schemas.openxmlformats.org/officeDocument/2006/relationships/hyperlink" Target="https://educateiowa.gov/education-statistic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s.iowa.gov/docs/publications/FN/918711.pdf" TargetMode="External"/><Relationship Id="rId20" Type="http://schemas.openxmlformats.org/officeDocument/2006/relationships/hyperlink" Target="https://www.census.gov/data/tables/2016/econ/school-finances/secondary-education-financ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docs/publications/FTNO/966760.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deptofnumbers.com/income/iowa/" TargetMode="External"/><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www.census.gov/data/tables/2016/econ/school-finances/secondary-education-finance.html" TargetMode="External"/><Relationship Id="rId4" Type="http://schemas.openxmlformats.org/officeDocument/2006/relationships/settings" Target="settings.xml"/><Relationship Id="rId9" Type="http://schemas.openxmlformats.org/officeDocument/2006/relationships/hyperlink" Target="http://www.rsaia.org/legislative.html" TargetMode="External"/><Relationship Id="rId14" Type="http://schemas.openxmlformats.org/officeDocument/2006/relationships/hyperlink" Target="https://fred.stlouisfed.org/" TargetMode="External"/><Relationship Id="rId22" Type="http://schemas.openxmlformats.org/officeDocument/2006/relationships/hyperlink" Target="https://www.nasbo.org/mainsite/reports-data/state-expenditure-repor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margaret@iowaschoolfinance.com" TargetMode="External"/><Relationship Id="rId1" Type="http://schemas.openxmlformats.org/officeDocument/2006/relationships/hyperlink" Target="mailto:margaret@iowaschoolfinanc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1000"/>
              <a:t>Elementary and Secondary Expenditures </a:t>
            </a:r>
          </a:p>
          <a:p>
            <a:pPr>
              <a:defRPr sz="800"/>
            </a:pPr>
            <a:r>
              <a:rPr lang="en-US" sz="1000"/>
              <a:t>as a Percent of Total Expenditures</a:t>
            </a:r>
          </a:p>
          <a:p>
            <a:pPr>
              <a:defRPr sz="800"/>
            </a:pPr>
            <a:r>
              <a:rPr lang="en-US" sz="1000"/>
              <a:t>Plains</a:t>
            </a:r>
            <a:r>
              <a:rPr lang="en-US" sz="1000" baseline="0"/>
              <a:t> States and USA Average</a:t>
            </a:r>
            <a:endParaRPr lang="en-US" sz="1000"/>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6580927384076991E-2"/>
          <c:y val="0.2437037037037037"/>
          <c:w val="0.90286351706036749"/>
          <c:h val="0.5429935841353164"/>
        </c:manualLayout>
      </c:layout>
      <c:barChart>
        <c:barDir val="col"/>
        <c:grouping val="clustered"/>
        <c:varyColors val="0"/>
        <c:ser>
          <c:idx val="0"/>
          <c:order val="0"/>
          <c:tx>
            <c:strRef>
              <c:f>Sheet1!$B$2</c:f>
              <c:strCache>
                <c:ptCount val="1"/>
                <c:pt idx="0">
                  <c:v>FY16</c:v>
                </c:pt>
              </c:strCache>
            </c:strRef>
          </c:tx>
          <c:spPr>
            <a:pattFill prst="wdUpDiag">
              <a:fgClr>
                <a:schemeClr val="accent1">
                  <a:lumMod val="50000"/>
                </a:schemeClr>
              </a:fgClr>
              <a:bgClr>
                <a:schemeClr val="bg1"/>
              </a:bgClr>
            </a:pattFill>
            <a:ln>
              <a:noFill/>
            </a:ln>
            <a:effectLst/>
          </c:spPr>
          <c:invertIfNegative val="0"/>
          <c:cat>
            <c:strRef>
              <c:f>Sheet1!$A$3:$A$10</c:f>
              <c:strCache>
                <c:ptCount val="8"/>
                <c:pt idx="0">
                  <c:v>NE</c:v>
                </c:pt>
                <c:pt idx="1">
                  <c:v>SD</c:v>
                </c:pt>
                <c:pt idx="2">
                  <c:v>IA</c:v>
                </c:pt>
                <c:pt idx="3">
                  <c:v>ND</c:v>
                </c:pt>
                <c:pt idx="4">
                  <c:v>USA AVG</c:v>
                </c:pt>
                <c:pt idx="5">
                  <c:v>MO</c:v>
                </c:pt>
                <c:pt idx="6">
                  <c:v>MN</c:v>
                </c:pt>
                <c:pt idx="7">
                  <c:v>KS</c:v>
                </c:pt>
              </c:strCache>
            </c:strRef>
          </c:cat>
          <c:val>
            <c:numRef>
              <c:f>Sheet1!$B$3:$B$10</c:f>
              <c:numCache>
                <c:formatCode>General</c:formatCode>
                <c:ptCount val="8"/>
                <c:pt idx="0">
                  <c:v>14.2</c:v>
                </c:pt>
                <c:pt idx="1">
                  <c:v>14.4</c:v>
                </c:pt>
                <c:pt idx="2">
                  <c:v>15.7</c:v>
                </c:pt>
                <c:pt idx="3">
                  <c:v>15.4</c:v>
                </c:pt>
                <c:pt idx="4">
                  <c:v>19.8</c:v>
                </c:pt>
                <c:pt idx="5">
                  <c:v>23.1</c:v>
                </c:pt>
                <c:pt idx="6">
                  <c:v>24.7</c:v>
                </c:pt>
                <c:pt idx="7">
                  <c:v>29.4</c:v>
                </c:pt>
              </c:numCache>
            </c:numRef>
          </c:val>
          <c:extLst>
            <c:ext xmlns:c16="http://schemas.microsoft.com/office/drawing/2014/chart" uri="{C3380CC4-5D6E-409C-BE32-E72D297353CC}">
              <c16:uniqueId val="{00000000-0657-40F8-9859-A232CFFA91F0}"/>
            </c:ext>
          </c:extLst>
        </c:ser>
        <c:ser>
          <c:idx val="1"/>
          <c:order val="1"/>
          <c:tx>
            <c:strRef>
              <c:f>Sheet1!$C$2</c:f>
              <c:strCache>
                <c:ptCount val="1"/>
                <c:pt idx="0">
                  <c:v>FY17</c:v>
                </c:pt>
              </c:strCache>
            </c:strRef>
          </c:tx>
          <c:spPr>
            <a:pattFill prst="lgCheck">
              <a:fgClr>
                <a:srgbClr val="FF0000"/>
              </a:fgClr>
              <a:bgClr>
                <a:schemeClr val="bg1"/>
              </a:bgClr>
            </a:pattFill>
            <a:ln>
              <a:noFill/>
            </a:ln>
            <a:effectLst/>
          </c:spPr>
          <c:invertIfNegative val="0"/>
          <c:cat>
            <c:strRef>
              <c:f>Sheet1!$A$3:$A$10</c:f>
              <c:strCache>
                <c:ptCount val="8"/>
                <c:pt idx="0">
                  <c:v>NE</c:v>
                </c:pt>
                <c:pt idx="1">
                  <c:v>SD</c:v>
                </c:pt>
                <c:pt idx="2">
                  <c:v>IA</c:v>
                </c:pt>
                <c:pt idx="3">
                  <c:v>ND</c:v>
                </c:pt>
                <c:pt idx="4">
                  <c:v>USA AVG</c:v>
                </c:pt>
                <c:pt idx="5">
                  <c:v>MO</c:v>
                </c:pt>
                <c:pt idx="6">
                  <c:v>MN</c:v>
                </c:pt>
                <c:pt idx="7">
                  <c:v>KS</c:v>
                </c:pt>
              </c:strCache>
            </c:strRef>
          </c:cat>
          <c:val>
            <c:numRef>
              <c:f>Sheet1!$C$3:$C$10</c:f>
              <c:numCache>
                <c:formatCode>General</c:formatCode>
                <c:ptCount val="8"/>
                <c:pt idx="0">
                  <c:v>13.9</c:v>
                </c:pt>
                <c:pt idx="1">
                  <c:v>16.5</c:v>
                </c:pt>
                <c:pt idx="2">
                  <c:v>16.600000000000001</c:v>
                </c:pt>
                <c:pt idx="3">
                  <c:v>17.5</c:v>
                </c:pt>
                <c:pt idx="4">
                  <c:v>19.600000000000001</c:v>
                </c:pt>
                <c:pt idx="5">
                  <c:v>22.8</c:v>
                </c:pt>
                <c:pt idx="6">
                  <c:v>26</c:v>
                </c:pt>
                <c:pt idx="7">
                  <c:v>29.5</c:v>
                </c:pt>
              </c:numCache>
            </c:numRef>
          </c:val>
          <c:extLst>
            <c:ext xmlns:c16="http://schemas.microsoft.com/office/drawing/2014/chart" uri="{C3380CC4-5D6E-409C-BE32-E72D297353CC}">
              <c16:uniqueId val="{00000001-0657-40F8-9859-A232CFFA91F0}"/>
            </c:ext>
          </c:extLst>
        </c:ser>
        <c:ser>
          <c:idx val="2"/>
          <c:order val="2"/>
          <c:tx>
            <c:strRef>
              <c:f>Sheet1!$D$2</c:f>
              <c:strCache>
                <c:ptCount val="1"/>
                <c:pt idx="0">
                  <c:v>FY18</c:v>
                </c:pt>
              </c:strCache>
            </c:strRef>
          </c:tx>
          <c:spPr>
            <a:pattFill prst="pct90">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Sheet1!$A$3:$A$10</c:f>
              <c:strCache>
                <c:ptCount val="8"/>
                <c:pt idx="0">
                  <c:v>NE</c:v>
                </c:pt>
                <c:pt idx="1">
                  <c:v>SD</c:v>
                </c:pt>
                <c:pt idx="2">
                  <c:v>IA</c:v>
                </c:pt>
                <c:pt idx="3">
                  <c:v>ND</c:v>
                </c:pt>
                <c:pt idx="4">
                  <c:v>USA AVG</c:v>
                </c:pt>
                <c:pt idx="5">
                  <c:v>MO</c:v>
                </c:pt>
                <c:pt idx="6">
                  <c:v>MN</c:v>
                </c:pt>
                <c:pt idx="7">
                  <c:v>KS</c:v>
                </c:pt>
              </c:strCache>
            </c:strRef>
          </c:cat>
          <c:val>
            <c:numRef>
              <c:f>Sheet1!$D$3:$D$10</c:f>
              <c:numCache>
                <c:formatCode>General</c:formatCode>
                <c:ptCount val="8"/>
                <c:pt idx="0">
                  <c:v>13.9</c:v>
                </c:pt>
                <c:pt idx="1">
                  <c:v>16.399999999999999</c:v>
                </c:pt>
                <c:pt idx="2">
                  <c:v>16.899999999999999</c:v>
                </c:pt>
                <c:pt idx="3">
                  <c:v>19.100000000000001</c:v>
                </c:pt>
                <c:pt idx="4">
                  <c:v>19.600000000000001</c:v>
                </c:pt>
                <c:pt idx="5">
                  <c:v>22.5</c:v>
                </c:pt>
                <c:pt idx="6">
                  <c:v>24.6</c:v>
                </c:pt>
                <c:pt idx="7">
                  <c:v>30.4</c:v>
                </c:pt>
              </c:numCache>
            </c:numRef>
          </c:val>
          <c:extLst>
            <c:ext xmlns:c16="http://schemas.microsoft.com/office/drawing/2014/chart" uri="{C3380CC4-5D6E-409C-BE32-E72D297353CC}">
              <c16:uniqueId val="{00000002-0657-40F8-9859-A232CFFA91F0}"/>
            </c:ext>
          </c:extLst>
        </c:ser>
        <c:dLbls>
          <c:showLegendKey val="0"/>
          <c:showVal val="0"/>
          <c:showCatName val="0"/>
          <c:showSerName val="0"/>
          <c:showPercent val="0"/>
          <c:showBubbleSize val="0"/>
        </c:dLbls>
        <c:gapWidth val="219"/>
        <c:overlap val="-27"/>
        <c:axId val="352753272"/>
        <c:axId val="352756552"/>
      </c:barChart>
      <c:catAx>
        <c:axId val="352753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756552"/>
        <c:crosses val="autoZero"/>
        <c:auto val="1"/>
        <c:lblAlgn val="ctr"/>
        <c:lblOffset val="100"/>
        <c:noMultiLvlLbl val="0"/>
      </c:catAx>
      <c:valAx>
        <c:axId val="352756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753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DE7B9-6F54-4222-8D34-C205A4A8B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3</cp:revision>
  <cp:lastPrinted>2016-10-31T21:24:00Z</cp:lastPrinted>
  <dcterms:created xsi:type="dcterms:W3CDTF">2019-01-22T22:19:00Z</dcterms:created>
  <dcterms:modified xsi:type="dcterms:W3CDTF">2019-01-22T22:23:00Z</dcterms:modified>
</cp:coreProperties>
</file>