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6F977" w14:textId="77777777" w:rsidR="003D7523" w:rsidRPr="003D7523" w:rsidRDefault="003D7523" w:rsidP="003D7523">
      <w:r w:rsidRPr="003D7523">
        <w:t>The General Assembly reconvened this week, with the House meeting on Tuesday November 19 and the Senate on Wednesday November 20. The Republicans in both chambers held offsite caucus elections ahead of their respective sessions. Here are the results:</w:t>
      </w:r>
    </w:p>
    <w:p w14:paraId="226D014E" w14:textId="77777777" w:rsidR="003D7523" w:rsidRPr="003D7523" w:rsidRDefault="003D7523" w:rsidP="003D7523">
      <w:r w:rsidRPr="003D7523">
        <w:rPr>
          <w:u w:val="single"/>
        </w:rPr>
        <w:t>House Republican Leadership Elections:</w:t>
      </w:r>
    </w:p>
    <w:p w14:paraId="4AD7D438" w14:textId="77777777" w:rsidR="003D7523" w:rsidRPr="003D7523" w:rsidRDefault="003D7523" w:rsidP="003D7523">
      <w:pPr>
        <w:numPr>
          <w:ilvl w:val="0"/>
          <w:numId w:val="1"/>
        </w:numPr>
      </w:pPr>
      <w:r w:rsidRPr="003D7523">
        <w:rPr>
          <w:b/>
          <w:bCs/>
        </w:rPr>
        <w:t>Speaker:</w:t>
      </w:r>
      <w:r w:rsidRPr="003D7523">
        <w:t> Rep. Destin Hall (R-Caldwell)</w:t>
      </w:r>
    </w:p>
    <w:p w14:paraId="54F53BBD" w14:textId="77777777" w:rsidR="003D7523" w:rsidRPr="003D7523" w:rsidRDefault="003D7523" w:rsidP="003D7523">
      <w:pPr>
        <w:numPr>
          <w:ilvl w:val="0"/>
          <w:numId w:val="1"/>
        </w:numPr>
      </w:pPr>
      <w:r w:rsidRPr="003D7523">
        <w:rPr>
          <w:b/>
          <w:bCs/>
        </w:rPr>
        <w:t xml:space="preserve">Speaker Pro </w:t>
      </w:r>
      <w:proofErr w:type="spellStart"/>
      <w:r w:rsidRPr="003D7523">
        <w:rPr>
          <w:b/>
          <w:bCs/>
        </w:rPr>
        <w:t>Tem</w:t>
      </w:r>
      <w:proofErr w:type="spellEnd"/>
      <w:r w:rsidRPr="003D7523">
        <w:rPr>
          <w:b/>
          <w:bCs/>
        </w:rPr>
        <w:t>:</w:t>
      </w:r>
      <w:r w:rsidRPr="003D7523">
        <w:t> Rep. Mitchell Setzer (R-Catawba)</w:t>
      </w:r>
    </w:p>
    <w:p w14:paraId="5F01A1DE" w14:textId="77777777" w:rsidR="003D7523" w:rsidRPr="003D7523" w:rsidRDefault="003D7523" w:rsidP="003D7523">
      <w:pPr>
        <w:numPr>
          <w:ilvl w:val="0"/>
          <w:numId w:val="1"/>
        </w:numPr>
      </w:pPr>
      <w:r w:rsidRPr="003D7523">
        <w:rPr>
          <w:b/>
          <w:bCs/>
        </w:rPr>
        <w:t>Majority Leader:</w:t>
      </w:r>
      <w:r w:rsidRPr="003D7523">
        <w:t> Rep. Brendan Jones (R-Columbus)</w:t>
      </w:r>
    </w:p>
    <w:p w14:paraId="5CABA42D" w14:textId="77777777" w:rsidR="003D7523" w:rsidRPr="003D7523" w:rsidRDefault="003D7523" w:rsidP="003D7523">
      <w:pPr>
        <w:numPr>
          <w:ilvl w:val="0"/>
          <w:numId w:val="1"/>
        </w:numPr>
      </w:pPr>
      <w:r w:rsidRPr="003D7523">
        <w:rPr>
          <w:b/>
          <w:bCs/>
        </w:rPr>
        <w:t>Deputy Majority Leader:</w:t>
      </w:r>
      <w:r w:rsidRPr="003D7523">
        <w:t> Rep. Steve Tyson (R-Craven)</w:t>
      </w:r>
    </w:p>
    <w:p w14:paraId="3FC64D15" w14:textId="77777777" w:rsidR="003D7523" w:rsidRPr="003D7523" w:rsidRDefault="003D7523" w:rsidP="003D7523">
      <w:pPr>
        <w:numPr>
          <w:ilvl w:val="0"/>
          <w:numId w:val="1"/>
        </w:numPr>
      </w:pPr>
      <w:r w:rsidRPr="003D7523">
        <w:rPr>
          <w:b/>
          <w:bCs/>
        </w:rPr>
        <w:t>Rules Chair:</w:t>
      </w:r>
      <w:r w:rsidRPr="003D7523">
        <w:t> Rep. John Bell (R-Wayne)</w:t>
      </w:r>
    </w:p>
    <w:p w14:paraId="3587E656" w14:textId="77777777" w:rsidR="003D7523" w:rsidRPr="003D7523" w:rsidRDefault="003D7523" w:rsidP="003D7523">
      <w:pPr>
        <w:numPr>
          <w:ilvl w:val="0"/>
          <w:numId w:val="1"/>
        </w:numPr>
      </w:pPr>
      <w:r w:rsidRPr="003D7523">
        <w:rPr>
          <w:b/>
          <w:bCs/>
        </w:rPr>
        <w:t>Whip:</w:t>
      </w:r>
      <w:r w:rsidRPr="003D7523">
        <w:t> Rep. Karl Gillespie R-(Cherokee)</w:t>
      </w:r>
    </w:p>
    <w:p w14:paraId="399C4490" w14:textId="77777777" w:rsidR="003D7523" w:rsidRPr="003D7523" w:rsidRDefault="003D7523" w:rsidP="003D7523">
      <w:pPr>
        <w:numPr>
          <w:ilvl w:val="0"/>
          <w:numId w:val="1"/>
        </w:numPr>
      </w:pPr>
      <w:r w:rsidRPr="003D7523">
        <w:rPr>
          <w:b/>
          <w:bCs/>
        </w:rPr>
        <w:t>Conference Co-Chairs:</w:t>
      </w:r>
      <w:r w:rsidRPr="003D7523">
        <w:t> Rep. Matthew Winslow (R-Franklin) and Rep. Jeff Zenger (R-Forsyth)</w:t>
      </w:r>
    </w:p>
    <w:p w14:paraId="3AFF218D" w14:textId="77777777" w:rsidR="003D7523" w:rsidRPr="003D7523" w:rsidRDefault="003D7523" w:rsidP="003D7523">
      <w:pPr>
        <w:numPr>
          <w:ilvl w:val="0"/>
          <w:numId w:val="1"/>
        </w:numPr>
      </w:pPr>
      <w:r w:rsidRPr="003D7523">
        <w:rPr>
          <w:b/>
          <w:bCs/>
        </w:rPr>
        <w:t>Joint Caucus Liaison:</w:t>
      </w:r>
      <w:r w:rsidRPr="003D7523">
        <w:t> Rep. Harry Warren (R-Rowan)</w:t>
      </w:r>
    </w:p>
    <w:p w14:paraId="68B704DF" w14:textId="77777777" w:rsidR="003D7523" w:rsidRPr="003D7523" w:rsidRDefault="003D7523" w:rsidP="003D7523">
      <w:pPr>
        <w:numPr>
          <w:ilvl w:val="0"/>
          <w:numId w:val="1"/>
        </w:numPr>
      </w:pPr>
      <w:r w:rsidRPr="003D7523">
        <w:rPr>
          <w:b/>
          <w:bCs/>
        </w:rPr>
        <w:t>Freshman Leader:</w:t>
      </w:r>
      <w:r w:rsidRPr="003D7523">
        <w:t> Rep. Heather Rhyne (R-Lincoln) </w:t>
      </w:r>
    </w:p>
    <w:p w14:paraId="5042D95E" w14:textId="77777777" w:rsidR="003D7523" w:rsidRPr="003D7523" w:rsidRDefault="003D7523" w:rsidP="003D7523">
      <w:pPr>
        <w:numPr>
          <w:ilvl w:val="0"/>
          <w:numId w:val="1"/>
        </w:numPr>
      </w:pPr>
      <w:r w:rsidRPr="003D7523">
        <w:rPr>
          <w:b/>
          <w:bCs/>
        </w:rPr>
        <w:t>Freshman Whip:</w:t>
      </w:r>
      <w:r w:rsidRPr="003D7523">
        <w:t xml:space="preserve"> Rep. Blair </w:t>
      </w:r>
      <w:proofErr w:type="spellStart"/>
      <w:r w:rsidRPr="003D7523">
        <w:t>Eddins</w:t>
      </w:r>
      <w:proofErr w:type="spellEnd"/>
      <w:r w:rsidRPr="003D7523">
        <w:t xml:space="preserve"> (R-Wilkes)</w:t>
      </w:r>
    </w:p>
    <w:p w14:paraId="2F99DCBE" w14:textId="77777777" w:rsidR="003D7523" w:rsidRPr="003D7523" w:rsidRDefault="003D7523" w:rsidP="003D7523">
      <w:r w:rsidRPr="003D7523">
        <w:rPr>
          <w:u w:val="single"/>
        </w:rPr>
        <w:t>Senate Republican Leadership Elections:</w:t>
      </w:r>
    </w:p>
    <w:p w14:paraId="3CB62696" w14:textId="77777777" w:rsidR="003D7523" w:rsidRPr="003D7523" w:rsidRDefault="003D7523" w:rsidP="003D7523">
      <w:pPr>
        <w:numPr>
          <w:ilvl w:val="0"/>
          <w:numId w:val="2"/>
        </w:numPr>
      </w:pPr>
      <w:r w:rsidRPr="003D7523">
        <w:rPr>
          <w:b/>
          <w:bCs/>
        </w:rPr>
        <w:t xml:space="preserve">Senate Pro </w:t>
      </w:r>
      <w:proofErr w:type="spellStart"/>
      <w:r w:rsidRPr="003D7523">
        <w:rPr>
          <w:b/>
          <w:bCs/>
        </w:rPr>
        <w:t>Tem</w:t>
      </w:r>
      <w:proofErr w:type="spellEnd"/>
      <w:r w:rsidRPr="003D7523">
        <w:rPr>
          <w:b/>
          <w:bCs/>
        </w:rPr>
        <w:t>:</w:t>
      </w:r>
      <w:r w:rsidRPr="003D7523">
        <w:t> Sen. Phil Berger (R-Rockingham)</w:t>
      </w:r>
    </w:p>
    <w:p w14:paraId="32F31FDC" w14:textId="77777777" w:rsidR="003D7523" w:rsidRPr="003D7523" w:rsidRDefault="003D7523" w:rsidP="003D7523">
      <w:pPr>
        <w:numPr>
          <w:ilvl w:val="0"/>
          <w:numId w:val="2"/>
        </w:numPr>
      </w:pPr>
      <w:r w:rsidRPr="003D7523">
        <w:rPr>
          <w:b/>
          <w:bCs/>
        </w:rPr>
        <w:t xml:space="preserve">Deputy Pro </w:t>
      </w:r>
      <w:proofErr w:type="spellStart"/>
      <w:r w:rsidRPr="003D7523">
        <w:rPr>
          <w:b/>
          <w:bCs/>
        </w:rPr>
        <w:t>Tem</w:t>
      </w:r>
      <w:proofErr w:type="spellEnd"/>
      <w:r w:rsidRPr="003D7523">
        <w:rPr>
          <w:b/>
          <w:bCs/>
        </w:rPr>
        <w:t>:</w:t>
      </w:r>
      <w:r w:rsidRPr="003D7523">
        <w:t> Sen. Ralph Hise (R-Mitchell)</w:t>
      </w:r>
    </w:p>
    <w:p w14:paraId="341A0CD2" w14:textId="77777777" w:rsidR="003D7523" w:rsidRPr="003D7523" w:rsidRDefault="003D7523" w:rsidP="003D7523">
      <w:pPr>
        <w:numPr>
          <w:ilvl w:val="0"/>
          <w:numId w:val="2"/>
        </w:numPr>
      </w:pPr>
      <w:r w:rsidRPr="003D7523">
        <w:rPr>
          <w:b/>
          <w:bCs/>
        </w:rPr>
        <w:t>Majority Leader:</w:t>
      </w:r>
      <w:r w:rsidRPr="003D7523">
        <w:t> Sen. Paul Newton (R-Cabarrus)</w:t>
      </w:r>
    </w:p>
    <w:p w14:paraId="666A9C38" w14:textId="77777777" w:rsidR="003D7523" w:rsidRPr="003D7523" w:rsidRDefault="003D7523" w:rsidP="003D7523">
      <w:pPr>
        <w:numPr>
          <w:ilvl w:val="0"/>
          <w:numId w:val="2"/>
        </w:numPr>
      </w:pPr>
      <w:r w:rsidRPr="003D7523">
        <w:rPr>
          <w:b/>
          <w:bCs/>
        </w:rPr>
        <w:t>Whips:</w:t>
      </w:r>
      <w:r w:rsidRPr="003D7523">
        <w:t> Sen. Amy Galey (R-Alamance) and Sen. Todd Johnson (R-Union)</w:t>
      </w:r>
    </w:p>
    <w:p w14:paraId="22F7F892" w14:textId="77777777" w:rsidR="003D7523" w:rsidRPr="003D7523" w:rsidRDefault="003D7523" w:rsidP="003D7523">
      <w:pPr>
        <w:numPr>
          <w:ilvl w:val="0"/>
          <w:numId w:val="2"/>
        </w:numPr>
      </w:pPr>
      <w:r w:rsidRPr="003D7523">
        <w:rPr>
          <w:b/>
          <w:bCs/>
        </w:rPr>
        <w:t>Joint Caucus Liaison:</w:t>
      </w:r>
      <w:r w:rsidRPr="003D7523">
        <w:t> Sen. Carl Ford (R-Rowan)</w:t>
      </w:r>
    </w:p>
    <w:p w14:paraId="1E07C5EB" w14:textId="77777777" w:rsidR="003D7523" w:rsidRPr="003D7523" w:rsidRDefault="003D7523" w:rsidP="003D7523">
      <w:r w:rsidRPr="003D7523">
        <w:t xml:space="preserve">Other than the House Democrats selecting Rep. Robert </w:t>
      </w:r>
      <w:proofErr w:type="spellStart"/>
      <w:r w:rsidRPr="003D7523">
        <w:t>Reives</w:t>
      </w:r>
      <w:proofErr w:type="spellEnd"/>
      <w:r w:rsidRPr="003D7523">
        <w:t xml:space="preserve"> (D-Chatham) and Rep. Cynthia Ball (D-Wake) as Minority Leader and Deputy Minority Leader respectfully, the House and Senate Democrat Caucuses have not yet selected their full slate of leaders for next session. </w:t>
      </w:r>
    </w:p>
    <w:p w14:paraId="2B4089C9" w14:textId="77777777" w:rsidR="003D7523" w:rsidRPr="003D7523" w:rsidRDefault="003D7523" w:rsidP="003D7523">
      <w:r w:rsidRPr="003D7523">
        <w:t>The legislature considered the override of the Governor’s veto of </w:t>
      </w:r>
      <w:r w:rsidRPr="003D7523">
        <w:rPr>
          <w:u w:val="single"/>
        </w:rPr>
        <w:t>House Bill 10, Require ICE Cooperation &amp; Budget Adjustments</w:t>
      </w:r>
      <w:r w:rsidRPr="003D7523">
        <w:t xml:space="preserve"> this week. On Tuesday, the House successfully voted </w:t>
      </w:r>
      <w:r w:rsidRPr="003D7523">
        <w:lastRenderedPageBreak/>
        <w:t>to override the Governor’s veto of House Bill 10 with the support of three (3) Democrats. The bill:</w:t>
      </w:r>
    </w:p>
    <w:p w14:paraId="65F2AD73" w14:textId="77777777" w:rsidR="003D7523" w:rsidRPr="003D7523" w:rsidRDefault="003D7523" w:rsidP="003D7523">
      <w:pPr>
        <w:numPr>
          <w:ilvl w:val="2"/>
          <w:numId w:val="3"/>
        </w:numPr>
      </w:pPr>
      <w:r w:rsidRPr="003D7523">
        <w:t>mandates North Carolina Sheriffs to cooperate with ICE.</w:t>
      </w:r>
    </w:p>
    <w:p w14:paraId="29F4EEEB" w14:textId="77777777" w:rsidR="003D7523" w:rsidRPr="003D7523" w:rsidRDefault="003D7523" w:rsidP="003D7523">
      <w:pPr>
        <w:numPr>
          <w:ilvl w:val="2"/>
          <w:numId w:val="3"/>
        </w:numPr>
      </w:pPr>
      <w:r w:rsidRPr="003D7523">
        <w:t>fully funds the Opportunity Scholarship waitlist.</w:t>
      </w:r>
    </w:p>
    <w:p w14:paraId="347E748E" w14:textId="77777777" w:rsidR="003D7523" w:rsidRPr="003D7523" w:rsidRDefault="003D7523" w:rsidP="003D7523">
      <w:pPr>
        <w:numPr>
          <w:ilvl w:val="2"/>
          <w:numId w:val="3"/>
        </w:numPr>
      </w:pPr>
      <w:r w:rsidRPr="003D7523">
        <w:t>implements various related budget adjustments.</w:t>
      </w:r>
    </w:p>
    <w:p w14:paraId="724A347D" w14:textId="77777777" w:rsidR="003D7523" w:rsidRPr="003D7523" w:rsidRDefault="003D7523" w:rsidP="003D7523">
      <w:r w:rsidRPr="003D7523">
        <w:t>On Wednesday, the Senate followed with a party-line vote to override the veto, officially enacting the bill into law. </w:t>
      </w:r>
    </w:p>
    <w:p w14:paraId="23CC9580" w14:textId="77777777" w:rsidR="003D7523" w:rsidRPr="003D7523" w:rsidRDefault="003D7523" w:rsidP="003D7523">
      <w:r w:rsidRPr="003D7523">
        <w:rPr>
          <w:u w:val="single"/>
        </w:rPr>
        <w:t>Senate Bill 382, Disaster Relief-3/Budget/Various Law Changes</w:t>
      </w:r>
      <w:r w:rsidRPr="003D7523">
        <w:t> received the most discussion this week.</w:t>
      </w:r>
      <w:r w:rsidRPr="003D7523">
        <w:rPr>
          <w:b/>
          <w:bCs/>
        </w:rPr>
        <w:t> </w:t>
      </w:r>
      <w:r w:rsidRPr="003D7523">
        <w:t>On Tuesday afternoon, legislators unveiled a Conference Report for Senate Bill 382, which is a comprehensive piece of legislation addressing disaster relief for Western North Carolina, technical budget adjustments, modifications to appointment powers and other powers of the executive branch, and various other technical and substantive law changes. The bill was considered and voted on in the House Tuesday night, and in the Senate Wednesday afternoon. Following extensive debate where Democrats questioned the process and lack of notice, as well as questioned the merits of the provisions of the bill, both chambers passed the bill along party lines. The bill now heads to the Governor’s desk, where a veto is anticipated. The Senate is expected to meet to attempt to override the veto during the first week of December, with the House likely to follow suit in mid-December.</w:t>
      </w:r>
    </w:p>
    <w:p w14:paraId="7A900D2A" w14:textId="77777777" w:rsidR="003D7523" w:rsidRPr="003D7523" w:rsidRDefault="003D7523" w:rsidP="003D7523">
      <w:r w:rsidRPr="003D7523">
        <w:t>Here is a summary of noteworthy provisions in Senate Bill 382</w:t>
      </w:r>
      <w:r w:rsidRPr="003D7523">
        <w:rPr>
          <w:b/>
          <w:bCs/>
        </w:rPr>
        <w:t>:</w:t>
      </w:r>
    </w:p>
    <w:p w14:paraId="0355F0E8" w14:textId="77777777" w:rsidR="003D7523" w:rsidRPr="003D7523" w:rsidRDefault="003D7523" w:rsidP="003D7523">
      <w:r w:rsidRPr="003D7523">
        <w:t>·         Transfers $227 million from the Savings Reserve to the Helene Fund for hurricane relief efforts.</w:t>
      </w:r>
    </w:p>
    <w:p w14:paraId="1307B64C" w14:textId="77777777" w:rsidR="003D7523" w:rsidRPr="003D7523" w:rsidRDefault="003D7523" w:rsidP="003D7523">
      <w:r w:rsidRPr="003D7523">
        <w:t>·         Allocates $33.75 million to continue the compensation grants portion of the Child Care Stabilization Grants, providing a third quarter of reduced funding.</w:t>
      </w:r>
    </w:p>
    <w:p w14:paraId="29E93610" w14:textId="77777777" w:rsidR="003D7523" w:rsidRPr="003D7523" w:rsidRDefault="003D7523" w:rsidP="003D7523">
      <w:r w:rsidRPr="003D7523">
        <w:t>·         Transfer the State Board of Elections from an independent agency under the Governor to the Department of the State Auditor. While the State Auditor will oversee the Board’s budget, they will not direct its management functions. The Auditor will assume responsibility for appointing members of the State Board and county board chairs. Key implementation milestones include:</w:t>
      </w:r>
    </w:p>
    <w:p w14:paraId="72CBBCFB" w14:textId="77777777" w:rsidR="003D7523" w:rsidRPr="003D7523" w:rsidRDefault="003D7523" w:rsidP="003D7523">
      <w:pPr>
        <w:numPr>
          <w:ilvl w:val="1"/>
          <w:numId w:val="4"/>
        </w:numPr>
      </w:pPr>
      <w:r w:rsidRPr="003D7523">
        <w:t>New State Board appointed in May 2025</w:t>
      </w:r>
      <w:r w:rsidRPr="003D7523">
        <w:rPr>
          <w:b/>
          <w:bCs/>
        </w:rPr>
        <w:t>.</w:t>
      </w:r>
    </w:p>
    <w:p w14:paraId="0D1DD9BB" w14:textId="77777777" w:rsidR="003D7523" w:rsidRPr="003D7523" w:rsidRDefault="003D7523" w:rsidP="003D7523">
      <w:pPr>
        <w:numPr>
          <w:ilvl w:val="1"/>
          <w:numId w:val="4"/>
        </w:numPr>
      </w:pPr>
      <w:r w:rsidRPr="003D7523">
        <w:t>New county boards and chairs appointed in June 2025.</w:t>
      </w:r>
    </w:p>
    <w:p w14:paraId="4D3687AA" w14:textId="77777777" w:rsidR="003D7523" w:rsidRPr="003D7523" w:rsidRDefault="003D7523" w:rsidP="003D7523">
      <w:pPr>
        <w:numPr>
          <w:ilvl w:val="1"/>
          <w:numId w:val="4"/>
        </w:numPr>
      </w:pPr>
      <w:r w:rsidRPr="003D7523">
        <w:lastRenderedPageBreak/>
        <w:t>Budget oversight transferred to the Auditor starting with the 2025-26 fiscal year</w:t>
      </w:r>
      <w:r w:rsidRPr="003D7523">
        <w:rPr>
          <w:b/>
          <w:bCs/>
        </w:rPr>
        <w:t>.</w:t>
      </w:r>
    </w:p>
    <w:p w14:paraId="3FFF6F75" w14:textId="77777777" w:rsidR="003D7523" w:rsidRPr="003D7523" w:rsidRDefault="003D7523" w:rsidP="003D7523">
      <w:r w:rsidRPr="003D7523">
        <w:t>·         Modifies the Governor’s appointment process and clarifies the Senate’s authority of advice and consent regarding appointments</w:t>
      </w:r>
    </w:p>
    <w:p w14:paraId="4563A828" w14:textId="77777777" w:rsidR="003D7523" w:rsidRPr="003D7523" w:rsidRDefault="003D7523" w:rsidP="003D7523">
      <w:r w:rsidRPr="003D7523">
        <w:t>·         Requires the Governor to fill Supreme Court and Court of Appeals vacancies from a list of three recommendations provided by the political party of the vacating judge or justice at the time of their election.</w:t>
      </w:r>
    </w:p>
    <w:p w14:paraId="1B36D968" w14:textId="77777777" w:rsidR="003D7523" w:rsidRPr="003D7523" w:rsidRDefault="003D7523" w:rsidP="003D7523">
      <w:r w:rsidRPr="003D7523">
        <w:t>·         Removes the Attorney General's authority to intervene in matters before the NC Utilities Commission</w:t>
      </w:r>
      <w:r w:rsidRPr="003D7523">
        <w:rPr>
          <w:b/>
          <w:bCs/>
        </w:rPr>
        <w:t> </w:t>
      </w:r>
      <w:r w:rsidRPr="003D7523">
        <w:t>and clarifies that the Judicial Department and Council of State agencies are not required to seek approval from the Attorney General or the Governor to retain private counsel.</w:t>
      </w:r>
    </w:p>
    <w:p w14:paraId="223F1A37" w14:textId="77777777" w:rsidR="003D7523" w:rsidRPr="003D7523" w:rsidRDefault="003D7523" w:rsidP="003D7523">
      <w:r w:rsidRPr="003D7523">
        <w:t>·         Establishes the State Highway Patrol (SHP) as an independent, cabinet-level department, and transfers the State Capital Police and the License and Theft Bureau within the Division of Motor Vehicles to this new department. ALE is </w:t>
      </w:r>
      <w:r w:rsidRPr="003D7523">
        <w:rPr>
          <w:u w:val="single"/>
        </w:rPr>
        <w:t>not </w:t>
      </w:r>
      <w:r w:rsidRPr="003D7523">
        <w:t>transferred to this new agency. </w:t>
      </w:r>
    </w:p>
    <w:p w14:paraId="69DD62A1" w14:textId="77777777" w:rsidR="003D7523" w:rsidRPr="003D7523" w:rsidRDefault="003D7523" w:rsidP="003D7523">
      <w:pPr>
        <w:numPr>
          <w:ilvl w:val="0"/>
          <w:numId w:val="5"/>
        </w:numPr>
      </w:pPr>
      <w:r w:rsidRPr="003D7523">
        <w:t>Eliminates one Governor-appointed seat on the NC Utilities Commission and assigns this appointment to the State Treasurer; and requires the Chair of the Utilities Commission to be elected by a vote of the Commission members (was, designated by the Governor)</w:t>
      </w:r>
    </w:p>
    <w:p w14:paraId="6D1DB299" w14:textId="77777777" w:rsidR="003D7523" w:rsidRPr="003D7523" w:rsidRDefault="003D7523" w:rsidP="003D7523">
      <w:r w:rsidRPr="003D7523">
        <w:t>The legislature adjourned on Wednesday and will reconvene on Monday December 2. </w:t>
      </w:r>
    </w:p>
    <w:p w14:paraId="275977F1" w14:textId="77777777" w:rsidR="003D7523" w:rsidRPr="003D7523" w:rsidRDefault="003D7523" w:rsidP="003D7523">
      <w:r w:rsidRPr="003D7523">
        <w:t> </w:t>
      </w:r>
    </w:p>
    <w:p w14:paraId="2E5B22A8" w14:textId="77777777" w:rsidR="003D7523" w:rsidRPr="003D7523" w:rsidRDefault="003D7523" w:rsidP="003D7523">
      <w:r w:rsidRPr="003D7523">
        <w:t> </w:t>
      </w:r>
    </w:p>
    <w:tbl>
      <w:tblPr>
        <w:tblW w:w="5000" w:type="pct"/>
        <w:tblCellMar>
          <w:left w:w="0" w:type="dxa"/>
          <w:right w:w="0" w:type="dxa"/>
        </w:tblCellMar>
        <w:tblLook w:val="04A0" w:firstRow="1" w:lastRow="0" w:firstColumn="1" w:lastColumn="0" w:noHBand="0" w:noVBand="1"/>
      </w:tblPr>
      <w:tblGrid>
        <w:gridCol w:w="9360"/>
      </w:tblGrid>
      <w:tr w:rsidR="003D7523" w:rsidRPr="003D7523" w14:paraId="1071B6CA" w14:textId="77777777" w:rsidTr="003D7523">
        <w:tc>
          <w:tcPr>
            <w:tcW w:w="0" w:type="auto"/>
            <w:hideMark/>
          </w:tcPr>
          <w:tbl>
            <w:tblPr>
              <w:tblW w:w="0" w:type="auto"/>
              <w:tblCellMar>
                <w:left w:w="0" w:type="dxa"/>
                <w:right w:w="0" w:type="dxa"/>
              </w:tblCellMar>
              <w:tblLook w:val="04A0" w:firstRow="1" w:lastRow="0" w:firstColumn="1" w:lastColumn="0" w:noHBand="0" w:noVBand="1"/>
            </w:tblPr>
            <w:tblGrid>
              <w:gridCol w:w="3960"/>
            </w:tblGrid>
            <w:tr w:rsidR="003D7523" w:rsidRPr="003D7523" w14:paraId="5CE7C699" w14:textId="77777777">
              <w:tc>
                <w:tcPr>
                  <w:tcW w:w="0" w:type="auto"/>
                  <w:hideMark/>
                </w:tcPr>
                <w:tbl>
                  <w:tblPr>
                    <w:tblW w:w="0" w:type="auto"/>
                    <w:tblCellMar>
                      <w:left w:w="0" w:type="dxa"/>
                      <w:right w:w="0" w:type="dxa"/>
                    </w:tblCellMar>
                    <w:tblLook w:val="04A0" w:firstRow="1" w:lastRow="0" w:firstColumn="1" w:lastColumn="0" w:noHBand="0" w:noVBand="1"/>
                  </w:tblPr>
                  <w:tblGrid>
                    <w:gridCol w:w="3750"/>
                  </w:tblGrid>
                  <w:tr w:rsidR="003D7523" w:rsidRPr="003D7523" w14:paraId="267C145A" w14:textId="77777777">
                    <w:tc>
                      <w:tcPr>
                        <w:tcW w:w="0" w:type="auto"/>
                        <w:hideMark/>
                      </w:tcPr>
                      <w:p w14:paraId="794D5328" w14:textId="77777777" w:rsidR="003D7523" w:rsidRPr="003D7523" w:rsidRDefault="003D7523" w:rsidP="003D7523">
                        <w:r w:rsidRPr="003D7523">
                          <w:rPr>
                            <w:b/>
                            <w:bCs/>
                          </w:rPr>
                          <w:t>David P. Ferrell</w:t>
                        </w:r>
                        <w:r w:rsidRPr="003D7523">
                          <w:rPr>
                            <w:rFonts w:ascii="Arial" w:hAnsi="Arial" w:cs="Arial"/>
                            <w:b/>
                            <w:bCs/>
                          </w:rPr>
                          <w:t>​​​​</w:t>
                        </w:r>
                      </w:p>
                    </w:tc>
                  </w:tr>
                  <w:tr w:rsidR="003D7523" w:rsidRPr="003D7523" w14:paraId="141984D5" w14:textId="77777777">
                    <w:tc>
                      <w:tcPr>
                        <w:tcW w:w="0" w:type="auto"/>
                        <w:hideMark/>
                      </w:tcPr>
                      <w:tbl>
                        <w:tblPr>
                          <w:tblW w:w="0" w:type="auto"/>
                          <w:tblCellMar>
                            <w:left w:w="0" w:type="dxa"/>
                            <w:right w:w="0" w:type="dxa"/>
                          </w:tblCellMar>
                          <w:tblLook w:val="04A0" w:firstRow="1" w:lastRow="0" w:firstColumn="1" w:lastColumn="0" w:noHBand="0" w:noVBand="1"/>
                        </w:tblPr>
                        <w:tblGrid>
                          <w:gridCol w:w="1268"/>
                          <w:gridCol w:w="163"/>
                          <w:gridCol w:w="2319"/>
                        </w:tblGrid>
                        <w:tr w:rsidR="003D7523" w:rsidRPr="003D7523" w14:paraId="35E6EF48" w14:textId="77777777">
                          <w:tc>
                            <w:tcPr>
                              <w:tcW w:w="0" w:type="auto"/>
                              <w:hideMark/>
                            </w:tcPr>
                            <w:p w14:paraId="01258D0D" w14:textId="77777777" w:rsidR="003D7523" w:rsidRPr="003D7523" w:rsidRDefault="003D7523" w:rsidP="003D7523">
                              <w:r w:rsidRPr="003D7523">
                                <w:t>Shareholder</w:t>
                              </w:r>
                            </w:p>
                          </w:tc>
                          <w:tc>
                            <w:tcPr>
                              <w:tcW w:w="0" w:type="auto"/>
                              <w:hideMark/>
                            </w:tcPr>
                            <w:p w14:paraId="18A0E2B9" w14:textId="77777777" w:rsidR="003D7523" w:rsidRPr="003D7523" w:rsidRDefault="003D7523" w:rsidP="003D7523">
                              <w:r w:rsidRPr="003D7523">
                                <w:t> | </w:t>
                              </w:r>
                            </w:p>
                          </w:tc>
                          <w:tc>
                            <w:tcPr>
                              <w:tcW w:w="0" w:type="auto"/>
                              <w:hideMark/>
                            </w:tcPr>
                            <w:p w14:paraId="6F26931F" w14:textId="77777777" w:rsidR="003D7523" w:rsidRPr="003D7523" w:rsidRDefault="003D7523" w:rsidP="003D7523">
                              <w:r w:rsidRPr="003D7523">
                                <w:t>Government Solutions</w:t>
                              </w:r>
                            </w:p>
                          </w:tc>
                        </w:tr>
                      </w:tbl>
                      <w:p w14:paraId="7776654F" w14:textId="77777777" w:rsidR="003D7523" w:rsidRPr="003D7523" w:rsidRDefault="003D7523" w:rsidP="003D7523"/>
                    </w:tc>
                  </w:tr>
                  <w:tr w:rsidR="003D7523" w:rsidRPr="003D7523" w14:paraId="266DB2B3" w14:textId="77777777">
                    <w:tc>
                      <w:tcPr>
                        <w:tcW w:w="0" w:type="auto"/>
                        <w:hideMark/>
                      </w:tcPr>
                      <w:tbl>
                        <w:tblPr>
                          <w:tblW w:w="0" w:type="auto"/>
                          <w:tblCellMar>
                            <w:left w:w="0" w:type="dxa"/>
                            <w:right w:w="0" w:type="dxa"/>
                          </w:tblCellMar>
                          <w:tblLook w:val="04A0" w:firstRow="1" w:lastRow="0" w:firstColumn="1" w:lastColumn="0" w:noHBand="0" w:noVBand="1"/>
                        </w:tblPr>
                        <w:tblGrid>
                          <w:gridCol w:w="1800"/>
                          <w:gridCol w:w="6"/>
                        </w:tblGrid>
                        <w:tr w:rsidR="003D7523" w:rsidRPr="003D7523" w14:paraId="7D0582CC" w14:textId="77777777">
                          <w:tc>
                            <w:tcPr>
                              <w:tcW w:w="0" w:type="auto"/>
                              <w:hideMark/>
                            </w:tcPr>
                            <w:p w14:paraId="32099FE5" w14:textId="77777777" w:rsidR="003D7523" w:rsidRPr="003D7523" w:rsidRDefault="003D7523" w:rsidP="003D7523">
                              <w:r w:rsidRPr="003D7523">
                                <w:t>P: (919) 573</w:t>
                              </w:r>
                              <w:r w:rsidRPr="003D7523">
                                <w:noBreakHyphen/>
                                <w:t>7421</w:t>
                              </w:r>
                            </w:p>
                          </w:tc>
                          <w:tc>
                            <w:tcPr>
                              <w:tcW w:w="0" w:type="auto"/>
                              <w:hideMark/>
                            </w:tcPr>
                            <w:p w14:paraId="3647D6BB" w14:textId="77777777" w:rsidR="003D7523" w:rsidRPr="003D7523" w:rsidRDefault="003D7523" w:rsidP="003D7523"/>
                          </w:tc>
                        </w:tr>
                      </w:tbl>
                      <w:p w14:paraId="5777B528" w14:textId="77777777" w:rsidR="003D7523" w:rsidRPr="003D7523" w:rsidRDefault="003D7523" w:rsidP="003D7523"/>
                    </w:tc>
                  </w:tr>
                  <w:tr w:rsidR="003D7523" w:rsidRPr="003D7523" w14:paraId="1C4018FB" w14:textId="77777777">
                    <w:tc>
                      <w:tcPr>
                        <w:tcW w:w="0" w:type="auto"/>
                        <w:hideMark/>
                      </w:tcPr>
                      <w:tbl>
                        <w:tblPr>
                          <w:tblW w:w="0" w:type="auto"/>
                          <w:tblCellMar>
                            <w:left w:w="0" w:type="dxa"/>
                            <w:right w:w="0" w:type="dxa"/>
                          </w:tblCellMar>
                          <w:tblLook w:val="04A0" w:firstRow="1" w:lastRow="0" w:firstColumn="1" w:lastColumn="0" w:noHBand="0" w:noVBand="1"/>
                        </w:tblPr>
                        <w:tblGrid>
                          <w:gridCol w:w="3203"/>
                        </w:tblGrid>
                        <w:tr w:rsidR="003D7523" w:rsidRPr="003D7523" w14:paraId="4DF5EA82" w14:textId="77777777">
                          <w:tc>
                            <w:tcPr>
                              <w:tcW w:w="0" w:type="auto"/>
                              <w:hideMark/>
                            </w:tcPr>
                            <w:p w14:paraId="596D3778" w14:textId="77777777" w:rsidR="003D7523" w:rsidRPr="003D7523" w:rsidRDefault="003D7523" w:rsidP="003D7523">
                              <w:hyperlink r:id="rId5" w:tgtFrame="_blank" w:tooltip="mailto:DFerrell@maynardnexsen.com" w:history="1">
                                <w:r w:rsidRPr="003D7523">
                                  <w:rPr>
                                    <w:rStyle w:val="Hyperlink"/>
                                  </w:rPr>
                                  <w:t>DFerrell@maynardnexsen.com</w:t>
                                </w:r>
                              </w:hyperlink>
                            </w:p>
                          </w:tc>
                        </w:tr>
                      </w:tbl>
                      <w:p w14:paraId="6E3256FD" w14:textId="77777777" w:rsidR="003D7523" w:rsidRPr="003D7523" w:rsidRDefault="003D7523" w:rsidP="003D7523"/>
                    </w:tc>
                  </w:tr>
                </w:tbl>
                <w:p w14:paraId="620B0C67" w14:textId="77777777" w:rsidR="003D7523" w:rsidRPr="003D7523" w:rsidRDefault="003D7523" w:rsidP="003D7523"/>
              </w:tc>
            </w:tr>
            <w:tr w:rsidR="003D7523" w:rsidRPr="003D7523" w14:paraId="135B190B" w14:textId="77777777">
              <w:tc>
                <w:tcPr>
                  <w:tcW w:w="0" w:type="auto"/>
                  <w:hideMark/>
                </w:tcPr>
                <w:p w14:paraId="42BACD19" w14:textId="77777777" w:rsidR="003D7523" w:rsidRPr="003D7523" w:rsidRDefault="003D7523" w:rsidP="003D7523"/>
              </w:tc>
            </w:tr>
            <w:tr w:rsidR="003D7523" w:rsidRPr="003D7523" w14:paraId="7DCEB2D1" w14:textId="77777777">
              <w:tc>
                <w:tcPr>
                  <w:tcW w:w="0" w:type="auto"/>
                  <w:tcMar>
                    <w:top w:w="165"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3103"/>
                  </w:tblGrid>
                  <w:tr w:rsidR="003D7523" w:rsidRPr="003D7523" w14:paraId="2BC626C9" w14:textId="77777777">
                    <w:tc>
                      <w:tcPr>
                        <w:tcW w:w="0" w:type="auto"/>
                        <w:hideMark/>
                      </w:tcPr>
                      <w:p w14:paraId="28DC701F" w14:textId="77777777" w:rsidR="003D7523" w:rsidRPr="003D7523" w:rsidRDefault="003D7523" w:rsidP="003D7523">
                        <w:r w:rsidRPr="003D7523">
                          <w:t>4141 </w:t>
                        </w:r>
                        <w:proofErr w:type="spellStart"/>
                        <w:r w:rsidRPr="003D7523">
                          <w:t>Parklake</w:t>
                        </w:r>
                        <w:proofErr w:type="spellEnd"/>
                        <w:r w:rsidRPr="003D7523">
                          <w:t> Avenue </w:t>
                        </w:r>
                        <w:r w:rsidRPr="003D7523">
                          <w:br/>
                          <w:t>Suite 200</w:t>
                        </w:r>
                      </w:p>
                    </w:tc>
                  </w:tr>
                  <w:tr w:rsidR="003D7523" w:rsidRPr="003D7523" w14:paraId="232EB038" w14:textId="77777777">
                    <w:tc>
                      <w:tcPr>
                        <w:tcW w:w="0" w:type="auto"/>
                        <w:hideMark/>
                      </w:tcPr>
                      <w:tbl>
                        <w:tblPr>
                          <w:tblW w:w="0" w:type="auto"/>
                          <w:tblCellMar>
                            <w:left w:w="0" w:type="dxa"/>
                            <w:right w:w="0" w:type="dxa"/>
                          </w:tblCellMar>
                          <w:tblLook w:val="04A0" w:firstRow="1" w:lastRow="0" w:firstColumn="1" w:lastColumn="0" w:noHBand="0" w:noVBand="1"/>
                        </w:tblPr>
                        <w:tblGrid>
                          <w:gridCol w:w="770"/>
                          <w:gridCol w:w="118"/>
                          <w:gridCol w:w="1524"/>
                          <w:gridCol w:w="49"/>
                          <w:gridCol w:w="642"/>
                        </w:tblGrid>
                        <w:tr w:rsidR="003D7523" w:rsidRPr="003D7523" w14:paraId="4AF570A4" w14:textId="77777777">
                          <w:tc>
                            <w:tcPr>
                              <w:tcW w:w="0" w:type="auto"/>
                              <w:hideMark/>
                            </w:tcPr>
                            <w:p w14:paraId="6BCAB878" w14:textId="77777777" w:rsidR="003D7523" w:rsidRPr="003D7523" w:rsidRDefault="003D7523" w:rsidP="003D7523">
                              <w:r w:rsidRPr="003D7523">
                                <w:t>Raleigh</w:t>
                              </w:r>
                            </w:p>
                          </w:tc>
                          <w:tc>
                            <w:tcPr>
                              <w:tcW w:w="0" w:type="auto"/>
                              <w:hideMark/>
                            </w:tcPr>
                            <w:p w14:paraId="5B13D06C" w14:textId="77777777" w:rsidR="003D7523" w:rsidRPr="003D7523" w:rsidRDefault="003D7523" w:rsidP="003D7523">
                              <w:r w:rsidRPr="003D7523">
                                <w:t>, </w:t>
                              </w:r>
                            </w:p>
                          </w:tc>
                          <w:tc>
                            <w:tcPr>
                              <w:tcW w:w="0" w:type="auto"/>
                              <w:hideMark/>
                            </w:tcPr>
                            <w:p w14:paraId="222FB09A" w14:textId="77777777" w:rsidR="003D7523" w:rsidRPr="003D7523" w:rsidRDefault="003D7523" w:rsidP="003D7523">
                              <w:r w:rsidRPr="003D7523">
                                <w:t>North Carolina</w:t>
                              </w:r>
                            </w:p>
                          </w:tc>
                          <w:tc>
                            <w:tcPr>
                              <w:tcW w:w="0" w:type="auto"/>
                              <w:hideMark/>
                            </w:tcPr>
                            <w:p w14:paraId="1A96D6F8" w14:textId="77777777" w:rsidR="003D7523" w:rsidRPr="003D7523" w:rsidRDefault="003D7523" w:rsidP="003D7523">
                              <w:r w:rsidRPr="003D7523">
                                <w:t> </w:t>
                              </w:r>
                            </w:p>
                          </w:tc>
                          <w:tc>
                            <w:tcPr>
                              <w:tcW w:w="0" w:type="auto"/>
                              <w:hideMark/>
                            </w:tcPr>
                            <w:p w14:paraId="27C1A576" w14:textId="77777777" w:rsidR="003D7523" w:rsidRPr="003D7523" w:rsidRDefault="003D7523" w:rsidP="003D7523">
                              <w:r w:rsidRPr="003D7523">
                                <w:t>27612</w:t>
                              </w:r>
                            </w:p>
                          </w:tc>
                        </w:tr>
                      </w:tbl>
                      <w:p w14:paraId="44EF1613" w14:textId="77777777" w:rsidR="003D7523" w:rsidRPr="003D7523" w:rsidRDefault="003D7523" w:rsidP="003D7523"/>
                    </w:tc>
                  </w:tr>
                </w:tbl>
                <w:p w14:paraId="512B1B9A" w14:textId="77777777" w:rsidR="003D7523" w:rsidRPr="003D7523" w:rsidRDefault="003D7523" w:rsidP="003D7523"/>
              </w:tc>
            </w:tr>
            <w:tr w:rsidR="003D7523" w:rsidRPr="003D7523" w14:paraId="3AE9284F" w14:textId="77777777">
              <w:tc>
                <w:tcPr>
                  <w:tcW w:w="0" w:type="auto"/>
                  <w:tcMar>
                    <w:top w:w="195" w:type="dxa"/>
                    <w:left w:w="0" w:type="dxa"/>
                    <w:bottom w:w="0" w:type="dxa"/>
                    <w:right w:w="0" w:type="dxa"/>
                  </w:tcMar>
                  <w:hideMark/>
                </w:tcPr>
                <w:p w14:paraId="7DAEEDE3" w14:textId="63AB94D0" w:rsidR="003D7523" w:rsidRPr="003D7523" w:rsidRDefault="003D7523" w:rsidP="003D7523">
                  <w:r w:rsidRPr="003D7523">
                    <w:lastRenderedPageBreak/>
                    <w:drawing>
                      <wp:inline distT="0" distB="0" distL="0" distR="0" wp14:anchorId="3E7448BB" wp14:editId="46CDE3DE">
                        <wp:extent cx="2514600" cy="838200"/>
                        <wp:effectExtent l="0" t="0" r="0" b="0"/>
                        <wp:docPr id="1370966281" name="Picture 2" descr="Image">
                          <a:hlinkClick xmlns:a="http://schemas.openxmlformats.org/drawingml/2006/main" r:id="rId6" tgtFrame="_blank" tooltip="https://www.maynardnexsen.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838200"/>
                                </a:xfrm>
                                <a:prstGeom prst="rect">
                                  <a:avLst/>
                                </a:prstGeom>
                                <a:noFill/>
                                <a:ln>
                                  <a:noFill/>
                                </a:ln>
                              </pic:spPr>
                            </pic:pic>
                          </a:graphicData>
                        </a:graphic>
                      </wp:inline>
                    </w:drawing>
                  </w:r>
                </w:p>
              </w:tc>
            </w:tr>
            <w:tr w:rsidR="003D7523" w:rsidRPr="003D7523" w14:paraId="566AB37B" w14:textId="77777777">
              <w:tc>
                <w:tcPr>
                  <w:tcW w:w="0" w:type="auto"/>
                  <w:tcMar>
                    <w:top w:w="120" w:type="dxa"/>
                    <w:left w:w="0" w:type="dxa"/>
                    <w:bottom w:w="0" w:type="dxa"/>
                    <w:right w:w="0" w:type="dxa"/>
                  </w:tcMar>
                  <w:hideMark/>
                </w:tcPr>
                <w:p w14:paraId="1DBC2882" w14:textId="77777777" w:rsidR="003D7523" w:rsidRPr="003D7523" w:rsidRDefault="003D7523" w:rsidP="003D7523">
                  <w:r w:rsidRPr="003D7523">
                    <w:br/>
                    <w:t> </w:t>
                  </w:r>
                </w:p>
              </w:tc>
            </w:tr>
            <w:tr w:rsidR="003D7523" w:rsidRPr="003D7523" w14:paraId="46F91AE7" w14:textId="77777777">
              <w:tc>
                <w:tcPr>
                  <w:tcW w:w="0" w:type="auto"/>
                  <w:vAlign w:val="center"/>
                  <w:hideMark/>
                </w:tcPr>
                <w:p w14:paraId="56744E9F" w14:textId="77777777" w:rsidR="003D7523" w:rsidRPr="003D7523" w:rsidRDefault="003D7523" w:rsidP="003D7523">
                  <w:r w:rsidRPr="003D7523">
                    <w:t> </w:t>
                  </w:r>
                </w:p>
              </w:tc>
            </w:tr>
          </w:tbl>
          <w:p w14:paraId="5D89F465" w14:textId="77777777" w:rsidR="003D7523" w:rsidRPr="003D7523" w:rsidRDefault="003D7523" w:rsidP="003D7523"/>
        </w:tc>
      </w:tr>
    </w:tbl>
    <w:p w14:paraId="5515F882" w14:textId="77777777" w:rsidR="003D7523" w:rsidRDefault="003D7523"/>
    <w:sectPr w:rsidR="003D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62E96"/>
    <w:multiLevelType w:val="multilevel"/>
    <w:tmpl w:val="B71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412AB1"/>
    <w:multiLevelType w:val="multilevel"/>
    <w:tmpl w:val="000AC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C1812"/>
    <w:multiLevelType w:val="multilevel"/>
    <w:tmpl w:val="1D687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5C6D52"/>
    <w:multiLevelType w:val="multilevel"/>
    <w:tmpl w:val="4F84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9A016A"/>
    <w:multiLevelType w:val="multilevel"/>
    <w:tmpl w:val="F95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7147202">
    <w:abstractNumId w:val="0"/>
  </w:num>
  <w:num w:numId="2" w16cid:durableId="1078097188">
    <w:abstractNumId w:val="4"/>
  </w:num>
  <w:num w:numId="3" w16cid:durableId="2013991274">
    <w:abstractNumId w:val="1"/>
  </w:num>
  <w:num w:numId="4" w16cid:durableId="1725256097">
    <w:abstractNumId w:val="2"/>
  </w:num>
  <w:num w:numId="5" w16cid:durableId="518737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23"/>
    <w:rsid w:val="003D7523"/>
    <w:rsid w:val="004F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D4047"/>
  <w15:chartTrackingRefBased/>
  <w15:docId w15:val="{FADCFA07-1867-8141-9938-4369E729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523"/>
    <w:rPr>
      <w:rFonts w:eastAsiaTheme="majorEastAsia" w:cstheme="majorBidi"/>
      <w:color w:val="272727" w:themeColor="text1" w:themeTint="D8"/>
    </w:rPr>
  </w:style>
  <w:style w:type="paragraph" w:styleId="Title">
    <w:name w:val="Title"/>
    <w:basedOn w:val="Normal"/>
    <w:next w:val="Normal"/>
    <w:link w:val="TitleChar"/>
    <w:uiPriority w:val="10"/>
    <w:qFormat/>
    <w:rsid w:val="003D7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523"/>
    <w:pPr>
      <w:spacing w:before="160"/>
      <w:jc w:val="center"/>
    </w:pPr>
    <w:rPr>
      <w:i/>
      <w:iCs/>
      <w:color w:val="404040" w:themeColor="text1" w:themeTint="BF"/>
    </w:rPr>
  </w:style>
  <w:style w:type="character" w:customStyle="1" w:styleId="QuoteChar">
    <w:name w:val="Quote Char"/>
    <w:basedOn w:val="DefaultParagraphFont"/>
    <w:link w:val="Quote"/>
    <w:uiPriority w:val="29"/>
    <w:rsid w:val="003D7523"/>
    <w:rPr>
      <w:i/>
      <w:iCs/>
      <w:color w:val="404040" w:themeColor="text1" w:themeTint="BF"/>
    </w:rPr>
  </w:style>
  <w:style w:type="paragraph" w:styleId="ListParagraph">
    <w:name w:val="List Paragraph"/>
    <w:basedOn w:val="Normal"/>
    <w:uiPriority w:val="34"/>
    <w:qFormat/>
    <w:rsid w:val="003D7523"/>
    <w:pPr>
      <w:ind w:left="720"/>
      <w:contextualSpacing/>
    </w:pPr>
  </w:style>
  <w:style w:type="character" w:styleId="IntenseEmphasis">
    <w:name w:val="Intense Emphasis"/>
    <w:basedOn w:val="DefaultParagraphFont"/>
    <w:uiPriority w:val="21"/>
    <w:qFormat/>
    <w:rsid w:val="003D7523"/>
    <w:rPr>
      <w:i/>
      <w:iCs/>
      <w:color w:val="0F4761" w:themeColor="accent1" w:themeShade="BF"/>
    </w:rPr>
  </w:style>
  <w:style w:type="paragraph" w:styleId="IntenseQuote">
    <w:name w:val="Intense Quote"/>
    <w:basedOn w:val="Normal"/>
    <w:next w:val="Normal"/>
    <w:link w:val="IntenseQuoteChar"/>
    <w:uiPriority w:val="30"/>
    <w:qFormat/>
    <w:rsid w:val="003D7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523"/>
    <w:rPr>
      <w:i/>
      <w:iCs/>
      <w:color w:val="0F4761" w:themeColor="accent1" w:themeShade="BF"/>
    </w:rPr>
  </w:style>
  <w:style w:type="character" w:styleId="IntenseReference">
    <w:name w:val="Intense Reference"/>
    <w:basedOn w:val="DefaultParagraphFont"/>
    <w:uiPriority w:val="32"/>
    <w:qFormat/>
    <w:rsid w:val="003D7523"/>
    <w:rPr>
      <w:b/>
      <w:bCs/>
      <w:smallCaps/>
      <w:color w:val="0F4761" w:themeColor="accent1" w:themeShade="BF"/>
      <w:spacing w:val="5"/>
    </w:rPr>
  </w:style>
  <w:style w:type="character" w:styleId="Hyperlink">
    <w:name w:val="Hyperlink"/>
    <w:basedOn w:val="DefaultParagraphFont"/>
    <w:uiPriority w:val="99"/>
    <w:unhideWhenUsed/>
    <w:rsid w:val="003D7523"/>
    <w:rPr>
      <w:color w:val="467886" w:themeColor="hyperlink"/>
      <w:u w:val="single"/>
    </w:rPr>
  </w:style>
  <w:style w:type="character" w:styleId="UnresolvedMention">
    <w:name w:val="Unresolved Mention"/>
    <w:basedOn w:val="DefaultParagraphFont"/>
    <w:uiPriority w:val="99"/>
    <w:semiHidden/>
    <w:unhideWhenUsed/>
    <w:rsid w:val="003D7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977749">
      <w:bodyDiv w:val="1"/>
      <w:marLeft w:val="0"/>
      <w:marRight w:val="0"/>
      <w:marTop w:val="0"/>
      <w:marBottom w:val="0"/>
      <w:divBdr>
        <w:top w:val="none" w:sz="0" w:space="0" w:color="auto"/>
        <w:left w:val="none" w:sz="0" w:space="0" w:color="auto"/>
        <w:bottom w:val="none" w:sz="0" w:space="0" w:color="auto"/>
        <w:right w:val="none" w:sz="0" w:space="0" w:color="auto"/>
      </w:divBdr>
      <w:divsChild>
        <w:div w:id="1887646864">
          <w:marLeft w:val="0"/>
          <w:marRight w:val="0"/>
          <w:marTop w:val="0"/>
          <w:marBottom w:val="0"/>
          <w:divBdr>
            <w:top w:val="none" w:sz="0" w:space="0" w:color="auto"/>
            <w:left w:val="none" w:sz="0" w:space="0" w:color="auto"/>
            <w:bottom w:val="none" w:sz="0" w:space="0" w:color="auto"/>
            <w:right w:val="none" w:sz="0" w:space="0" w:color="auto"/>
          </w:divBdr>
          <w:divsChild>
            <w:div w:id="1037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6359">
      <w:bodyDiv w:val="1"/>
      <w:marLeft w:val="0"/>
      <w:marRight w:val="0"/>
      <w:marTop w:val="0"/>
      <w:marBottom w:val="0"/>
      <w:divBdr>
        <w:top w:val="none" w:sz="0" w:space="0" w:color="auto"/>
        <w:left w:val="none" w:sz="0" w:space="0" w:color="auto"/>
        <w:bottom w:val="none" w:sz="0" w:space="0" w:color="auto"/>
        <w:right w:val="none" w:sz="0" w:space="0" w:color="auto"/>
      </w:divBdr>
      <w:divsChild>
        <w:div w:id="1986011641">
          <w:marLeft w:val="0"/>
          <w:marRight w:val="0"/>
          <w:marTop w:val="0"/>
          <w:marBottom w:val="0"/>
          <w:divBdr>
            <w:top w:val="none" w:sz="0" w:space="0" w:color="auto"/>
            <w:left w:val="none" w:sz="0" w:space="0" w:color="auto"/>
            <w:bottom w:val="none" w:sz="0" w:space="0" w:color="auto"/>
            <w:right w:val="none" w:sz="0" w:space="0" w:color="auto"/>
          </w:divBdr>
          <w:divsChild>
            <w:div w:id="12997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nardnexsen.com/" TargetMode="External"/><Relationship Id="rId5" Type="http://schemas.openxmlformats.org/officeDocument/2006/relationships/hyperlink" Target="mailto:DFerrell@maynardnexse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Craft</dc:creator>
  <cp:keywords/>
  <dc:description/>
  <cp:lastModifiedBy>Gail Craft</cp:lastModifiedBy>
  <cp:revision>1</cp:revision>
  <dcterms:created xsi:type="dcterms:W3CDTF">2024-11-22T15:11:00Z</dcterms:created>
  <dcterms:modified xsi:type="dcterms:W3CDTF">2024-11-22T15:12:00Z</dcterms:modified>
</cp:coreProperties>
</file>