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B02DDF">
        <w:rPr>
          <w:rFonts w:ascii="Arial" w:hAnsi="Arial" w:cs="Arial"/>
          <w:b/>
        </w:rPr>
        <w:t>Jan. 20</w:t>
      </w:r>
      <w:r w:rsidR="009349F3" w:rsidRPr="00971AB3">
        <w:rPr>
          <w:rFonts w:ascii="Arial" w:hAnsi="Arial" w:cs="Arial"/>
          <w:b/>
        </w:rPr>
        <w:t>, 2017</w:t>
      </w:r>
    </w:p>
    <w:p w:rsidR="00C827F5" w:rsidRPr="00971AB3" w:rsidRDefault="00C7104F" w:rsidP="00091EFB">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091EFB">
      <w:pPr>
        <w:spacing w:after="0" w:line="240" w:lineRule="auto"/>
        <w:rPr>
          <w:rFonts w:ascii="Arial" w:hAnsi="Arial" w:cs="Arial"/>
        </w:rPr>
      </w:pPr>
    </w:p>
    <w:p w:rsidR="00FB00B8" w:rsidRPr="00971AB3" w:rsidRDefault="00B02DDF" w:rsidP="00091EFB">
      <w:pPr>
        <w:spacing w:after="0" w:line="240" w:lineRule="auto"/>
        <w:rPr>
          <w:rFonts w:ascii="Arial" w:hAnsi="Arial" w:cs="Arial"/>
        </w:rPr>
      </w:pPr>
      <w:r>
        <w:rPr>
          <w:rFonts w:ascii="Arial" w:hAnsi="Arial" w:cs="Arial"/>
        </w:rPr>
        <w:t>Despite a short second week due to the Martin Luther King Jr. Holiday on Monday and</w:t>
      </w:r>
      <w:r w:rsidR="00330648">
        <w:rPr>
          <w:rFonts w:ascii="Arial" w:hAnsi="Arial" w:cs="Arial"/>
        </w:rPr>
        <w:t xml:space="preserve"> Iowa</w:t>
      </w:r>
      <w:r>
        <w:rPr>
          <w:rFonts w:ascii="Arial" w:hAnsi="Arial" w:cs="Arial"/>
        </w:rPr>
        <w:t xml:space="preserve"> ice storm on Tuesday, there were still some significant issues of importance discussed this week at the statehouse. Last week’s</w:t>
      </w:r>
      <w:r w:rsidR="00654014" w:rsidRPr="00971AB3">
        <w:rPr>
          <w:rFonts w:ascii="Arial" w:hAnsi="Arial" w:cs="Arial"/>
        </w:rPr>
        <w:t xml:space="preserve"> Call to Action </w:t>
      </w:r>
      <w:r>
        <w:rPr>
          <w:rFonts w:ascii="Arial" w:hAnsi="Arial" w:cs="Arial"/>
        </w:rPr>
        <w:t>on Assessment is still relevant as SSB 1001 is in the Senate Education Committee. B</w:t>
      </w:r>
      <w:r w:rsidR="009349F3" w:rsidRPr="00971AB3">
        <w:rPr>
          <w:rFonts w:ascii="Arial" w:hAnsi="Arial" w:cs="Arial"/>
        </w:rPr>
        <w:t xml:space="preserve">udget </w:t>
      </w:r>
      <w:r>
        <w:rPr>
          <w:rFonts w:ascii="Arial" w:hAnsi="Arial" w:cs="Arial"/>
        </w:rPr>
        <w:t>presentations beg</w:t>
      </w:r>
      <w:r w:rsidR="00330648">
        <w:rPr>
          <w:rFonts w:ascii="Arial" w:hAnsi="Arial" w:cs="Arial"/>
        </w:rPr>
        <w:t>a</w:t>
      </w:r>
      <w:r>
        <w:rPr>
          <w:rFonts w:ascii="Arial" w:hAnsi="Arial" w:cs="Arial"/>
        </w:rPr>
        <w:t>n this week, and House and Senate Education Committees hear about key RSAI priorities.</w:t>
      </w:r>
      <w:r w:rsidR="00330648">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FB00B8" w:rsidRPr="00971AB3">
          <w:rPr>
            <w:rStyle w:val="Hyperlink"/>
            <w:rFonts w:ascii="Arial" w:hAnsi="Arial" w:cs="Arial"/>
          </w:rPr>
          <w:t>margaret.buckton@isfis.net</w:t>
        </w:r>
      </w:hyperlink>
      <w:r w:rsidR="00FB00B8" w:rsidRPr="00971AB3">
        <w:rPr>
          <w:rFonts w:ascii="Arial" w:hAnsi="Arial" w:cs="Arial"/>
        </w:rPr>
        <w:t xml:space="preserve"> </w:t>
      </w:r>
    </w:p>
    <w:p w:rsidR="009349F3" w:rsidRPr="00971AB3" w:rsidRDefault="00330648" w:rsidP="00312E07">
      <w:pPr>
        <w:shd w:val="clear" w:color="auto" w:fill="FFFFFF"/>
        <w:tabs>
          <w:tab w:val="left" w:pos="8440"/>
        </w:tabs>
        <w:spacing w:before="240" w:after="0" w:line="240" w:lineRule="auto"/>
        <w:rPr>
          <w:rFonts w:ascii="Arial" w:hAnsi="Arial" w:cs="Arial"/>
        </w:rPr>
      </w:pPr>
      <w:r w:rsidRPr="00330648">
        <w:rPr>
          <w:rFonts w:ascii="Arial" w:hAnsi="Arial" w:cs="Arial"/>
          <w:b/>
        </w:rPr>
        <w:t>SSA Timing:</w:t>
      </w:r>
      <w:r>
        <w:rPr>
          <w:rFonts w:ascii="Arial" w:hAnsi="Arial" w:cs="Arial"/>
        </w:rPr>
        <w:t xml:space="preserve">  The decision to set the state cost per pupil, known as state supplemental assistance, is due to be enacted by Feb. 10 to meet the 30-day deadline in Iowa Code.  With January half gone, use this weekend and next week to remind legislators that investing in Iowa public schools pays dividends in the future, with an educated workforce that contributes to our economy.  </w:t>
      </w:r>
    </w:p>
    <w:p w:rsidR="00971AB3" w:rsidRDefault="00B02DDF" w:rsidP="00312E07">
      <w:pPr>
        <w:shd w:val="clear" w:color="auto" w:fill="FFFFFF"/>
        <w:tabs>
          <w:tab w:val="left" w:pos="8440"/>
        </w:tabs>
        <w:spacing w:before="240" w:after="0" w:line="240" w:lineRule="auto"/>
        <w:rPr>
          <w:rFonts w:ascii="Arial" w:hAnsi="Arial" w:cs="Arial"/>
          <w:szCs w:val="20"/>
        </w:rPr>
      </w:pPr>
      <w:r>
        <w:rPr>
          <w:rFonts w:ascii="Arial" w:hAnsi="Arial" w:cs="Arial"/>
          <w:b/>
        </w:rPr>
        <w:t xml:space="preserve">Education Appropriations Subcommittee Meeting:  </w:t>
      </w:r>
      <w:r>
        <w:rPr>
          <w:rFonts w:ascii="Arial" w:hAnsi="Arial" w:cs="Arial"/>
        </w:rPr>
        <w:t xml:space="preserve">This week, the members of the Subcommittee heard </w:t>
      </w:r>
      <w:r w:rsidR="00330648">
        <w:rPr>
          <w:rFonts w:ascii="Arial" w:hAnsi="Arial" w:cs="Arial"/>
        </w:rPr>
        <w:t>analysis</w:t>
      </w:r>
      <w:r>
        <w:rPr>
          <w:rFonts w:ascii="Arial" w:hAnsi="Arial" w:cs="Arial"/>
        </w:rPr>
        <w:t xml:space="preserve"> of the Governor’s Budget Recommendation for FY 2018 by the Legislative Services Agency Staff. </w:t>
      </w:r>
      <w:r w:rsidR="00E75474">
        <w:rPr>
          <w:rFonts w:ascii="Arial" w:hAnsi="Arial" w:cs="Arial"/>
        </w:rPr>
        <w:t xml:space="preserve">They work from the detail analysis called the “blue book” which is linked here </w:t>
      </w:r>
      <w:hyperlink r:id="rId9" w:history="1">
        <w:r w:rsidR="00E75474" w:rsidRPr="00E75474">
          <w:rPr>
            <w:rStyle w:val="Hyperlink"/>
            <w:rFonts w:ascii="Arial" w:hAnsi="Arial" w:cs="Arial"/>
            <w:sz w:val="20"/>
          </w:rPr>
          <w:t>https://www.legis.iowa.gov/docs/publications/SCGR/851571.pdf</w:t>
        </w:r>
      </w:hyperlink>
      <w:r w:rsidR="00330648">
        <w:rPr>
          <w:rFonts w:ascii="Arial" w:hAnsi="Arial" w:cs="Arial"/>
          <w:sz w:val="20"/>
        </w:rPr>
        <w:t>.</w:t>
      </w:r>
      <w:r w:rsidR="00E75474" w:rsidRPr="00E75474">
        <w:rPr>
          <w:rFonts w:ascii="Arial" w:hAnsi="Arial" w:cs="Arial"/>
          <w:sz w:val="20"/>
        </w:rPr>
        <w:t xml:space="preserve"> </w:t>
      </w:r>
      <w:r w:rsidRPr="00E75474">
        <w:rPr>
          <w:rFonts w:ascii="Arial" w:hAnsi="Arial" w:cs="Arial"/>
          <w:sz w:val="20"/>
        </w:rPr>
        <w:t xml:space="preserve"> </w:t>
      </w:r>
      <w:r w:rsidR="001A0CDA" w:rsidRPr="001A0CDA">
        <w:rPr>
          <w:rFonts w:ascii="Arial" w:hAnsi="Arial" w:cs="Arial"/>
          <w:szCs w:val="20"/>
        </w:rPr>
        <w:t>Additional detail is always found in looking at the specific numbers.  The Governor’s Recommendation, for example, eliminates the $4.02 million allocation for Mentoring and Induction that has been part of the Student Achievement Teac</w:t>
      </w:r>
      <w:r w:rsidR="001A0CDA">
        <w:rPr>
          <w:rFonts w:ascii="Arial" w:hAnsi="Arial" w:cs="Arial"/>
          <w:szCs w:val="20"/>
        </w:rPr>
        <w:t xml:space="preserve">her Quality Act appropriation. This funding has been used to pay stipends and associated IPERS and FICA for mentor teachers.  Just a reminder from last week, the Governor’s budget request has no funding for summer school and a $6.1 million appropriation for LEA assessment, but that does not appear until his FY 2019 budget.  </w:t>
      </w:r>
    </w:p>
    <w:p w:rsidR="001A0CDA" w:rsidRDefault="001A0CDA" w:rsidP="00312E07">
      <w:pPr>
        <w:shd w:val="clear" w:color="auto" w:fill="FFFFFF"/>
        <w:tabs>
          <w:tab w:val="left" w:pos="8440"/>
        </w:tabs>
        <w:spacing w:before="240" w:after="0" w:line="240" w:lineRule="auto"/>
        <w:rPr>
          <w:rFonts w:ascii="Arial" w:hAnsi="Arial" w:cs="Arial"/>
          <w:szCs w:val="20"/>
        </w:rPr>
      </w:pPr>
      <w:r w:rsidRPr="001A0CDA">
        <w:rPr>
          <w:rFonts w:ascii="Arial" w:hAnsi="Arial" w:cs="Arial"/>
          <w:b/>
          <w:szCs w:val="20"/>
        </w:rPr>
        <w:t>Equity Presentation in Senate:</w:t>
      </w:r>
      <w:r w:rsidRPr="001A0CDA">
        <w:rPr>
          <w:rFonts w:ascii="Arial" w:hAnsi="Arial" w:cs="Arial"/>
          <w:szCs w:val="20"/>
        </w:rPr>
        <w:t xml:space="preserve"> The Senate</w:t>
      </w:r>
      <w:r>
        <w:rPr>
          <w:rFonts w:ascii="Arial" w:hAnsi="Arial" w:cs="Arial"/>
          <w:szCs w:val="20"/>
        </w:rPr>
        <w:t xml:space="preserve"> Education Committee heard a presentation by IASB staff regarding equity. IASB’s proposal address</w:t>
      </w:r>
      <w:r w:rsidR="005B4ED1">
        <w:rPr>
          <w:rFonts w:ascii="Arial" w:hAnsi="Arial" w:cs="Arial"/>
          <w:szCs w:val="20"/>
        </w:rPr>
        <w:t>es</w:t>
      </w:r>
      <w:r>
        <w:rPr>
          <w:rFonts w:ascii="Arial" w:hAnsi="Arial" w:cs="Arial"/>
          <w:szCs w:val="20"/>
        </w:rPr>
        <w:t xml:space="preserve"> transportation expenditure </w:t>
      </w:r>
      <w:r w:rsidR="005B4ED1">
        <w:rPr>
          <w:rFonts w:ascii="Arial" w:hAnsi="Arial" w:cs="Arial"/>
          <w:szCs w:val="20"/>
        </w:rPr>
        <w:t xml:space="preserve">inequity by creating a supplementary weighting for transportation costs using several variables (route miles per pupil is the key factor that recognizes rural transportation costs). The weighting is phased in over 5 years, eventually covering $150 million in school transportation costs.  The second proposal eliminates the difference in the state and district cost per pupil in the formula.  There are two methods of funding, one through the formula which includes some property tax (total state cost of $86.2 million which lowers property taxes by $612,000) and the other totally funded by the state (state impact of $98.6 million and lower property taxes by $13.0 million.)  Sens. </w:t>
      </w:r>
      <w:proofErr w:type="spellStart"/>
      <w:r w:rsidR="005B4ED1">
        <w:rPr>
          <w:rFonts w:ascii="Arial" w:hAnsi="Arial" w:cs="Arial"/>
          <w:szCs w:val="20"/>
        </w:rPr>
        <w:t>Quirmbach</w:t>
      </w:r>
      <w:proofErr w:type="spellEnd"/>
      <w:r w:rsidR="005B4ED1">
        <w:rPr>
          <w:rFonts w:ascii="Arial" w:hAnsi="Arial" w:cs="Arial"/>
          <w:szCs w:val="20"/>
        </w:rPr>
        <w:t xml:space="preserve"> and </w:t>
      </w:r>
      <w:proofErr w:type="spellStart"/>
      <w:r w:rsidR="005B4ED1">
        <w:rPr>
          <w:rFonts w:ascii="Arial" w:hAnsi="Arial" w:cs="Arial"/>
          <w:szCs w:val="20"/>
        </w:rPr>
        <w:t>Chelgren</w:t>
      </w:r>
      <w:proofErr w:type="spellEnd"/>
      <w:r w:rsidR="005B4ED1">
        <w:rPr>
          <w:rFonts w:ascii="Arial" w:hAnsi="Arial" w:cs="Arial"/>
          <w:szCs w:val="20"/>
        </w:rPr>
        <w:t xml:space="preserve"> discussed their preference for a local district levy, allowing each district’s patrons to determine if they are willing to support the $175 difference per pupil.  Given the </w:t>
      </w:r>
      <w:r w:rsidR="00330648">
        <w:rPr>
          <w:rFonts w:ascii="Arial" w:hAnsi="Arial" w:cs="Arial"/>
          <w:szCs w:val="20"/>
        </w:rPr>
        <w:t>lack of capacity</w:t>
      </w:r>
      <w:r w:rsidR="005B4ED1">
        <w:rPr>
          <w:rFonts w:ascii="Arial" w:hAnsi="Arial" w:cs="Arial"/>
          <w:szCs w:val="20"/>
        </w:rPr>
        <w:t xml:space="preserve"> in property poor </w:t>
      </w:r>
      <w:r w:rsidR="00000824">
        <w:rPr>
          <w:rFonts w:ascii="Arial" w:hAnsi="Arial" w:cs="Arial"/>
          <w:szCs w:val="20"/>
        </w:rPr>
        <w:t>school</w:t>
      </w:r>
      <w:r w:rsidR="005B4ED1">
        <w:rPr>
          <w:rFonts w:ascii="Arial" w:hAnsi="Arial" w:cs="Arial"/>
          <w:szCs w:val="20"/>
        </w:rPr>
        <w:t xml:space="preserve"> districts or districts with difficulty in gaining any voter approval for levies, this solution would not guarantee equity. </w:t>
      </w:r>
      <w:r w:rsidR="00330648">
        <w:rPr>
          <w:rFonts w:ascii="Arial" w:hAnsi="Arial" w:cs="Arial"/>
          <w:szCs w:val="20"/>
        </w:rPr>
        <w:t xml:space="preserve">We will notify </w:t>
      </w:r>
      <w:r w:rsidR="00000824">
        <w:rPr>
          <w:rFonts w:ascii="Arial" w:hAnsi="Arial" w:cs="Arial"/>
          <w:szCs w:val="20"/>
        </w:rPr>
        <w:t xml:space="preserve">members </w:t>
      </w:r>
      <w:r w:rsidR="00330648">
        <w:rPr>
          <w:rFonts w:ascii="Arial" w:hAnsi="Arial" w:cs="Arial"/>
          <w:szCs w:val="20"/>
        </w:rPr>
        <w:t xml:space="preserve">when a bill is assigned to subcommittee in the Senate. </w:t>
      </w:r>
    </w:p>
    <w:p w:rsidR="00000824" w:rsidRDefault="00E20ADF" w:rsidP="005B4ED1">
      <w:pPr>
        <w:shd w:val="clear" w:color="auto" w:fill="FFFFFF"/>
        <w:tabs>
          <w:tab w:val="left" w:pos="8440"/>
        </w:tabs>
        <w:spacing w:before="240" w:after="0" w:line="240" w:lineRule="auto"/>
        <w:rPr>
          <w:rFonts w:ascii="Arial" w:hAnsi="Arial" w:cs="Arial"/>
        </w:rPr>
      </w:pPr>
      <w:r>
        <w:rPr>
          <w:rFonts w:ascii="Arial" w:hAnsi="Arial" w:cs="Arial"/>
          <w:b/>
        </w:rPr>
        <w:t xml:space="preserve">Flexibility: </w:t>
      </w:r>
      <w:r>
        <w:rPr>
          <w:rFonts w:ascii="Arial" w:hAnsi="Arial" w:cs="Arial"/>
        </w:rPr>
        <w:t>If RSAI members have ideas about flexibility, please share with us. If there is something that you’d like any categorical fund to pay for (</w:t>
      </w:r>
      <w:proofErr w:type="spellStart"/>
      <w:r>
        <w:rPr>
          <w:rFonts w:ascii="Arial" w:hAnsi="Arial" w:cs="Arial"/>
        </w:rPr>
        <w:t>eg</w:t>
      </w:r>
      <w:proofErr w:type="spellEnd"/>
      <w:r>
        <w:rPr>
          <w:rFonts w:ascii="Arial" w:hAnsi="Arial" w:cs="Arial"/>
        </w:rPr>
        <w:t xml:space="preserve">., </w:t>
      </w:r>
      <w:r w:rsidR="00000824">
        <w:rPr>
          <w:rFonts w:ascii="Arial" w:hAnsi="Arial" w:cs="Arial"/>
        </w:rPr>
        <w:t>Quality Preschool Program</w:t>
      </w:r>
      <w:r>
        <w:rPr>
          <w:rFonts w:ascii="Arial" w:hAnsi="Arial" w:cs="Arial"/>
        </w:rPr>
        <w:t xml:space="preserve"> Standards require preschool to offer a snack, but food is excluded from allowable expenditures), let us know so we can advocate accordingly. </w:t>
      </w:r>
    </w:p>
    <w:p w:rsidR="005B4ED1" w:rsidRDefault="005B4ED1" w:rsidP="005B4ED1">
      <w:pPr>
        <w:shd w:val="clear" w:color="auto" w:fill="FFFFFF"/>
        <w:tabs>
          <w:tab w:val="left" w:pos="8440"/>
        </w:tabs>
        <w:spacing w:before="240" w:after="0" w:line="240" w:lineRule="auto"/>
        <w:rPr>
          <w:rFonts w:ascii="Arial" w:hAnsi="Arial" w:cs="Arial"/>
        </w:rPr>
      </w:pPr>
      <w:r w:rsidRPr="00971AB3">
        <w:rPr>
          <w:rFonts w:ascii="Arial" w:hAnsi="Arial" w:cs="Arial"/>
          <w:b/>
        </w:rPr>
        <w:lastRenderedPageBreak/>
        <w:t>SSB 1001: State Assessment</w:t>
      </w:r>
      <w:r>
        <w:rPr>
          <w:rFonts w:ascii="Arial" w:hAnsi="Arial" w:cs="Arial"/>
        </w:rPr>
        <w:t xml:space="preserve"> by Sinclair:  This bill did not yet appear on the Senate Education </w:t>
      </w:r>
      <w:r w:rsidR="00330648">
        <w:rPr>
          <w:rFonts w:ascii="Arial" w:hAnsi="Arial" w:cs="Arial"/>
        </w:rPr>
        <w:t>a</w:t>
      </w:r>
      <w:r>
        <w:rPr>
          <w:rFonts w:ascii="Arial" w:hAnsi="Arial" w:cs="Arial"/>
        </w:rPr>
        <w:t>genda, so information from last week’s update follows.  The Call to Action is still relevant, even more so as the federal Peer Review letter regarding ESSA compliance was posted today. The l</w:t>
      </w:r>
      <w:r w:rsidR="00330648">
        <w:rPr>
          <w:rFonts w:ascii="Arial" w:hAnsi="Arial" w:cs="Arial"/>
        </w:rPr>
        <w:t>e</w:t>
      </w:r>
      <w:r>
        <w:rPr>
          <w:rFonts w:ascii="Arial" w:hAnsi="Arial" w:cs="Arial"/>
        </w:rPr>
        <w:t>tter requires Iowa’s DE to detail a timeline and changes to state assessment</w:t>
      </w:r>
      <w:r w:rsidR="00330648">
        <w:rPr>
          <w:rFonts w:ascii="Arial" w:hAnsi="Arial" w:cs="Arial"/>
        </w:rPr>
        <w:t xml:space="preserve"> citing several instances of nonalignment, among other things</w:t>
      </w:r>
      <w:r>
        <w:rPr>
          <w:rFonts w:ascii="Arial" w:hAnsi="Arial" w:cs="Arial"/>
        </w:rPr>
        <w:t xml:space="preserve"> (the Peer Review group analyzed the Iowa </w:t>
      </w:r>
      <w:r w:rsidR="00330648">
        <w:rPr>
          <w:rFonts w:ascii="Arial" w:hAnsi="Arial" w:cs="Arial"/>
        </w:rPr>
        <w:t xml:space="preserve">Tests), stating our plan partially meets requirements. </w:t>
      </w:r>
      <w:r w:rsidRPr="00971AB3">
        <w:rPr>
          <w:rFonts w:ascii="Arial" w:hAnsi="Arial" w:cs="Arial"/>
        </w:rPr>
        <w:t xml:space="preserve">The bill strikes </w:t>
      </w:r>
      <w:hyperlink r:id="rId10" w:history="1">
        <w:r w:rsidRPr="00971AB3">
          <w:rPr>
            <w:rStyle w:val="Hyperlink"/>
            <w:rFonts w:ascii="Arial" w:hAnsi="Arial" w:cs="Arial"/>
          </w:rPr>
          <w:t>Iowa Code 256.7</w:t>
        </w:r>
      </w:hyperlink>
      <w:r w:rsidRPr="00971AB3">
        <w:rPr>
          <w:rFonts w:ascii="Arial" w:hAnsi="Arial" w:cs="Arial"/>
        </w:rPr>
        <w:t xml:space="preserve">, subsection 21, paragraph b, subparagraphs (2) and (3).  These Code sections authorize the state Board of Education and DE to determine a set of core indicators for Math, Reading and Science and require a state assessment to measure progress.  The bill also strikes the Assessment Task Force requirement from Iowa Code.  See </w:t>
      </w:r>
      <w:r w:rsidR="00330648">
        <w:rPr>
          <w:rFonts w:ascii="Arial" w:hAnsi="Arial" w:cs="Arial"/>
        </w:rPr>
        <w:t>the Jan. 13</w:t>
      </w:r>
      <w:r w:rsidRPr="00971AB3">
        <w:rPr>
          <w:rFonts w:ascii="Arial" w:hAnsi="Arial" w:cs="Arial"/>
        </w:rPr>
        <w:t xml:space="preserve"> call to action on Assessment Progress </w:t>
      </w:r>
      <w:r w:rsidRPr="009422ED">
        <w:rPr>
          <w:rFonts w:ascii="Arial" w:hAnsi="Arial" w:cs="Arial"/>
        </w:rPr>
        <w:t xml:space="preserve">found </w:t>
      </w:r>
      <w:hyperlink r:id="rId11" w:history="1">
        <w:r w:rsidRPr="009422ED">
          <w:rPr>
            <w:rStyle w:val="Hyperlink"/>
            <w:rFonts w:ascii="Arial" w:hAnsi="Arial" w:cs="Arial"/>
          </w:rPr>
          <w:t>here</w:t>
        </w:r>
      </w:hyperlink>
      <w:r w:rsidRPr="00971AB3">
        <w:rPr>
          <w:rFonts w:ascii="Arial" w:hAnsi="Arial" w:cs="Arial"/>
        </w:rPr>
        <w:t xml:space="preserve"> for additional explanation, talking points and advocacy actions. </w:t>
      </w:r>
      <w:r>
        <w:rPr>
          <w:rFonts w:ascii="Arial" w:hAnsi="Arial" w:cs="Arial"/>
        </w:rPr>
        <w:t>RSAI is opposed to this bill.</w:t>
      </w:r>
    </w:p>
    <w:p w:rsidR="00317FEF" w:rsidRPr="008025EE" w:rsidRDefault="008025EE" w:rsidP="00312E07">
      <w:pPr>
        <w:shd w:val="clear" w:color="auto" w:fill="FFFFFF"/>
        <w:tabs>
          <w:tab w:val="left" w:pos="8440"/>
        </w:tabs>
        <w:spacing w:before="240" w:after="0" w:line="240" w:lineRule="auto"/>
        <w:rPr>
          <w:rFonts w:ascii="Arial" w:hAnsi="Arial" w:cs="Arial"/>
          <w:b/>
          <w:sz w:val="24"/>
          <w:szCs w:val="20"/>
        </w:rPr>
        <w:sectPr w:rsidR="00317FEF" w:rsidRPr="008025EE" w:rsidSect="00451C35">
          <w:headerReference w:type="default" r:id="rId12"/>
          <w:footerReference w:type="default" r:id="rId13"/>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24F2C020" wp14:editId="0FC15AC1">
                <wp:simplePos x="0" y="0"/>
                <wp:positionH relativeFrom="column">
                  <wp:posOffset>3068320</wp:posOffset>
                </wp:positionH>
                <wp:positionV relativeFrom="paragraph">
                  <wp:posOffset>132080</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14"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2C020" id="_x0000_t202" coordsize="21600,21600" o:spt="202" path="m,l,21600r21600,l21600,xe">
                <v:stroke joinstyle="miter"/>
                <v:path gradientshapeok="t" o:connecttype="rect"/>
              </v:shapetype>
              <v:shape id="Text Box 8" o:spid="_x0000_s1026" type="#_x0000_t202" style="position:absolute;margin-left:241.6pt;margin-top:10.4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15"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r w:rsidR="00654014" w:rsidRPr="00317FEF">
        <w:rPr>
          <w:rFonts w:ascii="Arial" w:hAnsi="Arial" w:cs="Arial"/>
          <w:b/>
          <w:sz w:val="24"/>
          <w:szCs w:val="20"/>
        </w:rPr>
        <w:t xml:space="preserve">Education Committee </w:t>
      </w:r>
      <w:r w:rsidR="00971AB3" w:rsidRPr="00317FEF">
        <w:rPr>
          <w:rFonts w:ascii="Arial" w:hAnsi="Arial" w:cs="Arial"/>
          <w:b/>
          <w:sz w:val="24"/>
          <w:szCs w:val="20"/>
        </w:rPr>
        <w:t>Members:</w:t>
      </w:r>
      <w:r>
        <w:rPr>
          <w:rFonts w:ascii="Arial" w:hAnsi="Arial" w:cs="Arial"/>
          <w:b/>
          <w:sz w:val="24"/>
          <w:szCs w:val="20"/>
        </w:rPr>
        <w:t xml:space="preserve">  </w:t>
      </w:r>
      <w:r w:rsidRPr="008025EE">
        <w:rPr>
          <w:rFonts w:ascii="Arial" w:hAnsi="Arial" w:cs="Arial"/>
          <w:sz w:val="24"/>
          <w:szCs w:val="20"/>
        </w:rPr>
        <w:t xml:space="preserve">Find links to members of the Education Committee for the </w:t>
      </w:r>
      <w:hyperlink r:id="rId16" w:history="1">
        <w:r w:rsidRPr="008025EE">
          <w:rPr>
            <w:rStyle w:val="Hyperlink"/>
            <w:rFonts w:ascii="Arial" w:hAnsi="Arial" w:cs="Arial"/>
            <w:sz w:val="24"/>
            <w:szCs w:val="20"/>
          </w:rPr>
          <w:t>Senate here</w:t>
        </w:r>
      </w:hyperlink>
      <w:r w:rsidRPr="008025EE">
        <w:rPr>
          <w:rFonts w:ascii="Arial" w:hAnsi="Arial" w:cs="Arial"/>
          <w:sz w:val="24"/>
          <w:szCs w:val="20"/>
        </w:rPr>
        <w:t xml:space="preserve"> and the </w:t>
      </w:r>
      <w:hyperlink r:id="rId17" w:history="1">
        <w:r w:rsidRPr="008025EE">
          <w:rPr>
            <w:rStyle w:val="Hyperlink"/>
            <w:rFonts w:ascii="Arial" w:hAnsi="Arial" w:cs="Arial"/>
            <w:sz w:val="24"/>
            <w:szCs w:val="20"/>
          </w:rPr>
          <w:t>House here</w:t>
        </w:r>
      </w:hyperlink>
      <w:r>
        <w:rPr>
          <w:rFonts w:ascii="Arial" w:hAnsi="Arial" w:cs="Arial"/>
          <w:b/>
          <w:sz w:val="24"/>
          <w:szCs w:val="20"/>
        </w:rPr>
        <w:t>.</w:t>
      </w:r>
    </w:p>
    <w:p w:rsidR="00F3760C" w:rsidRPr="008025EE" w:rsidRDefault="00F3760C" w:rsidP="008025EE">
      <w:pPr>
        <w:shd w:val="clear" w:color="auto" w:fill="FFFFFF"/>
        <w:tabs>
          <w:tab w:val="left" w:pos="8440"/>
        </w:tabs>
        <w:spacing w:after="0" w:line="240" w:lineRule="auto"/>
        <w:rPr>
          <w:rFonts w:ascii="Arial" w:hAnsi="Arial" w:cs="Arial"/>
          <w:b/>
          <w:sz w:val="24"/>
          <w:szCs w:val="20"/>
        </w:rPr>
        <w:sectPr w:rsidR="00F3760C" w:rsidRPr="008025EE"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F3760C" w:rsidRDefault="00F3760C" w:rsidP="008025EE">
      <w:pPr>
        <w:shd w:val="clear" w:color="auto" w:fill="FFFFFF"/>
        <w:spacing w:beforeAutospacing="1" w:after="0" w:afterAutospacing="1" w:line="240" w:lineRule="auto"/>
        <w:rPr>
          <w:rFonts w:ascii="Arial" w:hAnsi="Arial" w:cs="Arial"/>
          <w:sz w:val="20"/>
          <w:szCs w:val="20"/>
        </w:rPr>
        <w:sectPr w:rsidR="00F3760C"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8025EE" w:rsidRDefault="008025EE">
      <w:pPr>
        <w:rPr>
          <w:rFonts w:ascii="Arial" w:hAnsi="Arial" w:cs="Arial"/>
          <w:b/>
          <w:szCs w:val="20"/>
        </w:rPr>
      </w:pPr>
      <w:r>
        <w:rPr>
          <w:rFonts w:ascii="Arial" w:hAnsi="Arial" w:cs="Arial"/>
          <w:b/>
          <w:szCs w:val="20"/>
        </w:rPr>
        <w:lastRenderedPageBreak/>
        <w:t xml:space="preserve">Track Bills introduced and RSAI position below. </w:t>
      </w:r>
    </w:p>
    <w:p w:rsidR="008025EE" w:rsidRDefault="008025EE">
      <w:pPr>
        <w:rPr>
          <w:rFonts w:ascii="Arial" w:hAnsi="Arial" w:cs="Arial"/>
          <w:b/>
          <w:szCs w:val="20"/>
        </w:rPr>
      </w:pPr>
    </w:p>
    <w:p w:rsidR="008025EE" w:rsidRPr="008E6E1F" w:rsidRDefault="008025EE" w:rsidP="008025EE">
      <w:pPr>
        <w:shd w:val="clear" w:color="auto" w:fill="FFFFFF"/>
        <w:spacing w:before="240" w:after="0" w:line="240" w:lineRule="auto"/>
        <w:rPr>
          <w:rFonts w:ascii="Arial" w:hAnsi="Arial" w:cs="Arial"/>
          <w:b/>
          <w:sz w:val="20"/>
          <w:szCs w:val="20"/>
        </w:rPr>
      </w:pPr>
      <w:r w:rsidRPr="008E6E1F">
        <w:rPr>
          <w:rFonts w:ascii="Arial" w:hAnsi="Arial" w:cs="Arial"/>
          <w:b/>
          <w:sz w:val="20"/>
          <w:szCs w:val="20"/>
        </w:rPr>
        <w:t xml:space="preserve">RSAI </w:t>
      </w:r>
      <w:r>
        <w:rPr>
          <w:rFonts w:ascii="Arial" w:hAnsi="Arial" w:cs="Arial"/>
          <w:b/>
          <w:sz w:val="20"/>
          <w:szCs w:val="20"/>
        </w:rPr>
        <w:t xml:space="preserve">Contacts </w:t>
      </w:r>
      <w:r w:rsidRPr="008E6E1F">
        <w:rPr>
          <w:rFonts w:ascii="Arial" w:hAnsi="Arial" w:cs="Arial"/>
          <w:sz w:val="20"/>
          <w:szCs w:val="20"/>
        </w:rPr>
        <w:t xml:space="preserve">RSAI Professional Advocate, </w:t>
      </w:r>
      <w:hyperlink r:id="rId18" w:history="1">
        <w:r w:rsidRPr="008E6E1F">
          <w:rPr>
            <w:rStyle w:val="Hyperlink"/>
            <w:rFonts w:ascii="Arial" w:hAnsi="Arial" w:cs="Arial"/>
            <w:sz w:val="20"/>
            <w:szCs w:val="20"/>
          </w:rPr>
          <w:t>Margaret.buckton@isfis.net</w:t>
        </w:r>
      </w:hyperlink>
      <w:r w:rsidRPr="008E6E1F">
        <w:rPr>
          <w:rFonts w:ascii="Arial" w:hAnsi="Arial" w:cs="Arial"/>
          <w:sz w:val="20"/>
          <w:szCs w:val="20"/>
        </w:rPr>
        <w:t xml:space="preserve">  515.201.3755</w:t>
      </w:r>
    </w:p>
    <w:p w:rsidR="008025EE" w:rsidRDefault="008025EE" w:rsidP="008025EE">
      <w:pPr>
        <w:tabs>
          <w:tab w:val="left" w:pos="912"/>
        </w:tabs>
        <w:spacing w:after="0" w:line="240" w:lineRule="auto"/>
        <w:rPr>
          <w:rStyle w:val="Hyperlink"/>
          <w:rFonts w:ascii="Arial" w:hAnsi="Arial" w:cs="Arial"/>
          <w:sz w:val="20"/>
          <w:szCs w:val="20"/>
        </w:rPr>
      </w:pPr>
      <w:r w:rsidRPr="008E6E1F">
        <w:rPr>
          <w:rFonts w:ascii="Arial" w:hAnsi="Arial" w:cs="Arial"/>
          <w:sz w:val="20"/>
          <w:szCs w:val="20"/>
        </w:rPr>
        <w:t xml:space="preserve">Robert Olson, </w:t>
      </w:r>
      <w:r>
        <w:rPr>
          <w:rFonts w:ascii="Arial" w:hAnsi="Arial" w:cs="Arial"/>
          <w:sz w:val="20"/>
          <w:szCs w:val="20"/>
        </w:rPr>
        <w:t xml:space="preserve">Chair, </w:t>
      </w:r>
      <w:r w:rsidRPr="008E6E1F">
        <w:rPr>
          <w:rFonts w:ascii="Arial" w:hAnsi="Arial" w:cs="Arial"/>
          <w:sz w:val="20"/>
          <w:szCs w:val="20"/>
        </w:rPr>
        <w:t>Clarion-Goldfield/Dows,</w:t>
      </w:r>
      <w:r>
        <w:rPr>
          <w:rFonts w:ascii="Arial" w:hAnsi="Arial" w:cs="Arial"/>
          <w:sz w:val="20"/>
          <w:szCs w:val="20"/>
        </w:rPr>
        <w:t xml:space="preserve"> </w:t>
      </w:r>
      <w:r w:rsidRPr="008E6E1F">
        <w:rPr>
          <w:rFonts w:ascii="Arial" w:hAnsi="Arial" w:cs="Arial"/>
          <w:sz w:val="20"/>
          <w:szCs w:val="20"/>
        </w:rPr>
        <w:t>Superintendent, </w:t>
      </w:r>
      <w:hyperlink r:id="rId19" w:history="1">
        <w:r w:rsidRPr="008E6E1F">
          <w:rPr>
            <w:rStyle w:val="Hyperlink"/>
            <w:rFonts w:ascii="Arial" w:hAnsi="Arial" w:cs="Arial"/>
            <w:sz w:val="20"/>
            <w:szCs w:val="20"/>
          </w:rPr>
          <w:t>robert.olson@rsaia.org</w:t>
        </w:r>
      </w:hyperlink>
    </w:p>
    <w:p w:rsidR="008025EE" w:rsidRDefault="008025EE" w:rsidP="008025EE">
      <w:pPr>
        <w:tabs>
          <w:tab w:val="left" w:pos="912"/>
        </w:tabs>
        <w:spacing w:after="0" w:line="240" w:lineRule="auto"/>
        <w:rPr>
          <w:rFonts w:ascii="Arial" w:hAnsi="Arial" w:cs="Arial"/>
          <w:sz w:val="20"/>
          <w:szCs w:val="20"/>
        </w:rPr>
      </w:pPr>
      <w:r>
        <w:rPr>
          <w:rFonts w:ascii="Arial" w:hAnsi="Arial" w:cs="Arial"/>
          <w:sz w:val="20"/>
          <w:szCs w:val="20"/>
        </w:rPr>
        <w:t>Dennis McClain</w:t>
      </w:r>
      <w:r w:rsidRPr="008E6E1F">
        <w:rPr>
          <w:rFonts w:ascii="Arial" w:hAnsi="Arial" w:cs="Arial"/>
          <w:sz w:val="20"/>
          <w:szCs w:val="20"/>
        </w:rPr>
        <w:t xml:space="preserve">, </w:t>
      </w:r>
      <w:r>
        <w:rPr>
          <w:rFonts w:ascii="Arial" w:hAnsi="Arial" w:cs="Arial"/>
          <w:sz w:val="20"/>
          <w:szCs w:val="20"/>
        </w:rPr>
        <w:t xml:space="preserve">Vice-Chair, Clay Central </w:t>
      </w:r>
      <w:proofErr w:type="spellStart"/>
      <w:r>
        <w:rPr>
          <w:rFonts w:ascii="Arial" w:hAnsi="Arial" w:cs="Arial"/>
          <w:sz w:val="20"/>
          <w:szCs w:val="20"/>
        </w:rPr>
        <w:t>Everly</w:t>
      </w:r>
      <w:proofErr w:type="spellEnd"/>
      <w:r w:rsidRPr="008E6E1F">
        <w:rPr>
          <w:rFonts w:ascii="Arial" w:hAnsi="Arial" w:cs="Arial"/>
          <w:sz w:val="20"/>
          <w:szCs w:val="20"/>
        </w:rPr>
        <w:t xml:space="preserve">, </w:t>
      </w:r>
      <w:r>
        <w:rPr>
          <w:rFonts w:ascii="Arial" w:hAnsi="Arial" w:cs="Arial"/>
          <w:sz w:val="20"/>
          <w:szCs w:val="20"/>
        </w:rPr>
        <w:t>S</w:t>
      </w:r>
      <w:r w:rsidRPr="008E6E1F">
        <w:rPr>
          <w:rFonts w:ascii="Arial" w:hAnsi="Arial" w:cs="Arial"/>
          <w:sz w:val="20"/>
          <w:szCs w:val="20"/>
        </w:rPr>
        <w:t>uperintendent, </w:t>
      </w:r>
      <w:hyperlink r:id="rId20" w:history="1">
        <w:r w:rsidRPr="00E96916">
          <w:rPr>
            <w:rStyle w:val="Hyperlink"/>
            <w:rFonts w:ascii="Arial" w:hAnsi="Arial" w:cs="Arial"/>
            <w:sz w:val="20"/>
            <w:szCs w:val="20"/>
          </w:rPr>
          <w:t>dmcclain@claycentraleverly.org</w:t>
        </w:r>
      </w:hyperlink>
    </w:p>
    <w:p w:rsidR="008025EE" w:rsidRDefault="008025EE" w:rsidP="008025EE">
      <w:pPr>
        <w:tabs>
          <w:tab w:val="left" w:pos="912"/>
        </w:tabs>
        <w:spacing w:after="0" w:line="240" w:lineRule="auto"/>
        <w:rPr>
          <w:rStyle w:val="Hyperlink"/>
          <w:rFonts w:ascii="Arial" w:hAnsi="Arial" w:cs="Arial"/>
          <w:sz w:val="20"/>
          <w:szCs w:val="20"/>
        </w:rPr>
      </w:pPr>
      <w:r w:rsidRPr="008E6E1F">
        <w:rPr>
          <w:rFonts w:ascii="Arial" w:hAnsi="Arial" w:cs="Arial"/>
          <w:sz w:val="20"/>
          <w:szCs w:val="20"/>
        </w:rPr>
        <w:t xml:space="preserve">Kevin </w:t>
      </w:r>
      <w:proofErr w:type="spellStart"/>
      <w:r w:rsidRPr="008E6E1F">
        <w:rPr>
          <w:rFonts w:ascii="Arial" w:hAnsi="Arial" w:cs="Arial"/>
          <w:sz w:val="20"/>
          <w:szCs w:val="20"/>
        </w:rPr>
        <w:t>Fiene</w:t>
      </w:r>
      <w:proofErr w:type="spellEnd"/>
      <w:r w:rsidRPr="008E6E1F">
        <w:rPr>
          <w:rFonts w:ascii="Arial" w:hAnsi="Arial" w:cs="Arial"/>
          <w:sz w:val="20"/>
          <w:szCs w:val="20"/>
        </w:rPr>
        <w:t xml:space="preserve">, </w:t>
      </w:r>
      <w:r>
        <w:rPr>
          <w:rFonts w:ascii="Arial" w:hAnsi="Arial" w:cs="Arial"/>
          <w:sz w:val="20"/>
          <w:szCs w:val="20"/>
        </w:rPr>
        <w:t xml:space="preserve">Secretary/Treasurer, </w:t>
      </w:r>
      <w:r w:rsidRPr="008E6E1F">
        <w:rPr>
          <w:rFonts w:ascii="Arial" w:hAnsi="Arial" w:cs="Arial"/>
          <w:sz w:val="20"/>
          <w:szCs w:val="20"/>
        </w:rPr>
        <w:t>I-35, Superintendent, </w:t>
      </w:r>
      <w:hyperlink r:id="rId21" w:history="1">
        <w:r w:rsidRPr="008E6E1F">
          <w:rPr>
            <w:rStyle w:val="Hyperlink"/>
            <w:rFonts w:ascii="Arial" w:hAnsi="Arial" w:cs="Arial"/>
            <w:sz w:val="20"/>
            <w:szCs w:val="20"/>
          </w:rPr>
          <w:t>kevin.fiene@rsaia.org</w:t>
        </w:r>
      </w:hyperlink>
    </w:p>
    <w:p w:rsidR="008025EE" w:rsidRDefault="008025EE" w:rsidP="008025EE">
      <w:pPr>
        <w:tabs>
          <w:tab w:val="left" w:pos="912"/>
        </w:tabs>
        <w:spacing w:after="0" w:line="240" w:lineRule="auto"/>
        <w:rPr>
          <w:rFonts w:ascii="Arial" w:hAnsi="Arial" w:cs="Arial"/>
          <w:sz w:val="20"/>
          <w:szCs w:val="20"/>
        </w:rPr>
      </w:pPr>
      <w:r w:rsidRPr="008E6E1F">
        <w:rPr>
          <w:rFonts w:ascii="Arial" w:hAnsi="Arial" w:cs="Arial"/>
          <w:sz w:val="20"/>
          <w:szCs w:val="20"/>
        </w:rPr>
        <w:t xml:space="preserve">Brad </w:t>
      </w:r>
      <w:proofErr w:type="spellStart"/>
      <w:r w:rsidRPr="008E6E1F">
        <w:rPr>
          <w:rFonts w:ascii="Arial" w:hAnsi="Arial" w:cs="Arial"/>
          <w:sz w:val="20"/>
          <w:szCs w:val="20"/>
        </w:rPr>
        <w:t>Breon</w:t>
      </w:r>
      <w:proofErr w:type="spellEnd"/>
      <w:r w:rsidRPr="008E6E1F">
        <w:rPr>
          <w:rFonts w:ascii="Arial" w:hAnsi="Arial" w:cs="Arial"/>
          <w:sz w:val="20"/>
          <w:szCs w:val="20"/>
        </w:rPr>
        <w:t>, Moravia/Seymour, Superintendent, </w:t>
      </w:r>
      <w:hyperlink r:id="rId22" w:history="1">
        <w:r w:rsidRPr="00100DBC">
          <w:rPr>
            <w:rStyle w:val="Hyperlink"/>
            <w:rFonts w:ascii="Arial" w:hAnsi="Arial" w:cs="Arial"/>
            <w:sz w:val="20"/>
            <w:szCs w:val="20"/>
          </w:rPr>
          <w:t>brad.breon@rsaia.org</w:t>
        </w:r>
      </w:hyperlink>
      <w:r>
        <w:rPr>
          <w:rFonts w:ascii="Arial" w:hAnsi="Arial" w:cs="Arial"/>
          <w:sz w:val="20"/>
          <w:szCs w:val="20"/>
        </w:rPr>
        <w:t xml:space="preserve">  </w:t>
      </w:r>
    </w:p>
    <w:p w:rsidR="008025EE" w:rsidRDefault="008025EE" w:rsidP="008025EE">
      <w:pPr>
        <w:tabs>
          <w:tab w:val="left" w:pos="912"/>
        </w:tabs>
        <w:spacing w:after="0" w:line="240" w:lineRule="auto"/>
      </w:pPr>
      <w:r>
        <w:rPr>
          <w:rFonts w:ascii="Arial" w:hAnsi="Arial" w:cs="Arial"/>
          <w:sz w:val="20"/>
          <w:szCs w:val="20"/>
        </w:rPr>
        <w:t xml:space="preserve">Paul </w:t>
      </w:r>
      <w:proofErr w:type="spellStart"/>
      <w:r>
        <w:rPr>
          <w:rFonts w:ascii="Arial" w:hAnsi="Arial" w:cs="Arial"/>
          <w:sz w:val="20"/>
          <w:szCs w:val="20"/>
        </w:rPr>
        <w:t>Croghan</w:t>
      </w:r>
      <w:proofErr w:type="spellEnd"/>
      <w:r w:rsidRPr="008E6E1F">
        <w:rPr>
          <w:rFonts w:ascii="Arial" w:hAnsi="Arial" w:cs="Arial"/>
          <w:sz w:val="20"/>
          <w:szCs w:val="20"/>
        </w:rPr>
        <w:t xml:space="preserve">, </w:t>
      </w:r>
      <w:r>
        <w:rPr>
          <w:rFonts w:ascii="Arial" w:hAnsi="Arial" w:cs="Arial"/>
          <w:sz w:val="20"/>
          <w:szCs w:val="20"/>
        </w:rPr>
        <w:t>East Mills</w:t>
      </w:r>
      <w:r w:rsidRPr="008E6E1F">
        <w:rPr>
          <w:rFonts w:ascii="Arial" w:hAnsi="Arial" w:cs="Arial"/>
          <w:sz w:val="20"/>
          <w:szCs w:val="20"/>
        </w:rPr>
        <w:t>,</w:t>
      </w:r>
      <w:r>
        <w:rPr>
          <w:rFonts w:ascii="Arial" w:hAnsi="Arial" w:cs="Arial"/>
          <w:sz w:val="20"/>
          <w:szCs w:val="20"/>
        </w:rPr>
        <w:t xml:space="preserve"> Superintendent,</w:t>
      </w:r>
      <w:r w:rsidRPr="008E6E1F">
        <w:rPr>
          <w:rFonts w:ascii="Arial" w:hAnsi="Arial" w:cs="Arial"/>
          <w:sz w:val="20"/>
          <w:szCs w:val="20"/>
        </w:rPr>
        <w:t> </w:t>
      </w:r>
      <w:hyperlink r:id="rId23" w:history="1">
        <w:r w:rsidRPr="00E96916">
          <w:rPr>
            <w:rStyle w:val="Hyperlink"/>
          </w:rPr>
          <w:t>pcroghan@emschools.org</w:t>
        </w:r>
      </w:hyperlink>
      <w:r>
        <w:t xml:space="preserve">, </w:t>
      </w:r>
    </w:p>
    <w:p w:rsidR="008025EE" w:rsidRPr="008E6E1F" w:rsidRDefault="008025EE" w:rsidP="008025EE">
      <w:pPr>
        <w:tabs>
          <w:tab w:val="left" w:pos="912"/>
        </w:tabs>
        <w:spacing w:after="0" w:line="240" w:lineRule="auto"/>
        <w:rPr>
          <w:rFonts w:ascii="Arial" w:hAnsi="Arial" w:cs="Arial"/>
          <w:sz w:val="20"/>
          <w:szCs w:val="20"/>
        </w:rPr>
      </w:pPr>
      <w:r w:rsidRPr="008E6E1F">
        <w:rPr>
          <w:rFonts w:ascii="Arial" w:hAnsi="Arial" w:cs="Arial"/>
          <w:sz w:val="20"/>
          <w:szCs w:val="20"/>
        </w:rPr>
        <w:t>Dan Smith, Harmony, Board President, </w:t>
      </w:r>
      <w:hyperlink r:id="rId24" w:history="1">
        <w:r w:rsidRPr="008E6E1F">
          <w:rPr>
            <w:rStyle w:val="Hyperlink"/>
            <w:rFonts w:ascii="Arial" w:hAnsi="Arial" w:cs="Arial"/>
            <w:sz w:val="20"/>
            <w:szCs w:val="20"/>
          </w:rPr>
          <w:t>dan.smith@rsaia.org</w:t>
        </w:r>
      </w:hyperlink>
      <w:r w:rsidRPr="008E6E1F">
        <w:rPr>
          <w:rFonts w:ascii="Arial" w:hAnsi="Arial" w:cs="Arial"/>
          <w:sz w:val="20"/>
          <w:szCs w:val="20"/>
        </w:rPr>
        <w:t xml:space="preserve">  </w:t>
      </w:r>
    </w:p>
    <w:p w:rsidR="008025EE" w:rsidRDefault="008025EE" w:rsidP="008025EE">
      <w:pPr>
        <w:tabs>
          <w:tab w:val="left" w:pos="912"/>
        </w:tabs>
        <w:spacing w:after="0" w:line="240" w:lineRule="auto"/>
        <w:rPr>
          <w:rStyle w:val="Hyperlink"/>
          <w:rFonts w:ascii="Arial" w:hAnsi="Arial" w:cs="Arial"/>
          <w:sz w:val="20"/>
          <w:szCs w:val="20"/>
        </w:rPr>
      </w:pPr>
      <w:r w:rsidRPr="008E6E1F">
        <w:rPr>
          <w:rFonts w:ascii="Arial" w:hAnsi="Arial" w:cs="Arial"/>
          <w:sz w:val="20"/>
          <w:szCs w:val="20"/>
        </w:rPr>
        <w:t xml:space="preserve">Lee Ann </w:t>
      </w:r>
      <w:proofErr w:type="spellStart"/>
      <w:r w:rsidRPr="008E6E1F">
        <w:rPr>
          <w:rFonts w:ascii="Arial" w:hAnsi="Arial" w:cs="Arial"/>
          <w:sz w:val="20"/>
          <w:szCs w:val="20"/>
        </w:rPr>
        <w:t>Grimley</w:t>
      </w:r>
      <w:proofErr w:type="spellEnd"/>
      <w:r w:rsidRPr="008E6E1F">
        <w:rPr>
          <w:rFonts w:ascii="Arial" w:hAnsi="Arial" w:cs="Arial"/>
          <w:sz w:val="20"/>
          <w:szCs w:val="20"/>
        </w:rPr>
        <w:t>, Springville, Board President, </w:t>
      </w:r>
      <w:hyperlink r:id="rId25" w:history="1">
        <w:r w:rsidRPr="008E6E1F">
          <w:rPr>
            <w:rStyle w:val="Hyperlink"/>
            <w:rFonts w:ascii="Arial" w:hAnsi="Arial" w:cs="Arial"/>
            <w:sz w:val="20"/>
            <w:szCs w:val="20"/>
          </w:rPr>
          <w:t>leeann.grimley@rsaia.org</w:t>
        </w:r>
      </w:hyperlink>
    </w:p>
    <w:p w:rsidR="008025EE" w:rsidRDefault="008025EE" w:rsidP="008025EE">
      <w:pPr>
        <w:tabs>
          <w:tab w:val="left" w:pos="912"/>
        </w:tabs>
        <w:spacing w:after="0" w:line="240" w:lineRule="auto"/>
        <w:rPr>
          <w:sz w:val="20"/>
        </w:rPr>
      </w:pPr>
    </w:p>
    <w:p w:rsidR="00575BB9" w:rsidRDefault="00575BB9">
      <w:pPr>
        <w:rPr>
          <w:rFonts w:ascii="Arial" w:hAnsi="Arial" w:cs="Arial"/>
          <w:b/>
          <w:szCs w:val="20"/>
        </w:rPr>
      </w:pPr>
      <w:r>
        <w:rPr>
          <w:rFonts w:ascii="Arial" w:hAnsi="Arial" w:cs="Arial"/>
          <w:b/>
          <w:szCs w:val="20"/>
        </w:rPr>
        <w:br w:type="page"/>
      </w:r>
    </w:p>
    <w:p w:rsidR="00654014" w:rsidRDefault="00575BB9" w:rsidP="00312E07">
      <w:pPr>
        <w:shd w:val="clear" w:color="auto" w:fill="FFFFFF"/>
        <w:tabs>
          <w:tab w:val="left" w:pos="8440"/>
        </w:tabs>
        <w:spacing w:before="240" w:after="0" w:line="240" w:lineRule="auto"/>
        <w:rPr>
          <w:rFonts w:ascii="Arial" w:hAnsi="Arial" w:cs="Arial"/>
          <w:b/>
          <w:szCs w:val="20"/>
        </w:rPr>
      </w:pPr>
      <w:r>
        <w:rPr>
          <w:rFonts w:ascii="Arial" w:hAnsi="Arial" w:cs="Arial"/>
          <w:b/>
          <w:szCs w:val="20"/>
        </w:rPr>
        <w:lastRenderedPageBreak/>
        <w:t>Bills Introduced this week:</w:t>
      </w:r>
    </w:p>
    <w:tbl>
      <w:tblPr>
        <w:tblStyle w:val="TableGrid"/>
        <w:tblW w:w="0" w:type="auto"/>
        <w:tblLook w:val="04A0" w:firstRow="1" w:lastRow="0" w:firstColumn="1" w:lastColumn="0" w:noHBand="0" w:noVBand="1"/>
      </w:tblPr>
      <w:tblGrid>
        <w:gridCol w:w="985"/>
        <w:gridCol w:w="6660"/>
        <w:gridCol w:w="1705"/>
      </w:tblGrid>
      <w:tr w:rsidR="00F3760C" w:rsidTr="00000824">
        <w:tc>
          <w:tcPr>
            <w:tcW w:w="985" w:type="dxa"/>
          </w:tcPr>
          <w:p w:rsidR="00F3760C" w:rsidRPr="00000824" w:rsidRDefault="00F3760C" w:rsidP="00B43090">
            <w:pPr>
              <w:tabs>
                <w:tab w:val="left" w:pos="8440"/>
              </w:tabs>
              <w:rPr>
                <w:rFonts w:ascii="Arial" w:hAnsi="Arial" w:cs="Arial"/>
                <w:b/>
                <w:sz w:val="20"/>
                <w:szCs w:val="20"/>
              </w:rPr>
            </w:pPr>
            <w:r w:rsidRPr="00000824">
              <w:rPr>
                <w:rFonts w:ascii="Arial" w:hAnsi="Arial" w:cs="Arial"/>
                <w:b/>
                <w:sz w:val="20"/>
                <w:szCs w:val="20"/>
              </w:rPr>
              <w:t>Bill</w:t>
            </w:r>
          </w:p>
        </w:tc>
        <w:tc>
          <w:tcPr>
            <w:tcW w:w="6660" w:type="dxa"/>
          </w:tcPr>
          <w:p w:rsidR="00F3760C" w:rsidRPr="00000824" w:rsidRDefault="00F3760C" w:rsidP="00B43090">
            <w:pPr>
              <w:tabs>
                <w:tab w:val="left" w:pos="8440"/>
              </w:tabs>
              <w:rPr>
                <w:rFonts w:ascii="Arial" w:hAnsi="Arial" w:cs="Arial"/>
                <w:b/>
                <w:sz w:val="20"/>
                <w:szCs w:val="20"/>
              </w:rPr>
            </w:pPr>
            <w:r w:rsidRPr="00000824">
              <w:rPr>
                <w:rFonts w:ascii="Arial" w:hAnsi="Arial" w:cs="Arial"/>
                <w:b/>
                <w:sz w:val="20"/>
                <w:szCs w:val="20"/>
              </w:rPr>
              <w:t>Title</w:t>
            </w:r>
          </w:p>
        </w:tc>
        <w:tc>
          <w:tcPr>
            <w:tcW w:w="1705" w:type="dxa"/>
          </w:tcPr>
          <w:p w:rsidR="00F3760C" w:rsidRPr="00000824" w:rsidRDefault="00F3760C" w:rsidP="00000824">
            <w:pPr>
              <w:tabs>
                <w:tab w:val="left" w:pos="8440"/>
              </w:tabs>
              <w:rPr>
                <w:rFonts w:ascii="Arial" w:hAnsi="Arial" w:cs="Arial"/>
                <w:b/>
                <w:sz w:val="20"/>
                <w:szCs w:val="20"/>
              </w:rPr>
            </w:pPr>
            <w:r w:rsidRPr="00000824">
              <w:rPr>
                <w:rFonts w:ascii="Arial" w:hAnsi="Arial" w:cs="Arial"/>
                <w:b/>
                <w:sz w:val="20"/>
                <w:szCs w:val="20"/>
              </w:rPr>
              <w:t xml:space="preserve">RSAI </w:t>
            </w:r>
            <w:r w:rsidR="00000824">
              <w:rPr>
                <w:rFonts w:ascii="Arial" w:hAnsi="Arial" w:cs="Arial"/>
                <w:b/>
                <w:sz w:val="20"/>
                <w:szCs w:val="20"/>
              </w:rPr>
              <w:t>Position</w:t>
            </w:r>
          </w:p>
        </w:tc>
      </w:tr>
      <w:tr w:rsidR="001237C0" w:rsidTr="00000824">
        <w:tc>
          <w:tcPr>
            <w:tcW w:w="985" w:type="dxa"/>
          </w:tcPr>
          <w:p w:rsidR="001237C0" w:rsidRDefault="00791945" w:rsidP="00B43090">
            <w:pPr>
              <w:tabs>
                <w:tab w:val="left" w:pos="8440"/>
              </w:tabs>
              <w:rPr>
                <w:rFonts w:ascii="Arial" w:hAnsi="Arial" w:cs="Arial"/>
                <w:sz w:val="20"/>
                <w:szCs w:val="20"/>
              </w:rPr>
            </w:pPr>
            <w:r>
              <w:rPr>
                <w:rFonts w:ascii="Arial" w:hAnsi="Arial" w:cs="Arial"/>
                <w:sz w:val="20"/>
                <w:szCs w:val="20"/>
              </w:rPr>
              <w:t>HF 8</w:t>
            </w:r>
          </w:p>
        </w:tc>
        <w:tc>
          <w:tcPr>
            <w:tcW w:w="6660" w:type="dxa"/>
          </w:tcPr>
          <w:p w:rsidR="001237C0" w:rsidRDefault="00791945" w:rsidP="00791945">
            <w:pPr>
              <w:tabs>
                <w:tab w:val="left" w:pos="8440"/>
              </w:tabs>
              <w:rPr>
                <w:rFonts w:ascii="Arial" w:hAnsi="Arial" w:cs="Arial"/>
                <w:sz w:val="20"/>
                <w:szCs w:val="20"/>
              </w:rPr>
            </w:pPr>
            <w:r w:rsidRPr="00000824">
              <w:rPr>
                <w:rFonts w:ascii="Arial" w:hAnsi="Arial" w:cs="Arial"/>
                <w:b/>
                <w:sz w:val="20"/>
                <w:szCs w:val="20"/>
              </w:rPr>
              <w:t>Teacher Demonstration Projects</w:t>
            </w:r>
            <w:r>
              <w:rPr>
                <w:rFonts w:ascii="Arial" w:hAnsi="Arial" w:cs="Arial"/>
                <w:sz w:val="20"/>
                <w:szCs w:val="20"/>
              </w:rPr>
              <w:t xml:space="preserve"> by Willis. Allows a cluster of schools in the district to be part of a project, eliminates tenure, includes market-based competition, performance-based accountability and a formal mentoring system. Must include an alternative training program to train new hires with BA degree in a content area. </w:t>
            </w:r>
          </w:p>
        </w:tc>
        <w:tc>
          <w:tcPr>
            <w:tcW w:w="1705" w:type="dxa"/>
          </w:tcPr>
          <w:p w:rsidR="001237C0" w:rsidRDefault="00791945" w:rsidP="00B43090">
            <w:pPr>
              <w:tabs>
                <w:tab w:val="left" w:pos="8440"/>
              </w:tabs>
              <w:rPr>
                <w:rFonts w:ascii="Arial" w:hAnsi="Arial" w:cs="Arial"/>
                <w:sz w:val="20"/>
                <w:szCs w:val="20"/>
              </w:rPr>
            </w:pPr>
            <w:r>
              <w:rPr>
                <w:rFonts w:ascii="Arial" w:hAnsi="Arial" w:cs="Arial"/>
                <w:sz w:val="20"/>
                <w:szCs w:val="20"/>
              </w:rPr>
              <w:t>Pending</w:t>
            </w:r>
          </w:p>
        </w:tc>
      </w:tr>
      <w:tr w:rsidR="001237C0" w:rsidTr="00000824">
        <w:tc>
          <w:tcPr>
            <w:tcW w:w="985" w:type="dxa"/>
          </w:tcPr>
          <w:p w:rsidR="001237C0" w:rsidRDefault="00791945" w:rsidP="00B43090">
            <w:pPr>
              <w:tabs>
                <w:tab w:val="left" w:pos="8440"/>
              </w:tabs>
              <w:rPr>
                <w:rFonts w:ascii="Arial" w:hAnsi="Arial" w:cs="Arial"/>
                <w:sz w:val="20"/>
                <w:szCs w:val="20"/>
              </w:rPr>
            </w:pPr>
            <w:r>
              <w:rPr>
                <w:rFonts w:ascii="Arial" w:hAnsi="Arial" w:cs="Arial"/>
                <w:sz w:val="20"/>
                <w:szCs w:val="20"/>
              </w:rPr>
              <w:t>HF 9</w:t>
            </w:r>
          </w:p>
        </w:tc>
        <w:tc>
          <w:tcPr>
            <w:tcW w:w="6660" w:type="dxa"/>
          </w:tcPr>
          <w:p w:rsidR="001237C0" w:rsidRDefault="00791945" w:rsidP="00791945">
            <w:pPr>
              <w:tabs>
                <w:tab w:val="left" w:pos="8440"/>
              </w:tabs>
              <w:rPr>
                <w:rFonts w:ascii="Arial" w:hAnsi="Arial" w:cs="Arial"/>
                <w:sz w:val="20"/>
                <w:szCs w:val="20"/>
              </w:rPr>
            </w:pPr>
            <w:r w:rsidRPr="00000824">
              <w:rPr>
                <w:rFonts w:ascii="Arial" w:hAnsi="Arial" w:cs="Arial"/>
                <w:b/>
                <w:sz w:val="20"/>
                <w:szCs w:val="20"/>
              </w:rPr>
              <w:t>Low-Achieving Schools/Charters</w:t>
            </w:r>
            <w:r>
              <w:rPr>
                <w:rFonts w:ascii="Arial" w:hAnsi="Arial" w:cs="Arial"/>
                <w:sz w:val="20"/>
                <w:szCs w:val="20"/>
              </w:rPr>
              <w:t xml:space="preserve"> by Willis:  Allow 50% of parents to petition for closure of a low-performing school (identified by USDOE). Requires school boards to reallocate students to other school in the district and if lacking space, to issue vouchers to parents. Prohibits private schools from sharing the vouchers with parents. Also allows parents (50%) to change an existing school into a charter school without requiring support of teachers.</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Opposed</w:t>
            </w:r>
          </w:p>
        </w:tc>
      </w:tr>
      <w:tr w:rsidR="001237C0" w:rsidTr="00000824">
        <w:tc>
          <w:tcPr>
            <w:tcW w:w="985" w:type="dxa"/>
          </w:tcPr>
          <w:p w:rsidR="001237C0" w:rsidRDefault="00791945" w:rsidP="00B43090">
            <w:pPr>
              <w:tabs>
                <w:tab w:val="left" w:pos="8440"/>
              </w:tabs>
              <w:rPr>
                <w:rFonts w:ascii="Arial" w:hAnsi="Arial" w:cs="Arial"/>
                <w:sz w:val="20"/>
                <w:szCs w:val="20"/>
              </w:rPr>
            </w:pPr>
            <w:r>
              <w:rPr>
                <w:rFonts w:ascii="Arial" w:hAnsi="Arial" w:cs="Arial"/>
                <w:sz w:val="20"/>
                <w:szCs w:val="20"/>
              </w:rPr>
              <w:t>HF 17</w:t>
            </w:r>
          </w:p>
        </w:tc>
        <w:tc>
          <w:tcPr>
            <w:tcW w:w="6660" w:type="dxa"/>
          </w:tcPr>
          <w:p w:rsidR="001237C0" w:rsidRDefault="00791945" w:rsidP="00791945">
            <w:pPr>
              <w:tabs>
                <w:tab w:val="left" w:pos="8440"/>
              </w:tabs>
              <w:rPr>
                <w:rFonts w:ascii="Arial" w:hAnsi="Arial" w:cs="Arial"/>
                <w:sz w:val="20"/>
                <w:szCs w:val="20"/>
              </w:rPr>
            </w:pPr>
            <w:r w:rsidRPr="00000824">
              <w:rPr>
                <w:rFonts w:ascii="Arial" w:hAnsi="Arial" w:cs="Arial"/>
                <w:b/>
                <w:sz w:val="20"/>
                <w:szCs w:val="20"/>
              </w:rPr>
              <w:t>High School Collision Sports</w:t>
            </w:r>
            <w:r>
              <w:rPr>
                <w:rFonts w:ascii="Arial" w:hAnsi="Arial" w:cs="Arial"/>
                <w:sz w:val="20"/>
                <w:szCs w:val="20"/>
              </w:rPr>
              <w:t xml:space="preserve"> by Jones. Requires coaches to have training in CPR and use of defibrillator. Allows current coaches until July 2018 to get training. Requires home team to have a health care professional for collision sports games and encourages for contact sports. Requires parent notification if a child gets a concussion.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Pending</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20</w:t>
            </w:r>
          </w:p>
        </w:tc>
        <w:tc>
          <w:tcPr>
            <w:tcW w:w="6660" w:type="dxa"/>
          </w:tcPr>
          <w:p w:rsidR="001237C0" w:rsidRDefault="007D00FA" w:rsidP="00000824">
            <w:pPr>
              <w:tabs>
                <w:tab w:val="left" w:pos="8440"/>
              </w:tabs>
              <w:rPr>
                <w:rFonts w:ascii="Arial" w:hAnsi="Arial" w:cs="Arial"/>
                <w:sz w:val="20"/>
                <w:szCs w:val="20"/>
              </w:rPr>
            </w:pPr>
            <w:r w:rsidRPr="00000824">
              <w:rPr>
                <w:rFonts w:ascii="Arial" w:hAnsi="Arial" w:cs="Arial"/>
                <w:b/>
                <w:sz w:val="20"/>
                <w:szCs w:val="20"/>
              </w:rPr>
              <w:t xml:space="preserve">Exploitation by </w:t>
            </w:r>
            <w:r w:rsidR="00000824">
              <w:rPr>
                <w:rFonts w:ascii="Arial" w:hAnsi="Arial" w:cs="Arial"/>
                <w:b/>
                <w:sz w:val="20"/>
                <w:szCs w:val="20"/>
              </w:rPr>
              <w:t>S</w:t>
            </w:r>
            <w:r w:rsidRPr="00000824">
              <w:rPr>
                <w:rFonts w:ascii="Arial" w:hAnsi="Arial" w:cs="Arial"/>
                <w:b/>
                <w:sz w:val="20"/>
                <w:szCs w:val="20"/>
              </w:rPr>
              <w:t xml:space="preserve">chool </w:t>
            </w:r>
            <w:r w:rsidR="00000824">
              <w:rPr>
                <w:rFonts w:ascii="Arial" w:hAnsi="Arial" w:cs="Arial"/>
                <w:b/>
                <w:sz w:val="20"/>
                <w:szCs w:val="20"/>
              </w:rPr>
              <w:t>E</w:t>
            </w:r>
            <w:r w:rsidRPr="00000824">
              <w:rPr>
                <w:rFonts w:ascii="Arial" w:hAnsi="Arial" w:cs="Arial"/>
                <w:b/>
                <w:sz w:val="20"/>
                <w:szCs w:val="20"/>
              </w:rPr>
              <w:t>mployees</w:t>
            </w:r>
            <w:r>
              <w:rPr>
                <w:rFonts w:ascii="Arial" w:hAnsi="Arial" w:cs="Arial"/>
                <w:sz w:val="20"/>
                <w:szCs w:val="20"/>
              </w:rPr>
              <w:t xml:space="preserve"> by Jones. Includes full and part time employees, substitute employees with a license, and contract employees and volunteer under the definition of school employee, but excludes those less than four years older than the student and not in a direct position of authority over the student.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Undecided</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21</w:t>
            </w:r>
          </w:p>
        </w:tc>
        <w:tc>
          <w:tcPr>
            <w:tcW w:w="6660" w:type="dxa"/>
          </w:tcPr>
          <w:p w:rsidR="001237C0" w:rsidRDefault="007D00FA" w:rsidP="007D00FA">
            <w:pPr>
              <w:tabs>
                <w:tab w:val="left" w:pos="8440"/>
              </w:tabs>
              <w:rPr>
                <w:rFonts w:ascii="Arial" w:hAnsi="Arial" w:cs="Arial"/>
                <w:sz w:val="20"/>
                <w:szCs w:val="20"/>
              </w:rPr>
            </w:pPr>
            <w:r w:rsidRPr="00000824">
              <w:rPr>
                <w:rFonts w:ascii="Arial" w:hAnsi="Arial" w:cs="Arial"/>
                <w:b/>
                <w:sz w:val="20"/>
                <w:szCs w:val="20"/>
              </w:rPr>
              <w:t>School Budget Adjustments</w:t>
            </w:r>
            <w:r>
              <w:rPr>
                <w:rFonts w:ascii="Arial" w:hAnsi="Arial" w:cs="Arial"/>
                <w:sz w:val="20"/>
                <w:szCs w:val="20"/>
              </w:rPr>
              <w:t xml:space="preserve"> by </w:t>
            </w:r>
            <w:proofErr w:type="spellStart"/>
            <w:r>
              <w:rPr>
                <w:rFonts w:ascii="Arial" w:hAnsi="Arial" w:cs="Arial"/>
                <w:sz w:val="20"/>
                <w:szCs w:val="20"/>
              </w:rPr>
              <w:t>Winckler</w:t>
            </w:r>
            <w:proofErr w:type="spellEnd"/>
            <w:r>
              <w:rPr>
                <w:rFonts w:ascii="Arial" w:hAnsi="Arial" w:cs="Arial"/>
                <w:sz w:val="20"/>
                <w:szCs w:val="20"/>
              </w:rPr>
              <w:t xml:space="preserve">.  Allows school board to adopt a school budget equity adjustment resolution, notify DOM, calculates the adjustment and requires it to be funded through unexpended fund balance or cash reserve.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Supports</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24</w:t>
            </w:r>
          </w:p>
        </w:tc>
        <w:tc>
          <w:tcPr>
            <w:tcW w:w="6660" w:type="dxa"/>
          </w:tcPr>
          <w:p w:rsidR="001237C0" w:rsidRDefault="007D00FA" w:rsidP="00B43090">
            <w:pPr>
              <w:tabs>
                <w:tab w:val="left" w:pos="8440"/>
              </w:tabs>
              <w:rPr>
                <w:rFonts w:ascii="Arial" w:hAnsi="Arial" w:cs="Arial"/>
                <w:sz w:val="20"/>
                <w:szCs w:val="20"/>
              </w:rPr>
            </w:pPr>
            <w:r w:rsidRPr="00000824">
              <w:rPr>
                <w:rFonts w:ascii="Arial" w:hAnsi="Arial" w:cs="Arial"/>
                <w:b/>
                <w:sz w:val="20"/>
                <w:szCs w:val="20"/>
              </w:rPr>
              <w:t>School Budget Supplement</w:t>
            </w:r>
            <w:r>
              <w:rPr>
                <w:rFonts w:ascii="Arial" w:hAnsi="Arial" w:cs="Arial"/>
                <w:sz w:val="20"/>
                <w:szCs w:val="20"/>
              </w:rPr>
              <w:t xml:space="preserve"> by Koester et al. Establishes a supplement for schools with increasing enrollment above the prior Oct. 1 enrollment used to calculate the budget. Appropriates $10 million for the supplement and requires proration if necessary.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Undecided</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25</w:t>
            </w:r>
          </w:p>
        </w:tc>
        <w:tc>
          <w:tcPr>
            <w:tcW w:w="6660" w:type="dxa"/>
          </w:tcPr>
          <w:p w:rsidR="001237C0" w:rsidRDefault="007D00FA" w:rsidP="00B43090">
            <w:pPr>
              <w:tabs>
                <w:tab w:val="left" w:pos="8440"/>
              </w:tabs>
              <w:rPr>
                <w:rFonts w:ascii="Arial" w:hAnsi="Arial" w:cs="Arial"/>
                <w:sz w:val="20"/>
                <w:szCs w:val="20"/>
              </w:rPr>
            </w:pPr>
            <w:r w:rsidRPr="00000824">
              <w:rPr>
                <w:rFonts w:ascii="Arial" w:hAnsi="Arial" w:cs="Arial"/>
                <w:b/>
                <w:sz w:val="20"/>
                <w:szCs w:val="20"/>
              </w:rPr>
              <w:t>PK Aid</w:t>
            </w:r>
            <w:r>
              <w:rPr>
                <w:rFonts w:ascii="Arial" w:hAnsi="Arial" w:cs="Arial"/>
                <w:sz w:val="20"/>
                <w:szCs w:val="20"/>
              </w:rPr>
              <w:t xml:space="preserve"> by Koester. If family is below 200% of the federal poverty level, creates an additional 0.5 supplementary weighting. Subtracts carry forward balance of PK aid from the next year’s supplement if unobligated and unexpended.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Undecided</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26</w:t>
            </w:r>
          </w:p>
        </w:tc>
        <w:tc>
          <w:tcPr>
            <w:tcW w:w="6660" w:type="dxa"/>
          </w:tcPr>
          <w:p w:rsidR="001237C0" w:rsidRDefault="007D00FA" w:rsidP="00000824">
            <w:pPr>
              <w:tabs>
                <w:tab w:val="left" w:pos="8440"/>
              </w:tabs>
              <w:rPr>
                <w:rFonts w:ascii="Arial" w:hAnsi="Arial" w:cs="Arial"/>
                <w:sz w:val="20"/>
                <w:szCs w:val="20"/>
              </w:rPr>
            </w:pPr>
            <w:r w:rsidRPr="00000824">
              <w:rPr>
                <w:rFonts w:ascii="Arial" w:hAnsi="Arial" w:cs="Arial"/>
                <w:b/>
                <w:sz w:val="20"/>
                <w:szCs w:val="20"/>
              </w:rPr>
              <w:t xml:space="preserve">School </w:t>
            </w:r>
            <w:r w:rsidR="00000824" w:rsidRPr="00000824">
              <w:rPr>
                <w:rFonts w:ascii="Arial" w:hAnsi="Arial" w:cs="Arial"/>
                <w:b/>
                <w:sz w:val="20"/>
                <w:szCs w:val="20"/>
              </w:rPr>
              <w:t>B</w:t>
            </w:r>
            <w:r w:rsidRPr="00000824">
              <w:rPr>
                <w:rFonts w:ascii="Arial" w:hAnsi="Arial" w:cs="Arial"/>
                <w:b/>
                <w:sz w:val="20"/>
                <w:szCs w:val="20"/>
              </w:rPr>
              <w:t xml:space="preserve">oard </w:t>
            </w:r>
            <w:r w:rsidR="00000824" w:rsidRPr="00000824">
              <w:rPr>
                <w:rFonts w:ascii="Arial" w:hAnsi="Arial" w:cs="Arial"/>
                <w:b/>
                <w:sz w:val="20"/>
                <w:szCs w:val="20"/>
              </w:rPr>
              <w:t>A</w:t>
            </w:r>
            <w:r w:rsidRPr="00000824">
              <w:rPr>
                <w:rFonts w:ascii="Arial" w:hAnsi="Arial" w:cs="Arial"/>
                <w:b/>
                <w:sz w:val="20"/>
                <w:szCs w:val="20"/>
              </w:rPr>
              <w:t>uthority</w:t>
            </w:r>
            <w:r>
              <w:rPr>
                <w:rFonts w:ascii="Arial" w:hAnsi="Arial" w:cs="Arial"/>
                <w:sz w:val="20"/>
                <w:szCs w:val="20"/>
              </w:rPr>
              <w:t xml:space="preserve"> by </w:t>
            </w:r>
            <w:proofErr w:type="spellStart"/>
            <w:r>
              <w:rPr>
                <w:rFonts w:ascii="Arial" w:hAnsi="Arial" w:cs="Arial"/>
                <w:sz w:val="20"/>
                <w:szCs w:val="20"/>
              </w:rPr>
              <w:t>Highfill</w:t>
            </w:r>
            <w:proofErr w:type="spellEnd"/>
            <w:r>
              <w:rPr>
                <w:rFonts w:ascii="Arial" w:hAnsi="Arial" w:cs="Arial"/>
                <w:sz w:val="20"/>
                <w:szCs w:val="20"/>
              </w:rPr>
              <w:t xml:space="preserve">.  Allows school boards to exercise any broad or implied power that is not inconsistent with state law for the operation of the schools.  Exempts authority to tax.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Supports</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28</w:t>
            </w:r>
          </w:p>
        </w:tc>
        <w:tc>
          <w:tcPr>
            <w:tcW w:w="6660" w:type="dxa"/>
          </w:tcPr>
          <w:p w:rsidR="001237C0" w:rsidRDefault="007D00FA" w:rsidP="00B43090">
            <w:pPr>
              <w:tabs>
                <w:tab w:val="left" w:pos="8440"/>
              </w:tabs>
              <w:rPr>
                <w:rFonts w:ascii="Arial" w:hAnsi="Arial" w:cs="Arial"/>
                <w:sz w:val="20"/>
                <w:szCs w:val="20"/>
              </w:rPr>
            </w:pPr>
            <w:r w:rsidRPr="00000824">
              <w:rPr>
                <w:rFonts w:ascii="Arial" w:hAnsi="Arial" w:cs="Arial"/>
                <w:b/>
                <w:sz w:val="20"/>
                <w:szCs w:val="20"/>
              </w:rPr>
              <w:t>Financial Literacy</w:t>
            </w:r>
            <w:r>
              <w:rPr>
                <w:rFonts w:ascii="Arial" w:hAnsi="Arial" w:cs="Arial"/>
                <w:sz w:val="20"/>
                <w:szCs w:val="20"/>
              </w:rPr>
              <w:t xml:space="preserve"> by </w:t>
            </w:r>
            <w:proofErr w:type="spellStart"/>
            <w:r>
              <w:rPr>
                <w:rFonts w:ascii="Arial" w:hAnsi="Arial" w:cs="Arial"/>
                <w:sz w:val="20"/>
                <w:szCs w:val="20"/>
              </w:rPr>
              <w:t>Pettengill</w:t>
            </w:r>
            <w:proofErr w:type="spellEnd"/>
            <w:r>
              <w:rPr>
                <w:rFonts w:ascii="Arial" w:hAnsi="Arial" w:cs="Arial"/>
                <w:sz w:val="20"/>
                <w:szCs w:val="20"/>
              </w:rPr>
              <w:t xml:space="preserve"> et al. Requires that schools offer a half-credit course in personal financial literacy and that it be a requirement for graduation.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Opposes</w:t>
            </w:r>
          </w:p>
        </w:tc>
      </w:tr>
      <w:tr w:rsidR="001237C0" w:rsidTr="00000824">
        <w:tc>
          <w:tcPr>
            <w:tcW w:w="985" w:type="dxa"/>
          </w:tcPr>
          <w:p w:rsidR="001237C0" w:rsidRDefault="007D00FA" w:rsidP="00B43090">
            <w:pPr>
              <w:tabs>
                <w:tab w:val="left" w:pos="8440"/>
              </w:tabs>
              <w:rPr>
                <w:rFonts w:ascii="Arial" w:hAnsi="Arial" w:cs="Arial"/>
                <w:sz w:val="20"/>
                <w:szCs w:val="20"/>
              </w:rPr>
            </w:pPr>
            <w:r>
              <w:rPr>
                <w:rFonts w:ascii="Arial" w:hAnsi="Arial" w:cs="Arial"/>
                <w:sz w:val="20"/>
                <w:szCs w:val="20"/>
              </w:rPr>
              <w:t>HF 29</w:t>
            </w:r>
          </w:p>
        </w:tc>
        <w:tc>
          <w:tcPr>
            <w:tcW w:w="6660" w:type="dxa"/>
          </w:tcPr>
          <w:p w:rsidR="001237C0" w:rsidRDefault="007D00FA" w:rsidP="00B43090">
            <w:pPr>
              <w:tabs>
                <w:tab w:val="left" w:pos="8440"/>
              </w:tabs>
              <w:rPr>
                <w:rFonts w:ascii="Arial" w:hAnsi="Arial" w:cs="Arial"/>
                <w:sz w:val="20"/>
                <w:szCs w:val="20"/>
              </w:rPr>
            </w:pPr>
            <w:r w:rsidRPr="00000824">
              <w:rPr>
                <w:rFonts w:ascii="Arial" w:hAnsi="Arial" w:cs="Arial"/>
                <w:b/>
                <w:sz w:val="20"/>
                <w:szCs w:val="20"/>
              </w:rPr>
              <w:t xml:space="preserve">Supplemental School Weighting </w:t>
            </w:r>
            <w:r w:rsidRPr="00000824">
              <w:rPr>
                <w:rFonts w:ascii="Arial" w:hAnsi="Arial" w:cs="Arial"/>
                <w:sz w:val="20"/>
                <w:szCs w:val="20"/>
              </w:rPr>
              <w:t>by Fisher.</w:t>
            </w:r>
            <w:r>
              <w:rPr>
                <w:rFonts w:ascii="Arial" w:hAnsi="Arial" w:cs="Arial"/>
                <w:sz w:val="20"/>
                <w:szCs w:val="20"/>
              </w:rPr>
              <w:t xml:space="preserve">  Includes principal as one of the positions that generates operational share weightings. Strikes provisions which limit the number of years that the weighting can be received. </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Supports</w:t>
            </w:r>
          </w:p>
        </w:tc>
      </w:tr>
      <w:tr w:rsidR="001237C0" w:rsidTr="00000824">
        <w:tc>
          <w:tcPr>
            <w:tcW w:w="985" w:type="dxa"/>
          </w:tcPr>
          <w:p w:rsidR="001237C0" w:rsidRDefault="00081BE1" w:rsidP="00B43090">
            <w:pPr>
              <w:tabs>
                <w:tab w:val="left" w:pos="8440"/>
              </w:tabs>
              <w:rPr>
                <w:rFonts w:ascii="Arial" w:hAnsi="Arial" w:cs="Arial"/>
                <w:sz w:val="20"/>
                <w:szCs w:val="20"/>
              </w:rPr>
            </w:pPr>
            <w:r>
              <w:rPr>
                <w:rFonts w:ascii="Arial" w:hAnsi="Arial" w:cs="Arial"/>
                <w:sz w:val="20"/>
                <w:szCs w:val="20"/>
              </w:rPr>
              <w:t>HSB 17</w:t>
            </w:r>
          </w:p>
        </w:tc>
        <w:tc>
          <w:tcPr>
            <w:tcW w:w="6660" w:type="dxa"/>
          </w:tcPr>
          <w:p w:rsidR="001237C0" w:rsidRDefault="00081BE1" w:rsidP="00F72461">
            <w:pPr>
              <w:tabs>
                <w:tab w:val="left" w:pos="8440"/>
              </w:tabs>
              <w:rPr>
                <w:rFonts w:ascii="Arial" w:hAnsi="Arial" w:cs="Arial"/>
                <w:sz w:val="20"/>
                <w:szCs w:val="20"/>
              </w:rPr>
            </w:pPr>
            <w:r w:rsidRPr="00000824">
              <w:rPr>
                <w:rFonts w:ascii="Arial" w:hAnsi="Arial" w:cs="Arial"/>
                <w:b/>
                <w:sz w:val="20"/>
                <w:szCs w:val="20"/>
              </w:rPr>
              <w:t>School Rep</w:t>
            </w:r>
            <w:r w:rsidR="008025EE" w:rsidRPr="00000824">
              <w:rPr>
                <w:rFonts w:ascii="Arial" w:hAnsi="Arial" w:cs="Arial"/>
                <w:b/>
                <w:sz w:val="20"/>
                <w:szCs w:val="20"/>
              </w:rPr>
              <w:t>orts on Drugs</w:t>
            </w:r>
            <w:r w:rsidR="00F72461" w:rsidRPr="00000824">
              <w:rPr>
                <w:rFonts w:ascii="Arial" w:hAnsi="Arial" w:cs="Arial"/>
                <w:b/>
                <w:sz w:val="20"/>
                <w:szCs w:val="20"/>
              </w:rPr>
              <w:t>/</w:t>
            </w:r>
            <w:r w:rsidR="008025EE" w:rsidRPr="00000824">
              <w:rPr>
                <w:rFonts w:ascii="Arial" w:hAnsi="Arial" w:cs="Arial"/>
                <w:b/>
                <w:sz w:val="20"/>
                <w:szCs w:val="20"/>
              </w:rPr>
              <w:t>Al</w:t>
            </w:r>
            <w:r w:rsidRPr="00000824">
              <w:rPr>
                <w:rFonts w:ascii="Arial" w:hAnsi="Arial" w:cs="Arial"/>
                <w:b/>
                <w:sz w:val="20"/>
                <w:szCs w:val="20"/>
              </w:rPr>
              <w:t>cohol</w:t>
            </w:r>
            <w:r>
              <w:rPr>
                <w:rFonts w:ascii="Arial" w:hAnsi="Arial" w:cs="Arial"/>
                <w:sz w:val="20"/>
                <w:szCs w:val="20"/>
              </w:rPr>
              <w:t xml:space="preserve"> by Education. Requires school administrators </w:t>
            </w:r>
            <w:r w:rsidR="00F72461">
              <w:rPr>
                <w:rFonts w:ascii="Arial" w:hAnsi="Arial" w:cs="Arial"/>
                <w:sz w:val="20"/>
                <w:szCs w:val="20"/>
              </w:rPr>
              <w:t xml:space="preserve">to </w:t>
            </w:r>
            <w:r>
              <w:rPr>
                <w:rFonts w:ascii="Arial" w:hAnsi="Arial" w:cs="Arial"/>
                <w:sz w:val="20"/>
                <w:szCs w:val="20"/>
              </w:rPr>
              <w:t>report disciplinary action taken against a licensed school employee for consuming, possessing, or being under the influence while on school grounds or at a school-sponsored activity.</w:t>
            </w:r>
          </w:p>
        </w:tc>
        <w:tc>
          <w:tcPr>
            <w:tcW w:w="1705" w:type="dxa"/>
          </w:tcPr>
          <w:p w:rsidR="001237C0" w:rsidRDefault="008025EE" w:rsidP="00B43090">
            <w:pPr>
              <w:tabs>
                <w:tab w:val="left" w:pos="8440"/>
              </w:tabs>
              <w:rPr>
                <w:rFonts w:ascii="Arial" w:hAnsi="Arial" w:cs="Arial"/>
                <w:sz w:val="20"/>
                <w:szCs w:val="20"/>
              </w:rPr>
            </w:pPr>
            <w:r>
              <w:rPr>
                <w:rFonts w:ascii="Arial" w:hAnsi="Arial" w:cs="Arial"/>
                <w:sz w:val="20"/>
                <w:szCs w:val="20"/>
              </w:rPr>
              <w:t>Pending</w:t>
            </w:r>
          </w:p>
        </w:tc>
      </w:tr>
      <w:tr w:rsidR="00A8597E" w:rsidTr="00000824">
        <w:tc>
          <w:tcPr>
            <w:tcW w:w="985" w:type="dxa"/>
          </w:tcPr>
          <w:p w:rsidR="00A8597E" w:rsidRDefault="00081BE1" w:rsidP="00B43090">
            <w:pPr>
              <w:tabs>
                <w:tab w:val="left" w:pos="8440"/>
              </w:tabs>
              <w:rPr>
                <w:rFonts w:ascii="Arial" w:hAnsi="Arial" w:cs="Arial"/>
                <w:sz w:val="20"/>
                <w:szCs w:val="20"/>
              </w:rPr>
            </w:pPr>
            <w:r>
              <w:rPr>
                <w:rFonts w:ascii="Arial" w:hAnsi="Arial" w:cs="Arial"/>
                <w:sz w:val="20"/>
                <w:szCs w:val="20"/>
              </w:rPr>
              <w:t>SF 98</w:t>
            </w:r>
          </w:p>
        </w:tc>
        <w:tc>
          <w:tcPr>
            <w:tcW w:w="6660" w:type="dxa"/>
          </w:tcPr>
          <w:p w:rsidR="00A8597E" w:rsidRDefault="00081BE1" w:rsidP="00B43090">
            <w:pPr>
              <w:tabs>
                <w:tab w:val="left" w:pos="8440"/>
              </w:tabs>
              <w:rPr>
                <w:rFonts w:ascii="Arial" w:hAnsi="Arial" w:cs="Arial"/>
                <w:sz w:val="20"/>
                <w:szCs w:val="20"/>
              </w:rPr>
            </w:pPr>
            <w:r w:rsidRPr="00000824">
              <w:rPr>
                <w:rFonts w:ascii="Arial" w:hAnsi="Arial" w:cs="Arial"/>
                <w:b/>
                <w:sz w:val="20"/>
                <w:szCs w:val="20"/>
              </w:rPr>
              <w:t>5-year Old PK</w:t>
            </w:r>
            <w:r>
              <w:rPr>
                <w:rFonts w:ascii="Arial" w:hAnsi="Arial" w:cs="Arial"/>
                <w:sz w:val="20"/>
                <w:szCs w:val="20"/>
              </w:rPr>
              <w:t xml:space="preserve">: Makes 5-year olds who haven’t been in a PK program eligible for the SWVPP. </w:t>
            </w:r>
          </w:p>
        </w:tc>
        <w:tc>
          <w:tcPr>
            <w:tcW w:w="1705" w:type="dxa"/>
          </w:tcPr>
          <w:p w:rsidR="00A8597E" w:rsidRDefault="008025EE" w:rsidP="00B43090">
            <w:pPr>
              <w:tabs>
                <w:tab w:val="left" w:pos="8440"/>
              </w:tabs>
              <w:rPr>
                <w:rFonts w:ascii="Arial" w:hAnsi="Arial" w:cs="Arial"/>
                <w:sz w:val="20"/>
                <w:szCs w:val="20"/>
              </w:rPr>
            </w:pPr>
            <w:r>
              <w:rPr>
                <w:rFonts w:ascii="Arial" w:hAnsi="Arial" w:cs="Arial"/>
                <w:sz w:val="20"/>
                <w:szCs w:val="20"/>
              </w:rPr>
              <w:t>Pending</w:t>
            </w:r>
          </w:p>
        </w:tc>
      </w:tr>
    </w:tbl>
    <w:p w:rsidR="002F0862" w:rsidRDefault="002F0862" w:rsidP="00F72461">
      <w:pPr>
        <w:shd w:val="clear" w:color="auto" w:fill="FFFFFF"/>
        <w:spacing w:before="240" w:after="0" w:line="240" w:lineRule="auto"/>
        <w:rPr>
          <w:sz w:val="20"/>
        </w:rPr>
      </w:pPr>
    </w:p>
    <w:p w:rsidR="000E322F" w:rsidRDefault="000E322F" w:rsidP="000E322F">
      <w:pPr>
        <w:shd w:val="clear" w:color="auto" w:fill="FFFFFF"/>
        <w:tabs>
          <w:tab w:val="left" w:pos="8440"/>
        </w:tabs>
        <w:spacing w:before="240" w:after="0" w:line="240" w:lineRule="auto"/>
        <w:rPr>
          <w:rFonts w:ascii="Arial" w:hAnsi="Arial" w:cs="Arial"/>
          <w:b/>
          <w:szCs w:val="20"/>
        </w:rPr>
      </w:pPr>
      <w:r>
        <w:rPr>
          <w:rFonts w:ascii="Arial" w:hAnsi="Arial" w:cs="Arial"/>
          <w:b/>
          <w:szCs w:val="20"/>
        </w:rPr>
        <w:lastRenderedPageBreak/>
        <w:t>Bills Introduced this week:</w:t>
      </w:r>
    </w:p>
    <w:tbl>
      <w:tblPr>
        <w:tblStyle w:val="TableGrid"/>
        <w:tblW w:w="0" w:type="auto"/>
        <w:tblLook w:val="04A0" w:firstRow="1" w:lastRow="0" w:firstColumn="1" w:lastColumn="0" w:noHBand="0" w:noVBand="1"/>
      </w:tblPr>
      <w:tblGrid>
        <w:gridCol w:w="1062"/>
        <w:gridCol w:w="6591"/>
        <w:gridCol w:w="1697"/>
      </w:tblGrid>
      <w:tr w:rsidR="000E322F" w:rsidTr="00E94BE3">
        <w:tc>
          <w:tcPr>
            <w:tcW w:w="1062" w:type="dxa"/>
          </w:tcPr>
          <w:p w:rsidR="000E322F" w:rsidRPr="00000824" w:rsidRDefault="000E322F" w:rsidP="00F60D7F">
            <w:pPr>
              <w:tabs>
                <w:tab w:val="left" w:pos="8440"/>
              </w:tabs>
              <w:rPr>
                <w:rFonts w:ascii="Arial" w:hAnsi="Arial" w:cs="Arial"/>
                <w:b/>
                <w:sz w:val="20"/>
                <w:szCs w:val="20"/>
              </w:rPr>
            </w:pPr>
            <w:r w:rsidRPr="00000824">
              <w:rPr>
                <w:rFonts w:ascii="Arial" w:hAnsi="Arial" w:cs="Arial"/>
                <w:b/>
                <w:sz w:val="20"/>
                <w:szCs w:val="20"/>
              </w:rPr>
              <w:t>Bill</w:t>
            </w:r>
          </w:p>
        </w:tc>
        <w:tc>
          <w:tcPr>
            <w:tcW w:w="6591" w:type="dxa"/>
          </w:tcPr>
          <w:p w:rsidR="000E322F" w:rsidRPr="00000824" w:rsidRDefault="000E322F" w:rsidP="00F60D7F">
            <w:pPr>
              <w:tabs>
                <w:tab w:val="left" w:pos="8440"/>
              </w:tabs>
              <w:rPr>
                <w:rFonts w:ascii="Arial" w:hAnsi="Arial" w:cs="Arial"/>
                <w:b/>
                <w:sz w:val="20"/>
                <w:szCs w:val="20"/>
              </w:rPr>
            </w:pPr>
            <w:r w:rsidRPr="00000824">
              <w:rPr>
                <w:rFonts w:ascii="Arial" w:hAnsi="Arial" w:cs="Arial"/>
                <w:b/>
                <w:sz w:val="20"/>
                <w:szCs w:val="20"/>
              </w:rPr>
              <w:t>Title</w:t>
            </w:r>
          </w:p>
        </w:tc>
        <w:tc>
          <w:tcPr>
            <w:tcW w:w="1697" w:type="dxa"/>
          </w:tcPr>
          <w:p w:rsidR="000E322F" w:rsidRPr="00000824" w:rsidRDefault="000E322F" w:rsidP="00F60D7F">
            <w:pPr>
              <w:tabs>
                <w:tab w:val="left" w:pos="8440"/>
              </w:tabs>
              <w:rPr>
                <w:rFonts w:ascii="Arial" w:hAnsi="Arial" w:cs="Arial"/>
                <w:b/>
                <w:sz w:val="20"/>
                <w:szCs w:val="20"/>
              </w:rPr>
            </w:pPr>
            <w:r w:rsidRPr="00000824">
              <w:rPr>
                <w:rFonts w:ascii="Arial" w:hAnsi="Arial" w:cs="Arial"/>
                <w:b/>
                <w:sz w:val="20"/>
                <w:szCs w:val="20"/>
              </w:rPr>
              <w:t xml:space="preserve">RSAI </w:t>
            </w:r>
            <w:r>
              <w:rPr>
                <w:rFonts w:ascii="Arial" w:hAnsi="Arial" w:cs="Arial"/>
                <w:b/>
                <w:sz w:val="20"/>
                <w:szCs w:val="20"/>
              </w:rPr>
              <w:t>Position</w:t>
            </w:r>
          </w:p>
        </w:tc>
      </w:tr>
      <w:tr w:rsidR="000E322F" w:rsidTr="00E94BE3">
        <w:tc>
          <w:tcPr>
            <w:tcW w:w="1062" w:type="dxa"/>
          </w:tcPr>
          <w:p w:rsidR="000E322F" w:rsidRDefault="000E322F" w:rsidP="000E322F">
            <w:pPr>
              <w:tabs>
                <w:tab w:val="left" w:pos="8440"/>
              </w:tabs>
              <w:rPr>
                <w:rFonts w:ascii="Arial" w:hAnsi="Arial" w:cs="Arial"/>
                <w:sz w:val="20"/>
                <w:szCs w:val="20"/>
              </w:rPr>
            </w:pPr>
            <w:r>
              <w:rPr>
                <w:rFonts w:ascii="Arial" w:hAnsi="Arial" w:cs="Arial"/>
                <w:sz w:val="20"/>
                <w:szCs w:val="20"/>
              </w:rPr>
              <w:t xml:space="preserve">HF </w:t>
            </w:r>
            <w:r>
              <w:rPr>
                <w:rFonts w:ascii="Arial" w:hAnsi="Arial" w:cs="Arial"/>
                <w:sz w:val="20"/>
                <w:szCs w:val="20"/>
              </w:rPr>
              <w:t>44</w:t>
            </w:r>
          </w:p>
        </w:tc>
        <w:tc>
          <w:tcPr>
            <w:tcW w:w="6591" w:type="dxa"/>
          </w:tcPr>
          <w:p w:rsidR="000E322F" w:rsidRDefault="000E322F" w:rsidP="000E322F">
            <w:pPr>
              <w:tabs>
                <w:tab w:val="left" w:pos="8440"/>
              </w:tabs>
              <w:rPr>
                <w:rFonts w:ascii="Arial" w:hAnsi="Arial" w:cs="Arial"/>
                <w:sz w:val="20"/>
                <w:szCs w:val="20"/>
              </w:rPr>
            </w:pPr>
            <w:r>
              <w:rPr>
                <w:rFonts w:ascii="Arial" w:hAnsi="Arial" w:cs="Arial"/>
                <w:b/>
                <w:sz w:val="20"/>
                <w:szCs w:val="20"/>
              </w:rPr>
              <w:t>State School Aid</w:t>
            </w:r>
            <w:r>
              <w:rPr>
                <w:rFonts w:ascii="Arial" w:hAnsi="Arial" w:cs="Arial"/>
                <w:sz w:val="20"/>
                <w:szCs w:val="20"/>
              </w:rPr>
              <w:t xml:space="preserve"> by </w:t>
            </w:r>
            <w:r>
              <w:rPr>
                <w:rFonts w:ascii="Arial" w:hAnsi="Arial" w:cs="Arial"/>
                <w:sz w:val="20"/>
                <w:szCs w:val="20"/>
              </w:rPr>
              <w:t>Wolfe</w:t>
            </w:r>
            <w:r>
              <w:rPr>
                <w:rFonts w:ascii="Arial" w:hAnsi="Arial" w:cs="Arial"/>
                <w:sz w:val="20"/>
                <w:szCs w:val="20"/>
              </w:rPr>
              <w:t xml:space="preserve">. </w:t>
            </w:r>
            <w:r>
              <w:rPr>
                <w:rFonts w:ascii="Arial" w:hAnsi="Arial" w:cs="Arial"/>
                <w:sz w:val="20"/>
                <w:szCs w:val="20"/>
              </w:rPr>
              <w:t xml:space="preserve">Establishes a state percent of growth for the state cost per pupil at 4% if a state aid growth bill is not enacted with 30 days of </w:t>
            </w:r>
            <w:proofErr w:type="spellStart"/>
            <w:r>
              <w:rPr>
                <w:rFonts w:ascii="Arial" w:hAnsi="Arial" w:cs="Arial"/>
                <w:sz w:val="20"/>
                <w:szCs w:val="20"/>
              </w:rPr>
              <w:t>the</w:t>
            </w:r>
            <w:proofErr w:type="spellEnd"/>
            <w:r>
              <w:rPr>
                <w:rFonts w:ascii="Arial" w:hAnsi="Arial" w:cs="Arial"/>
                <w:sz w:val="20"/>
                <w:szCs w:val="20"/>
              </w:rPr>
              <w:t xml:space="preserve"> </w:t>
            </w:r>
            <w:bookmarkStart w:id="0" w:name="_GoBack"/>
            <w:bookmarkEnd w:id="0"/>
            <w:r>
              <w:rPr>
                <w:rFonts w:ascii="Arial" w:hAnsi="Arial" w:cs="Arial"/>
                <w:sz w:val="20"/>
                <w:szCs w:val="20"/>
              </w:rPr>
              <w:t>Governor’s release of his budget recommendation</w:t>
            </w:r>
            <w:r>
              <w:rPr>
                <w:rFonts w:ascii="Arial" w:hAnsi="Arial" w:cs="Arial"/>
                <w:sz w:val="20"/>
                <w:szCs w:val="20"/>
              </w:rPr>
              <w:t xml:space="preserve">. </w:t>
            </w:r>
          </w:p>
        </w:tc>
        <w:tc>
          <w:tcPr>
            <w:tcW w:w="1697" w:type="dxa"/>
          </w:tcPr>
          <w:p w:rsidR="000E322F" w:rsidRDefault="000E322F" w:rsidP="00F60D7F">
            <w:pPr>
              <w:tabs>
                <w:tab w:val="left" w:pos="8440"/>
              </w:tabs>
              <w:rPr>
                <w:rFonts w:ascii="Arial" w:hAnsi="Arial" w:cs="Arial"/>
                <w:sz w:val="20"/>
                <w:szCs w:val="20"/>
              </w:rPr>
            </w:pPr>
            <w:r>
              <w:rPr>
                <w:rFonts w:ascii="Arial" w:hAnsi="Arial" w:cs="Arial"/>
                <w:sz w:val="20"/>
                <w:szCs w:val="20"/>
              </w:rPr>
              <w:t>Support</w:t>
            </w:r>
          </w:p>
        </w:tc>
      </w:tr>
      <w:tr w:rsidR="000E322F" w:rsidTr="00E94BE3">
        <w:tc>
          <w:tcPr>
            <w:tcW w:w="1062" w:type="dxa"/>
          </w:tcPr>
          <w:p w:rsidR="000E322F" w:rsidRDefault="000E322F" w:rsidP="000E322F">
            <w:pPr>
              <w:tabs>
                <w:tab w:val="left" w:pos="8440"/>
              </w:tabs>
              <w:rPr>
                <w:rFonts w:ascii="Arial" w:hAnsi="Arial" w:cs="Arial"/>
                <w:sz w:val="20"/>
                <w:szCs w:val="20"/>
              </w:rPr>
            </w:pPr>
            <w:r>
              <w:rPr>
                <w:rFonts w:ascii="Arial" w:hAnsi="Arial" w:cs="Arial"/>
                <w:sz w:val="20"/>
                <w:szCs w:val="20"/>
              </w:rPr>
              <w:t xml:space="preserve">HF </w:t>
            </w:r>
            <w:r>
              <w:rPr>
                <w:rFonts w:ascii="Arial" w:hAnsi="Arial" w:cs="Arial"/>
                <w:sz w:val="20"/>
                <w:szCs w:val="20"/>
              </w:rPr>
              <w:t>46</w:t>
            </w:r>
          </w:p>
        </w:tc>
        <w:tc>
          <w:tcPr>
            <w:tcW w:w="6591" w:type="dxa"/>
          </w:tcPr>
          <w:p w:rsidR="000E322F" w:rsidRDefault="000E322F" w:rsidP="000E322F">
            <w:pPr>
              <w:tabs>
                <w:tab w:val="left" w:pos="8440"/>
              </w:tabs>
              <w:rPr>
                <w:rFonts w:ascii="Arial" w:hAnsi="Arial" w:cs="Arial"/>
                <w:sz w:val="20"/>
                <w:szCs w:val="20"/>
              </w:rPr>
            </w:pPr>
            <w:r>
              <w:rPr>
                <w:rFonts w:ascii="Arial" w:hAnsi="Arial" w:cs="Arial"/>
                <w:b/>
                <w:sz w:val="20"/>
                <w:szCs w:val="20"/>
              </w:rPr>
              <w:t>Per Pupil Inequity Funding</w:t>
            </w:r>
            <w:r>
              <w:rPr>
                <w:rFonts w:ascii="Arial" w:hAnsi="Arial" w:cs="Arial"/>
                <w:sz w:val="20"/>
                <w:szCs w:val="20"/>
              </w:rPr>
              <w:t xml:space="preserve"> by </w:t>
            </w:r>
            <w:proofErr w:type="spellStart"/>
            <w:r>
              <w:rPr>
                <w:rFonts w:ascii="Arial" w:hAnsi="Arial" w:cs="Arial"/>
                <w:sz w:val="20"/>
                <w:szCs w:val="20"/>
              </w:rPr>
              <w:t>W</w:t>
            </w:r>
            <w:r>
              <w:rPr>
                <w:rFonts w:ascii="Arial" w:hAnsi="Arial" w:cs="Arial"/>
                <w:sz w:val="20"/>
                <w:szCs w:val="20"/>
              </w:rPr>
              <w:t>inckler</w:t>
            </w:r>
            <w:proofErr w:type="spellEnd"/>
            <w:r>
              <w:rPr>
                <w:rFonts w:ascii="Arial" w:hAnsi="Arial" w:cs="Arial"/>
                <w:sz w:val="20"/>
                <w:szCs w:val="20"/>
              </w:rPr>
              <w:t xml:space="preserve">:  </w:t>
            </w:r>
            <w:r>
              <w:rPr>
                <w:rFonts w:ascii="Arial" w:hAnsi="Arial" w:cs="Arial"/>
                <w:sz w:val="20"/>
                <w:szCs w:val="20"/>
              </w:rPr>
              <w:t xml:space="preserve">adds a $20 supplement per pupil to state school aid annual from FY 2018 through FY 2025. Finishes phase in with a $15 supplement per pupil in FY 2016.  Requires DOM to adjustment for any district below the highest district cost per pupil. </w:t>
            </w:r>
          </w:p>
        </w:tc>
        <w:tc>
          <w:tcPr>
            <w:tcW w:w="1697" w:type="dxa"/>
          </w:tcPr>
          <w:p w:rsidR="000E322F" w:rsidRDefault="000E322F" w:rsidP="00F60D7F">
            <w:pPr>
              <w:tabs>
                <w:tab w:val="left" w:pos="8440"/>
              </w:tabs>
              <w:rPr>
                <w:rFonts w:ascii="Arial" w:hAnsi="Arial" w:cs="Arial"/>
                <w:sz w:val="20"/>
                <w:szCs w:val="20"/>
              </w:rPr>
            </w:pPr>
            <w:r>
              <w:rPr>
                <w:rFonts w:ascii="Arial" w:hAnsi="Arial" w:cs="Arial"/>
                <w:sz w:val="20"/>
                <w:szCs w:val="20"/>
              </w:rPr>
              <w:t>Support</w:t>
            </w:r>
          </w:p>
        </w:tc>
      </w:tr>
      <w:tr w:rsidR="000E322F" w:rsidTr="00E94BE3">
        <w:tc>
          <w:tcPr>
            <w:tcW w:w="1062" w:type="dxa"/>
          </w:tcPr>
          <w:p w:rsidR="000E322F" w:rsidRDefault="000E322F" w:rsidP="000E322F">
            <w:pPr>
              <w:tabs>
                <w:tab w:val="left" w:pos="8440"/>
              </w:tabs>
              <w:rPr>
                <w:rFonts w:ascii="Arial" w:hAnsi="Arial" w:cs="Arial"/>
                <w:sz w:val="20"/>
                <w:szCs w:val="20"/>
              </w:rPr>
            </w:pPr>
            <w:r>
              <w:rPr>
                <w:rFonts w:ascii="Arial" w:hAnsi="Arial" w:cs="Arial"/>
                <w:sz w:val="20"/>
                <w:szCs w:val="20"/>
              </w:rPr>
              <w:t xml:space="preserve">HF </w:t>
            </w:r>
            <w:r>
              <w:rPr>
                <w:rFonts w:ascii="Arial" w:hAnsi="Arial" w:cs="Arial"/>
                <w:sz w:val="20"/>
                <w:szCs w:val="20"/>
              </w:rPr>
              <w:t>48</w:t>
            </w:r>
          </w:p>
        </w:tc>
        <w:tc>
          <w:tcPr>
            <w:tcW w:w="6591" w:type="dxa"/>
          </w:tcPr>
          <w:p w:rsidR="000E322F" w:rsidRDefault="000E322F" w:rsidP="000E322F">
            <w:pPr>
              <w:tabs>
                <w:tab w:val="left" w:pos="8440"/>
              </w:tabs>
              <w:rPr>
                <w:rFonts w:ascii="Arial" w:hAnsi="Arial" w:cs="Arial"/>
                <w:sz w:val="20"/>
                <w:szCs w:val="20"/>
              </w:rPr>
            </w:pPr>
            <w:r>
              <w:rPr>
                <w:rFonts w:ascii="Arial" w:hAnsi="Arial" w:cs="Arial"/>
                <w:b/>
                <w:sz w:val="20"/>
                <w:szCs w:val="20"/>
              </w:rPr>
              <w:t xml:space="preserve">Student Data Collection </w:t>
            </w:r>
            <w:r w:rsidRPr="000E322F">
              <w:rPr>
                <w:rFonts w:ascii="Arial" w:hAnsi="Arial" w:cs="Arial"/>
                <w:sz w:val="20"/>
                <w:szCs w:val="20"/>
              </w:rPr>
              <w:t>by Salmon.</w:t>
            </w:r>
            <w:r>
              <w:rPr>
                <w:rFonts w:ascii="Arial" w:hAnsi="Arial" w:cs="Arial"/>
                <w:sz w:val="20"/>
                <w:szCs w:val="20"/>
              </w:rPr>
              <w:t xml:space="preserve"> </w:t>
            </w:r>
            <w:r>
              <w:rPr>
                <w:rFonts w:ascii="Arial" w:hAnsi="Arial" w:cs="Arial"/>
                <w:sz w:val="20"/>
                <w:szCs w:val="20"/>
              </w:rPr>
              <w:t xml:space="preserve">Requires DE policy for student data, prohibits DE from collecting any data not authorized by the legislature, requires annual reports beginning in Nov. 2017. Requires plans for data security and data breaches. Makes student data confidential and prohibits data sharing of information except in the aggregate. </w:t>
            </w:r>
            <w:r>
              <w:rPr>
                <w:rFonts w:ascii="Arial" w:hAnsi="Arial" w:cs="Arial"/>
                <w:sz w:val="20"/>
                <w:szCs w:val="20"/>
              </w:rPr>
              <w:t xml:space="preserve"> </w:t>
            </w:r>
            <w:r>
              <w:rPr>
                <w:rFonts w:ascii="Arial" w:hAnsi="Arial" w:cs="Arial"/>
                <w:sz w:val="20"/>
                <w:szCs w:val="20"/>
              </w:rPr>
              <w:t xml:space="preserve">Prohibits collection of biometrics, psychometrics, health of family status. </w:t>
            </w:r>
          </w:p>
        </w:tc>
        <w:tc>
          <w:tcPr>
            <w:tcW w:w="1697" w:type="dxa"/>
          </w:tcPr>
          <w:p w:rsidR="000E322F" w:rsidRDefault="000E322F" w:rsidP="00F60D7F">
            <w:pPr>
              <w:tabs>
                <w:tab w:val="left" w:pos="8440"/>
              </w:tabs>
              <w:rPr>
                <w:rFonts w:ascii="Arial" w:hAnsi="Arial" w:cs="Arial"/>
                <w:sz w:val="20"/>
                <w:szCs w:val="20"/>
              </w:rPr>
            </w:pPr>
            <w:r>
              <w:rPr>
                <w:rFonts w:ascii="Arial" w:hAnsi="Arial" w:cs="Arial"/>
                <w:sz w:val="20"/>
                <w:szCs w:val="20"/>
              </w:rPr>
              <w:t>Pending</w:t>
            </w:r>
          </w:p>
        </w:tc>
      </w:tr>
      <w:tr w:rsidR="000E322F" w:rsidTr="00E94BE3">
        <w:tc>
          <w:tcPr>
            <w:tcW w:w="1062" w:type="dxa"/>
          </w:tcPr>
          <w:p w:rsidR="000E322F" w:rsidRDefault="000E322F" w:rsidP="000E322F">
            <w:pPr>
              <w:tabs>
                <w:tab w:val="left" w:pos="8440"/>
              </w:tabs>
              <w:rPr>
                <w:rFonts w:ascii="Arial" w:hAnsi="Arial" w:cs="Arial"/>
                <w:sz w:val="20"/>
                <w:szCs w:val="20"/>
              </w:rPr>
            </w:pPr>
            <w:r>
              <w:rPr>
                <w:rFonts w:ascii="Arial" w:hAnsi="Arial" w:cs="Arial"/>
                <w:sz w:val="20"/>
                <w:szCs w:val="20"/>
              </w:rPr>
              <w:t xml:space="preserve">HF </w:t>
            </w:r>
            <w:r>
              <w:rPr>
                <w:rFonts w:ascii="Arial" w:hAnsi="Arial" w:cs="Arial"/>
                <w:sz w:val="20"/>
                <w:szCs w:val="20"/>
              </w:rPr>
              <w:t>49</w:t>
            </w:r>
          </w:p>
        </w:tc>
        <w:tc>
          <w:tcPr>
            <w:tcW w:w="6591" w:type="dxa"/>
          </w:tcPr>
          <w:p w:rsidR="000E322F" w:rsidRDefault="000E322F" w:rsidP="000E322F">
            <w:pPr>
              <w:tabs>
                <w:tab w:val="left" w:pos="8440"/>
              </w:tabs>
              <w:rPr>
                <w:rFonts w:ascii="Arial" w:hAnsi="Arial" w:cs="Arial"/>
                <w:sz w:val="20"/>
                <w:szCs w:val="20"/>
              </w:rPr>
            </w:pPr>
            <w:r>
              <w:rPr>
                <w:rFonts w:ascii="Arial" w:hAnsi="Arial" w:cs="Arial"/>
                <w:b/>
                <w:sz w:val="20"/>
                <w:szCs w:val="20"/>
              </w:rPr>
              <w:t>SAVE fund payments</w:t>
            </w:r>
            <w:r>
              <w:rPr>
                <w:rFonts w:ascii="Arial" w:hAnsi="Arial" w:cs="Arial"/>
                <w:sz w:val="20"/>
                <w:szCs w:val="20"/>
              </w:rPr>
              <w:t xml:space="preserve"> by </w:t>
            </w:r>
            <w:r>
              <w:rPr>
                <w:rFonts w:ascii="Arial" w:hAnsi="Arial" w:cs="Arial"/>
                <w:sz w:val="20"/>
                <w:szCs w:val="20"/>
              </w:rPr>
              <w:t>Fisher.</w:t>
            </w:r>
            <w:r>
              <w:rPr>
                <w:rFonts w:ascii="Arial" w:hAnsi="Arial" w:cs="Arial"/>
                <w:sz w:val="20"/>
                <w:szCs w:val="20"/>
              </w:rPr>
              <w:t xml:space="preserve"> </w:t>
            </w:r>
            <w:r>
              <w:rPr>
                <w:rFonts w:ascii="Arial" w:hAnsi="Arial" w:cs="Arial"/>
                <w:sz w:val="20"/>
                <w:szCs w:val="20"/>
              </w:rPr>
              <w:t xml:space="preserve">Requires SAVE fund per pupil revenue to follow open enrolled students. </w:t>
            </w:r>
            <w:r>
              <w:rPr>
                <w:rFonts w:ascii="Arial" w:hAnsi="Arial" w:cs="Arial"/>
                <w:sz w:val="20"/>
                <w:szCs w:val="20"/>
              </w:rPr>
              <w:t xml:space="preserve"> </w:t>
            </w:r>
          </w:p>
        </w:tc>
        <w:tc>
          <w:tcPr>
            <w:tcW w:w="1697" w:type="dxa"/>
          </w:tcPr>
          <w:p w:rsidR="000E322F" w:rsidRDefault="000E322F" w:rsidP="00F60D7F">
            <w:pPr>
              <w:tabs>
                <w:tab w:val="left" w:pos="8440"/>
              </w:tabs>
              <w:rPr>
                <w:rFonts w:ascii="Arial" w:hAnsi="Arial" w:cs="Arial"/>
                <w:sz w:val="20"/>
                <w:szCs w:val="20"/>
              </w:rPr>
            </w:pPr>
            <w:r>
              <w:rPr>
                <w:rFonts w:ascii="Arial" w:hAnsi="Arial" w:cs="Arial"/>
                <w:sz w:val="20"/>
                <w:szCs w:val="20"/>
              </w:rPr>
              <w:t>Undecided</w:t>
            </w:r>
          </w:p>
        </w:tc>
      </w:tr>
      <w:tr w:rsidR="000E322F" w:rsidTr="00E94BE3">
        <w:tc>
          <w:tcPr>
            <w:tcW w:w="1062" w:type="dxa"/>
          </w:tcPr>
          <w:p w:rsidR="000E322F" w:rsidRDefault="000E322F" w:rsidP="00F60D7F">
            <w:pPr>
              <w:tabs>
                <w:tab w:val="left" w:pos="8440"/>
              </w:tabs>
              <w:rPr>
                <w:rFonts w:ascii="Arial" w:hAnsi="Arial" w:cs="Arial"/>
                <w:sz w:val="20"/>
                <w:szCs w:val="20"/>
              </w:rPr>
            </w:pPr>
            <w:r>
              <w:rPr>
                <w:rFonts w:ascii="Arial" w:hAnsi="Arial" w:cs="Arial"/>
                <w:sz w:val="20"/>
                <w:szCs w:val="20"/>
              </w:rPr>
              <w:t>SSB1013</w:t>
            </w:r>
          </w:p>
        </w:tc>
        <w:tc>
          <w:tcPr>
            <w:tcW w:w="6591" w:type="dxa"/>
          </w:tcPr>
          <w:p w:rsidR="000E322F" w:rsidRDefault="000E322F" w:rsidP="00E94BE3">
            <w:pPr>
              <w:tabs>
                <w:tab w:val="left" w:pos="8440"/>
              </w:tabs>
              <w:rPr>
                <w:rFonts w:ascii="Arial" w:hAnsi="Arial" w:cs="Arial"/>
                <w:sz w:val="20"/>
                <w:szCs w:val="20"/>
              </w:rPr>
            </w:pPr>
            <w:r>
              <w:rPr>
                <w:rFonts w:ascii="Arial" w:hAnsi="Arial" w:cs="Arial"/>
                <w:b/>
                <w:sz w:val="20"/>
                <w:szCs w:val="20"/>
              </w:rPr>
              <w:t>Federal Tax updates</w:t>
            </w:r>
            <w:r>
              <w:rPr>
                <w:rFonts w:ascii="Arial" w:hAnsi="Arial" w:cs="Arial"/>
                <w:sz w:val="20"/>
                <w:szCs w:val="20"/>
              </w:rPr>
              <w:t xml:space="preserve"> by </w:t>
            </w:r>
            <w:proofErr w:type="spellStart"/>
            <w:r>
              <w:rPr>
                <w:rFonts w:ascii="Arial" w:hAnsi="Arial" w:cs="Arial"/>
                <w:sz w:val="20"/>
                <w:szCs w:val="20"/>
              </w:rPr>
              <w:t>Feenstra</w:t>
            </w:r>
            <w:proofErr w:type="spellEnd"/>
            <w:r w:rsidR="00E94BE3">
              <w:rPr>
                <w:rFonts w:ascii="Arial" w:hAnsi="Arial" w:cs="Arial"/>
                <w:sz w:val="20"/>
                <w:szCs w:val="20"/>
              </w:rPr>
              <w:t xml:space="preserve">. Updates Iowa tax code to match the federal tax code, makes deduction for sales taxes permanent. Decouples with federal law from the federal bonus depreciation provisions for the 2016 tax year. </w:t>
            </w:r>
            <w:r>
              <w:rPr>
                <w:rFonts w:ascii="Arial" w:hAnsi="Arial" w:cs="Arial"/>
                <w:sz w:val="20"/>
                <w:szCs w:val="20"/>
              </w:rPr>
              <w:t xml:space="preserve"> </w:t>
            </w:r>
          </w:p>
        </w:tc>
        <w:tc>
          <w:tcPr>
            <w:tcW w:w="1697" w:type="dxa"/>
          </w:tcPr>
          <w:p w:rsidR="000E322F" w:rsidRDefault="00E94BE3" w:rsidP="00F60D7F">
            <w:pPr>
              <w:tabs>
                <w:tab w:val="left" w:pos="8440"/>
              </w:tabs>
              <w:rPr>
                <w:rFonts w:ascii="Arial" w:hAnsi="Arial" w:cs="Arial"/>
                <w:sz w:val="20"/>
                <w:szCs w:val="20"/>
              </w:rPr>
            </w:pPr>
            <w:r>
              <w:rPr>
                <w:rFonts w:ascii="Arial" w:hAnsi="Arial" w:cs="Arial"/>
                <w:sz w:val="20"/>
                <w:szCs w:val="20"/>
              </w:rPr>
              <w:t>Pending</w:t>
            </w:r>
          </w:p>
        </w:tc>
      </w:tr>
      <w:tr w:rsidR="000E322F" w:rsidTr="00E94BE3">
        <w:tc>
          <w:tcPr>
            <w:tcW w:w="1062" w:type="dxa"/>
          </w:tcPr>
          <w:p w:rsidR="000E322F" w:rsidRDefault="000E322F" w:rsidP="000E322F">
            <w:pPr>
              <w:tabs>
                <w:tab w:val="left" w:pos="8440"/>
              </w:tabs>
              <w:rPr>
                <w:rFonts w:ascii="Arial" w:hAnsi="Arial" w:cs="Arial"/>
                <w:sz w:val="20"/>
                <w:szCs w:val="20"/>
              </w:rPr>
            </w:pPr>
            <w:r>
              <w:rPr>
                <w:rFonts w:ascii="Arial" w:hAnsi="Arial" w:cs="Arial"/>
                <w:sz w:val="20"/>
                <w:szCs w:val="20"/>
              </w:rPr>
              <w:t>SSB1014</w:t>
            </w:r>
          </w:p>
        </w:tc>
        <w:tc>
          <w:tcPr>
            <w:tcW w:w="6591" w:type="dxa"/>
          </w:tcPr>
          <w:p w:rsidR="000E322F" w:rsidRDefault="00E94BE3" w:rsidP="00E94BE3">
            <w:pPr>
              <w:tabs>
                <w:tab w:val="left" w:pos="8440"/>
              </w:tabs>
              <w:rPr>
                <w:rFonts w:ascii="Arial" w:hAnsi="Arial" w:cs="Arial"/>
                <w:sz w:val="20"/>
                <w:szCs w:val="20"/>
              </w:rPr>
            </w:pPr>
            <w:r>
              <w:rPr>
                <w:rFonts w:ascii="Arial" w:hAnsi="Arial" w:cs="Arial"/>
                <w:b/>
                <w:sz w:val="20"/>
                <w:szCs w:val="20"/>
              </w:rPr>
              <w:t>Federal Tax updates</w:t>
            </w:r>
            <w:r>
              <w:rPr>
                <w:rFonts w:ascii="Arial" w:hAnsi="Arial" w:cs="Arial"/>
                <w:sz w:val="20"/>
                <w:szCs w:val="20"/>
              </w:rPr>
              <w:t xml:space="preserve"> by </w:t>
            </w:r>
            <w:proofErr w:type="spellStart"/>
            <w:r>
              <w:rPr>
                <w:rFonts w:ascii="Arial" w:hAnsi="Arial" w:cs="Arial"/>
                <w:sz w:val="20"/>
                <w:szCs w:val="20"/>
              </w:rPr>
              <w:t>Feenstra</w:t>
            </w:r>
            <w:proofErr w:type="spellEnd"/>
            <w:r>
              <w:rPr>
                <w:rFonts w:ascii="Arial" w:hAnsi="Arial" w:cs="Arial"/>
                <w:sz w:val="20"/>
                <w:szCs w:val="20"/>
              </w:rPr>
              <w:t xml:space="preserve">. Updates Iowa tax code to match the federal tax code, makes deduction for sales taxes permanent. Decouples with federal law from the federal bonus depreciation </w:t>
            </w:r>
            <w:r>
              <w:rPr>
                <w:rFonts w:ascii="Arial" w:hAnsi="Arial" w:cs="Arial"/>
                <w:sz w:val="20"/>
                <w:szCs w:val="20"/>
              </w:rPr>
              <w:t xml:space="preserve">and Section 179 expensing </w:t>
            </w:r>
            <w:r>
              <w:rPr>
                <w:rFonts w:ascii="Arial" w:hAnsi="Arial" w:cs="Arial"/>
                <w:sz w:val="20"/>
                <w:szCs w:val="20"/>
              </w:rPr>
              <w:t xml:space="preserve">provisions for the 2016 tax year.  </w:t>
            </w:r>
            <w:r w:rsidR="000E322F">
              <w:rPr>
                <w:rFonts w:ascii="Arial" w:hAnsi="Arial" w:cs="Arial"/>
                <w:sz w:val="20"/>
                <w:szCs w:val="20"/>
              </w:rPr>
              <w:t xml:space="preserve"> </w:t>
            </w:r>
          </w:p>
        </w:tc>
        <w:tc>
          <w:tcPr>
            <w:tcW w:w="1697" w:type="dxa"/>
          </w:tcPr>
          <w:p w:rsidR="000E322F" w:rsidRDefault="00E94BE3" w:rsidP="00F60D7F">
            <w:pPr>
              <w:tabs>
                <w:tab w:val="left" w:pos="8440"/>
              </w:tabs>
              <w:rPr>
                <w:rFonts w:ascii="Arial" w:hAnsi="Arial" w:cs="Arial"/>
                <w:sz w:val="20"/>
                <w:szCs w:val="20"/>
              </w:rPr>
            </w:pPr>
            <w:r>
              <w:rPr>
                <w:rFonts w:ascii="Arial" w:hAnsi="Arial" w:cs="Arial"/>
                <w:sz w:val="20"/>
                <w:szCs w:val="20"/>
              </w:rPr>
              <w:t>Pending</w:t>
            </w:r>
          </w:p>
        </w:tc>
      </w:tr>
      <w:tr w:rsidR="000E322F" w:rsidTr="00E94BE3">
        <w:tc>
          <w:tcPr>
            <w:tcW w:w="1062" w:type="dxa"/>
          </w:tcPr>
          <w:p w:rsidR="000E322F" w:rsidRDefault="00E94BE3" w:rsidP="00E94BE3">
            <w:pPr>
              <w:tabs>
                <w:tab w:val="left" w:pos="8440"/>
              </w:tabs>
              <w:rPr>
                <w:rFonts w:ascii="Arial" w:hAnsi="Arial" w:cs="Arial"/>
                <w:sz w:val="20"/>
                <w:szCs w:val="20"/>
              </w:rPr>
            </w:pPr>
            <w:r>
              <w:rPr>
                <w:rFonts w:ascii="Arial" w:hAnsi="Arial" w:cs="Arial"/>
                <w:sz w:val="20"/>
                <w:szCs w:val="20"/>
              </w:rPr>
              <w:t>SSB1017</w:t>
            </w:r>
          </w:p>
        </w:tc>
        <w:tc>
          <w:tcPr>
            <w:tcW w:w="6591" w:type="dxa"/>
          </w:tcPr>
          <w:p w:rsidR="000E322F" w:rsidRDefault="00E94BE3" w:rsidP="00E94BE3">
            <w:pPr>
              <w:tabs>
                <w:tab w:val="left" w:pos="8440"/>
              </w:tabs>
              <w:rPr>
                <w:rFonts w:ascii="Arial" w:hAnsi="Arial" w:cs="Arial"/>
                <w:sz w:val="20"/>
                <w:szCs w:val="20"/>
              </w:rPr>
            </w:pPr>
            <w:r>
              <w:rPr>
                <w:rFonts w:ascii="Arial" w:hAnsi="Arial" w:cs="Arial"/>
                <w:b/>
                <w:sz w:val="20"/>
                <w:szCs w:val="20"/>
              </w:rPr>
              <w:t>School Reports on Drugs/Alcohol</w:t>
            </w:r>
            <w:r w:rsidR="000E322F">
              <w:rPr>
                <w:rFonts w:ascii="Arial" w:hAnsi="Arial" w:cs="Arial"/>
                <w:sz w:val="20"/>
                <w:szCs w:val="20"/>
              </w:rPr>
              <w:t xml:space="preserve"> by </w:t>
            </w:r>
            <w:r>
              <w:rPr>
                <w:rFonts w:ascii="Arial" w:hAnsi="Arial" w:cs="Arial"/>
                <w:sz w:val="20"/>
                <w:szCs w:val="20"/>
              </w:rPr>
              <w:t>Education</w:t>
            </w:r>
            <w:r w:rsidR="000E322F">
              <w:rPr>
                <w:rFonts w:ascii="Arial" w:hAnsi="Arial" w:cs="Arial"/>
                <w:sz w:val="20"/>
                <w:szCs w:val="20"/>
              </w:rPr>
              <w:t xml:space="preserve">. </w:t>
            </w:r>
            <w:r>
              <w:rPr>
                <w:rFonts w:ascii="Arial" w:hAnsi="Arial" w:cs="Arial"/>
                <w:sz w:val="20"/>
                <w:szCs w:val="20"/>
              </w:rPr>
              <w:t xml:space="preserve">Requires that school administrators report disciplinary actions taken against a licensed school employee for consuming, possessing or being under the influence of drugs or alcohol while on school grounds or at a school-sponsored activity. </w:t>
            </w:r>
            <w:r w:rsidR="000E322F">
              <w:rPr>
                <w:rFonts w:ascii="Arial" w:hAnsi="Arial" w:cs="Arial"/>
                <w:sz w:val="20"/>
                <w:szCs w:val="20"/>
              </w:rPr>
              <w:t xml:space="preserve"> </w:t>
            </w:r>
          </w:p>
        </w:tc>
        <w:tc>
          <w:tcPr>
            <w:tcW w:w="1697" w:type="dxa"/>
          </w:tcPr>
          <w:p w:rsidR="000E322F" w:rsidRDefault="00E94BE3" w:rsidP="00F60D7F">
            <w:pPr>
              <w:tabs>
                <w:tab w:val="left" w:pos="8440"/>
              </w:tabs>
              <w:rPr>
                <w:rFonts w:ascii="Arial" w:hAnsi="Arial" w:cs="Arial"/>
                <w:sz w:val="20"/>
                <w:szCs w:val="20"/>
              </w:rPr>
            </w:pPr>
            <w:r>
              <w:rPr>
                <w:rFonts w:ascii="Arial" w:hAnsi="Arial" w:cs="Arial"/>
                <w:sz w:val="20"/>
                <w:szCs w:val="20"/>
              </w:rPr>
              <w:t xml:space="preserve">Pending </w:t>
            </w:r>
          </w:p>
        </w:tc>
      </w:tr>
      <w:tr w:rsidR="000E322F" w:rsidTr="00E94BE3">
        <w:tc>
          <w:tcPr>
            <w:tcW w:w="1062" w:type="dxa"/>
          </w:tcPr>
          <w:p w:rsidR="000E322F" w:rsidRDefault="00E94BE3" w:rsidP="00F60D7F">
            <w:pPr>
              <w:tabs>
                <w:tab w:val="left" w:pos="8440"/>
              </w:tabs>
              <w:rPr>
                <w:rFonts w:ascii="Arial" w:hAnsi="Arial" w:cs="Arial"/>
                <w:sz w:val="20"/>
                <w:szCs w:val="20"/>
              </w:rPr>
            </w:pPr>
            <w:r>
              <w:rPr>
                <w:rFonts w:ascii="Arial" w:hAnsi="Arial" w:cs="Arial"/>
                <w:sz w:val="20"/>
                <w:szCs w:val="20"/>
              </w:rPr>
              <w:t>SSB1018</w:t>
            </w:r>
          </w:p>
        </w:tc>
        <w:tc>
          <w:tcPr>
            <w:tcW w:w="6591" w:type="dxa"/>
          </w:tcPr>
          <w:p w:rsidR="000E322F" w:rsidRDefault="00E94BE3" w:rsidP="00E94BE3">
            <w:pPr>
              <w:tabs>
                <w:tab w:val="left" w:pos="8440"/>
              </w:tabs>
              <w:rPr>
                <w:rFonts w:ascii="Arial" w:hAnsi="Arial" w:cs="Arial"/>
                <w:sz w:val="20"/>
                <w:szCs w:val="20"/>
              </w:rPr>
            </w:pPr>
            <w:r>
              <w:rPr>
                <w:rFonts w:ascii="Arial" w:hAnsi="Arial" w:cs="Arial"/>
                <w:b/>
                <w:sz w:val="20"/>
                <w:szCs w:val="20"/>
              </w:rPr>
              <w:t xml:space="preserve">Governor’s </w:t>
            </w:r>
            <w:proofErr w:type="spellStart"/>
            <w:r>
              <w:rPr>
                <w:rFonts w:ascii="Arial" w:hAnsi="Arial" w:cs="Arial"/>
                <w:b/>
                <w:sz w:val="20"/>
                <w:szCs w:val="20"/>
              </w:rPr>
              <w:t>Deappropriations</w:t>
            </w:r>
            <w:proofErr w:type="spellEnd"/>
            <w:r w:rsidR="000E322F">
              <w:rPr>
                <w:rFonts w:ascii="Arial" w:hAnsi="Arial" w:cs="Arial"/>
                <w:sz w:val="20"/>
                <w:szCs w:val="20"/>
              </w:rPr>
              <w:t xml:space="preserve">.  </w:t>
            </w:r>
            <w:proofErr w:type="spellStart"/>
            <w:r>
              <w:rPr>
                <w:rFonts w:ascii="Arial" w:hAnsi="Arial" w:cs="Arial"/>
                <w:sz w:val="20"/>
                <w:szCs w:val="20"/>
              </w:rPr>
              <w:t>Deappropriations</w:t>
            </w:r>
            <w:proofErr w:type="spellEnd"/>
            <w:r>
              <w:rPr>
                <w:rFonts w:ascii="Arial" w:hAnsi="Arial" w:cs="Arial"/>
                <w:sz w:val="20"/>
                <w:szCs w:val="20"/>
              </w:rPr>
              <w:t xml:space="preserve"> funds from current FY 2017, including $25.6 million from regents, $8.7 million from community colleges, $20.3 million from DHS, $15 million from Dept. of Corrections, $5.5 million from DE, $3.8 million from Dept. of Safety, $7.7 million from courts. </w:t>
            </w:r>
            <w:r w:rsidR="000E322F">
              <w:rPr>
                <w:rFonts w:ascii="Arial" w:hAnsi="Arial" w:cs="Arial"/>
                <w:sz w:val="20"/>
                <w:szCs w:val="20"/>
              </w:rPr>
              <w:t xml:space="preserve"> </w:t>
            </w:r>
          </w:p>
        </w:tc>
        <w:tc>
          <w:tcPr>
            <w:tcW w:w="1697" w:type="dxa"/>
          </w:tcPr>
          <w:p w:rsidR="000E322F" w:rsidRDefault="00E94BE3" w:rsidP="00F60D7F">
            <w:pPr>
              <w:tabs>
                <w:tab w:val="left" w:pos="8440"/>
              </w:tabs>
              <w:rPr>
                <w:rFonts w:ascii="Arial" w:hAnsi="Arial" w:cs="Arial"/>
                <w:sz w:val="20"/>
                <w:szCs w:val="20"/>
              </w:rPr>
            </w:pPr>
            <w:r>
              <w:rPr>
                <w:rFonts w:ascii="Arial" w:hAnsi="Arial" w:cs="Arial"/>
                <w:sz w:val="20"/>
                <w:szCs w:val="20"/>
              </w:rPr>
              <w:t>Undecided</w:t>
            </w:r>
          </w:p>
        </w:tc>
      </w:tr>
    </w:tbl>
    <w:p w:rsidR="000E322F" w:rsidRDefault="000E322F" w:rsidP="00F72461">
      <w:pPr>
        <w:shd w:val="clear" w:color="auto" w:fill="FFFFFF"/>
        <w:spacing w:before="240" w:after="0" w:line="240" w:lineRule="auto"/>
        <w:rPr>
          <w:sz w:val="20"/>
        </w:rPr>
      </w:pPr>
    </w:p>
    <w:sectPr w:rsidR="000E322F"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B9" w:rsidRDefault="007619B9" w:rsidP="008C59C5">
      <w:pPr>
        <w:spacing w:after="0" w:line="240" w:lineRule="auto"/>
      </w:pPr>
      <w:r>
        <w:separator/>
      </w:r>
    </w:p>
  </w:endnote>
  <w:endnote w:type="continuationSeparator" w:id="0">
    <w:p w:rsidR="007619B9" w:rsidRDefault="007619B9"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1237C0" w:rsidRDefault="001237C0" w:rsidP="002C37A8">
        <w:pPr>
          <w:pStyle w:val="Footer"/>
          <w:jc w:val="right"/>
        </w:pPr>
        <w:r>
          <w:fldChar w:fldCharType="begin"/>
        </w:r>
        <w:r>
          <w:instrText xml:space="preserve"> PAGE   \* MERGEFORMAT </w:instrText>
        </w:r>
        <w:r>
          <w:fldChar w:fldCharType="separate"/>
        </w:r>
        <w:r w:rsidR="00E94B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B9" w:rsidRDefault="007619B9" w:rsidP="008C59C5">
      <w:pPr>
        <w:spacing w:after="0" w:line="240" w:lineRule="auto"/>
      </w:pPr>
      <w:r>
        <w:separator/>
      </w:r>
    </w:p>
  </w:footnote>
  <w:footnote w:type="continuationSeparator" w:id="0">
    <w:p w:rsidR="007619B9" w:rsidRDefault="007619B9"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C0" w:rsidRDefault="001237C0">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48DF7ED" wp14:editId="056D288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36FE50"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0"/>
  </w:num>
  <w:num w:numId="4">
    <w:abstractNumId w:val="7"/>
  </w:num>
  <w:num w:numId="5">
    <w:abstractNumId w:val="24"/>
  </w:num>
  <w:num w:numId="6">
    <w:abstractNumId w:val="28"/>
  </w:num>
  <w:num w:numId="7">
    <w:abstractNumId w:val="2"/>
  </w:num>
  <w:num w:numId="8">
    <w:abstractNumId w:val="25"/>
  </w:num>
  <w:num w:numId="9">
    <w:abstractNumId w:val="11"/>
  </w:num>
  <w:num w:numId="10">
    <w:abstractNumId w:val="12"/>
  </w:num>
  <w:num w:numId="11">
    <w:abstractNumId w:val="21"/>
  </w:num>
  <w:num w:numId="12">
    <w:abstractNumId w:val="18"/>
  </w:num>
  <w:num w:numId="13">
    <w:abstractNumId w:val="15"/>
  </w:num>
  <w:num w:numId="14">
    <w:abstractNumId w:val="9"/>
  </w:num>
  <w:num w:numId="15">
    <w:abstractNumId w:val="5"/>
  </w:num>
  <w:num w:numId="16">
    <w:abstractNumId w:val="13"/>
  </w:num>
  <w:num w:numId="17">
    <w:abstractNumId w:val="26"/>
  </w:num>
  <w:num w:numId="18">
    <w:abstractNumId w:val="23"/>
  </w:num>
  <w:num w:numId="19">
    <w:abstractNumId w:val="19"/>
  </w:num>
  <w:num w:numId="20">
    <w:abstractNumId w:val="3"/>
  </w:num>
  <w:num w:numId="21">
    <w:abstractNumId w:val="4"/>
  </w:num>
  <w:num w:numId="22">
    <w:abstractNumId w:val="17"/>
  </w:num>
  <w:num w:numId="23">
    <w:abstractNumId w:val="6"/>
  </w:num>
  <w:num w:numId="24">
    <w:abstractNumId w:val="27"/>
  </w:num>
  <w:num w:numId="25">
    <w:abstractNumId w:val="30"/>
  </w:num>
  <w:num w:numId="26">
    <w:abstractNumId w:val="1"/>
  </w:num>
  <w:num w:numId="27">
    <w:abstractNumId w:val="22"/>
  </w:num>
  <w:num w:numId="28">
    <w:abstractNumId w:val="29"/>
  </w:num>
  <w:num w:numId="29">
    <w:abstractNumId w:val="8"/>
  </w:num>
  <w:num w:numId="30">
    <w:abstractNumId w:val="14"/>
  </w:num>
  <w:num w:numId="31">
    <w:abstractNumId w:val="31"/>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102B6"/>
    <w:rsid w:val="00014978"/>
    <w:rsid w:val="00021CDF"/>
    <w:rsid w:val="00023D99"/>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322F"/>
    <w:rsid w:val="000E58C1"/>
    <w:rsid w:val="000E7086"/>
    <w:rsid w:val="000E73FB"/>
    <w:rsid w:val="000F20BA"/>
    <w:rsid w:val="000F348B"/>
    <w:rsid w:val="000F3703"/>
    <w:rsid w:val="00103174"/>
    <w:rsid w:val="0010647D"/>
    <w:rsid w:val="00110966"/>
    <w:rsid w:val="00110F8F"/>
    <w:rsid w:val="00112BF8"/>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27EA"/>
    <w:rsid w:val="0016612A"/>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0CDA"/>
    <w:rsid w:val="001A15BD"/>
    <w:rsid w:val="001A188A"/>
    <w:rsid w:val="001A217B"/>
    <w:rsid w:val="001A33D4"/>
    <w:rsid w:val="001A3439"/>
    <w:rsid w:val="001A5C5F"/>
    <w:rsid w:val="001B04D2"/>
    <w:rsid w:val="001B237A"/>
    <w:rsid w:val="001B5332"/>
    <w:rsid w:val="001B5D3B"/>
    <w:rsid w:val="001B6894"/>
    <w:rsid w:val="001C1B72"/>
    <w:rsid w:val="001C31F9"/>
    <w:rsid w:val="001D6842"/>
    <w:rsid w:val="001D7FE8"/>
    <w:rsid w:val="00202254"/>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813CE"/>
    <w:rsid w:val="00385528"/>
    <w:rsid w:val="003938C7"/>
    <w:rsid w:val="003A09FE"/>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625C8"/>
    <w:rsid w:val="00563674"/>
    <w:rsid w:val="005665FE"/>
    <w:rsid w:val="005675BA"/>
    <w:rsid w:val="0057248F"/>
    <w:rsid w:val="0057519F"/>
    <w:rsid w:val="0057564E"/>
    <w:rsid w:val="00575BB9"/>
    <w:rsid w:val="00577926"/>
    <w:rsid w:val="00587278"/>
    <w:rsid w:val="00592E5E"/>
    <w:rsid w:val="00594758"/>
    <w:rsid w:val="005964E9"/>
    <w:rsid w:val="00597401"/>
    <w:rsid w:val="005A0914"/>
    <w:rsid w:val="005B020A"/>
    <w:rsid w:val="005B083E"/>
    <w:rsid w:val="005B18DB"/>
    <w:rsid w:val="005B4ED1"/>
    <w:rsid w:val="005B6FB8"/>
    <w:rsid w:val="005B7F05"/>
    <w:rsid w:val="005C35D5"/>
    <w:rsid w:val="005C63C8"/>
    <w:rsid w:val="005D0DAF"/>
    <w:rsid w:val="005E79D1"/>
    <w:rsid w:val="005E79FB"/>
    <w:rsid w:val="005F65C4"/>
    <w:rsid w:val="006144DA"/>
    <w:rsid w:val="006239CC"/>
    <w:rsid w:val="00626135"/>
    <w:rsid w:val="00634CD2"/>
    <w:rsid w:val="00637589"/>
    <w:rsid w:val="00652646"/>
    <w:rsid w:val="00654014"/>
    <w:rsid w:val="00655927"/>
    <w:rsid w:val="006601E1"/>
    <w:rsid w:val="00670E9E"/>
    <w:rsid w:val="006758B3"/>
    <w:rsid w:val="00676930"/>
    <w:rsid w:val="006A0A88"/>
    <w:rsid w:val="006A0E77"/>
    <w:rsid w:val="006B5C30"/>
    <w:rsid w:val="006D09E9"/>
    <w:rsid w:val="006D16ED"/>
    <w:rsid w:val="006D22CF"/>
    <w:rsid w:val="006E040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DC3"/>
    <w:rsid w:val="00736A1D"/>
    <w:rsid w:val="007510D2"/>
    <w:rsid w:val="0075352E"/>
    <w:rsid w:val="00757768"/>
    <w:rsid w:val="0076021A"/>
    <w:rsid w:val="007619B9"/>
    <w:rsid w:val="00761BCD"/>
    <w:rsid w:val="00761EA9"/>
    <w:rsid w:val="00763B8E"/>
    <w:rsid w:val="00764521"/>
    <w:rsid w:val="00767E3D"/>
    <w:rsid w:val="00770EC4"/>
    <w:rsid w:val="00771962"/>
    <w:rsid w:val="00775FB9"/>
    <w:rsid w:val="007764B9"/>
    <w:rsid w:val="00781597"/>
    <w:rsid w:val="00782213"/>
    <w:rsid w:val="007910E8"/>
    <w:rsid w:val="00791945"/>
    <w:rsid w:val="007A53F1"/>
    <w:rsid w:val="007A58AD"/>
    <w:rsid w:val="007B1B7C"/>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FDE"/>
    <w:rsid w:val="008007F1"/>
    <w:rsid w:val="00800D80"/>
    <w:rsid w:val="008025EE"/>
    <w:rsid w:val="00811990"/>
    <w:rsid w:val="0081536C"/>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4F54"/>
    <w:rsid w:val="009272C6"/>
    <w:rsid w:val="009349F3"/>
    <w:rsid w:val="009422ED"/>
    <w:rsid w:val="0095131C"/>
    <w:rsid w:val="00955BC8"/>
    <w:rsid w:val="00957559"/>
    <w:rsid w:val="009577C6"/>
    <w:rsid w:val="0096193A"/>
    <w:rsid w:val="00965D55"/>
    <w:rsid w:val="00971AB3"/>
    <w:rsid w:val="00986914"/>
    <w:rsid w:val="009935D6"/>
    <w:rsid w:val="00995751"/>
    <w:rsid w:val="009A0D11"/>
    <w:rsid w:val="009A40B9"/>
    <w:rsid w:val="009A5372"/>
    <w:rsid w:val="009A5E6C"/>
    <w:rsid w:val="009A6166"/>
    <w:rsid w:val="009B121E"/>
    <w:rsid w:val="009B7819"/>
    <w:rsid w:val="009D39A9"/>
    <w:rsid w:val="009D4D67"/>
    <w:rsid w:val="009E4FA0"/>
    <w:rsid w:val="009E7F88"/>
    <w:rsid w:val="009F38F3"/>
    <w:rsid w:val="009F549B"/>
    <w:rsid w:val="00A01CF4"/>
    <w:rsid w:val="00A11310"/>
    <w:rsid w:val="00A117E5"/>
    <w:rsid w:val="00A20962"/>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E36BC"/>
    <w:rsid w:val="00AE5A57"/>
    <w:rsid w:val="00AF1E9F"/>
    <w:rsid w:val="00AF47EE"/>
    <w:rsid w:val="00AF5050"/>
    <w:rsid w:val="00B02DDF"/>
    <w:rsid w:val="00B060E5"/>
    <w:rsid w:val="00B10834"/>
    <w:rsid w:val="00B136B5"/>
    <w:rsid w:val="00B149D0"/>
    <w:rsid w:val="00B16B19"/>
    <w:rsid w:val="00B20B4D"/>
    <w:rsid w:val="00B21BB4"/>
    <w:rsid w:val="00B22091"/>
    <w:rsid w:val="00B267DE"/>
    <w:rsid w:val="00B27ECE"/>
    <w:rsid w:val="00B31369"/>
    <w:rsid w:val="00B3584F"/>
    <w:rsid w:val="00B36714"/>
    <w:rsid w:val="00B37FC0"/>
    <w:rsid w:val="00B43090"/>
    <w:rsid w:val="00B446B6"/>
    <w:rsid w:val="00B63E82"/>
    <w:rsid w:val="00B6432D"/>
    <w:rsid w:val="00B6583F"/>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50B93"/>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A0794"/>
    <w:rsid w:val="00CA1AC4"/>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10153"/>
    <w:rsid w:val="00D15E28"/>
    <w:rsid w:val="00D21235"/>
    <w:rsid w:val="00D21E5B"/>
    <w:rsid w:val="00D243F1"/>
    <w:rsid w:val="00D26F58"/>
    <w:rsid w:val="00D33949"/>
    <w:rsid w:val="00D34339"/>
    <w:rsid w:val="00D41246"/>
    <w:rsid w:val="00D4294C"/>
    <w:rsid w:val="00D42973"/>
    <w:rsid w:val="00D471A4"/>
    <w:rsid w:val="00D51E2F"/>
    <w:rsid w:val="00D603E4"/>
    <w:rsid w:val="00D62A3C"/>
    <w:rsid w:val="00D72A2E"/>
    <w:rsid w:val="00D755F9"/>
    <w:rsid w:val="00D771E7"/>
    <w:rsid w:val="00D87392"/>
    <w:rsid w:val="00D9263F"/>
    <w:rsid w:val="00D97906"/>
    <w:rsid w:val="00D97B04"/>
    <w:rsid w:val="00DB00AD"/>
    <w:rsid w:val="00DB344D"/>
    <w:rsid w:val="00DC46A7"/>
    <w:rsid w:val="00DE00D8"/>
    <w:rsid w:val="00DE11DF"/>
    <w:rsid w:val="00DE1911"/>
    <w:rsid w:val="00DE27C4"/>
    <w:rsid w:val="00DE572C"/>
    <w:rsid w:val="00DF4A7E"/>
    <w:rsid w:val="00DF6703"/>
    <w:rsid w:val="00E0551F"/>
    <w:rsid w:val="00E11D0D"/>
    <w:rsid w:val="00E128E6"/>
    <w:rsid w:val="00E1344C"/>
    <w:rsid w:val="00E16427"/>
    <w:rsid w:val="00E20ADF"/>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5499"/>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60C"/>
    <w:rsid w:val="00F44047"/>
    <w:rsid w:val="00F6025D"/>
    <w:rsid w:val="00F607DE"/>
    <w:rsid w:val="00F72461"/>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F28F4"/>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buckton@isfis.net" TargetMode="External"/><Relationship Id="rId13" Type="http://schemas.openxmlformats.org/officeDocument/2006/relationships/footer" Target="footer1.xml"/><Relationship Id="rId18" Type="http://schemas.openxmlformats.org/officeDocument/2006/relationships/hyperlink" Target="mailto:Margaret.buckton@isfis.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kevin.fiene@rsaia.org" TargetMode="External"/><Relationship Id="rId7" Type="http://schemas.openxmlformats.org/officeDocument/2006/relationships/hyperlink" Target="http://www.rsaia.org/legislative.html" TargetMode="External"/><Relationship Id="rId12" Type="http://schemas.openxmlformats.org/officeDocument/2006/relationships/header" Target="header1.xml"/><Relationship Id="rId17" Type="http://schemas.openxmlformats.org/officeDocument/2006/relationships/hyperlink" Target="https://www.legis.iowa.gov/committees/committee?ga=87&amp;groupID=686" TargetMode="External"/><Relationship Id="rId25" Type="http://schemas.openxmlformats.org/officeDocument/2006/relationships/hyperlink" Target="mailto:leeann.grimley@rsaia.org" TargetMode="External"/><Relationship Id="rId2" Type="http://schemas.openxmlformats.org/officeDocument/2006/relationships/styles" Target="styles.xml"/><Relationship Id="rId16" Type="http://schemas.openxmlformats.org/officeDocument/2006/relationships/hyperlink" Target="https://www.legis.iowa.gov/committees/committee?ga=87&amp;groupID=327" TargetMode="External"/><Relationship Id="rId20" Type="http://schemas.openxmlformats.org/officeDocument/2006/relationships/hyperlink" Target="mailto:dmcclain@claycentraleverl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bula.wsimg.com/89f3844e7c216fcbcd1473c165a9222b?AccessKeyId=D081CCCCA2DCE3941176&amp;disposition=0&amp;alloworigin=1" TargetMode="External"/><Relationship Id="rId24" Type="http://schemas.openxmlformats.org/officeDocument/2006/relationships/hyperlink" Target="mailto:dan.smith@rsaia.org" TargetMode="External"/><Relationship Id="rId5" Type="http://schemas.openxmlformats.org/officeDocument/2006/relationships/footnotes" Target="footnotes.xml"/><Relationship Id="rId15" Type="http://schemas.openxmlformats.org/officeDocument/2006/relationships/hyperlink" Target="https://www.legis.iowa.gov/legislators" TargetMode="External"/><Relationship Id="rId23" Type="http://schemas.openxmlformats.org/officeDocument/2006/relationships/hyperlink" Target="mailto:pcroghan@emschools.org" TargetMode="External"/><Relationship Id="rId10" Type="http://schemas.openxmlformats.org/officeDocument/2006/relationships/hyperlink" Target="https://www.legis.iowa.gov/docs/code/256.7.pdf" TargetMode="External"/><Relationship Id="rId19" Type="http://schemas.openxmlformats.org/officeDocument/2006/relationships/hyperlink" Target="mailto:robert.olson@rsaia.org" TargetMode="External"/><Relationship Id="rId4" Type="http://schemas.openxmlformats.org/officeDocument/2006/relationships/webSettings" Target="webSettings.xml"/><Relationship Id="rId9" Type="http://schemas.openxmlformats.org/officeDocument/2006/relationships/hyperlink" Target="https://www.legis.iowa.gov/docs/publications/SCGR/851571.pdf" TargetMode="External"/><Relationship Id="rId14" Type="http://schemas.openxmlformats.org/officeDocument/2006/relationships/hyperlink" Target="https://www.legis.iowa.gov/legislators" TargetMode="External"/><Relationship Id="rId22" Type="http://schemas.openxmlformats.org/officeDocument/2006/relationships/hyperlink" Target="mailto:brad.breon@rsaia.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8</cp:revision>
  <cp:lastPrinted>2015-04-03T15:56:00Z</cp:lastPrinted>
  <dcterms:created xsi:type="dcterms:W3CDTF">2017-01-19T22:00:00Z</dcterms:created>
  <dcterms:modified xsi:type="dcterms:W3CDTF">2017-01-20T04:58:00Z</dcterms:modified>
</cp:coreProperties>
</file>