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54C1D" w14:textId="77777777" w:rsidR="00072D1A" w:rsidRPr="00C774E2" w:rsidRDefault="007D704D" w:rsidP="007D704D">
      <w:pPr>
        <w:pStyle w:val="Title"/>
        <w:contextualSpacing w:val="0"/>
        <w:jc w:val="center"/>
        <w:rPr>
          <w:rFonts w:ascii="Times New Roman" w:hAnsi="Times New Roman"/>
        </w:rPr>
      </w:pPr>
      <w:r w:rsidRPr="00C774E2">
        <w:rPr>
          <w:rFonts w:ascii="Times New Roman" w:hAnsi="Times New Roman"/>
        </w:rPr>
        <w:t xml:space="preserve">HOTMA </w:t>
      </w:r>
      <w:r w:rsidR="005D3579" w:rsidRPr="00C774E2">
        <w:rPr>
          <w:rFonts w:ascii="Times New Roman" w:hAnsi="Times New Roman"/>
        </w:rPr>
        <w:t>102/104 Appendix</w:t>
      </w:r>
      <w:r w:rsidRPr="00C774E2">
        <w:rPr>
          <w:rFonts w:ascii="Times New Roman" w:hAnsi="Times New Roman"/>
        </w:rPr>
        <w:t xml:space="preserve"> to the </w:t>
      </w:r>
      <w:r w:rsidR="0066449F" w:rsidRPr="00C774E2">
        <w:rPr>
          <w:rFonts w:ascii="Times New Roman" w:hAnsi="Times New Roman"/>
        </w:rPr>
        <w:t>ACOP</w:t>
      </w:r>
    </w:p>
    <w:p w14:paraId="0335EDC6" w14:textId="77777777" w:rsidR="00BA4FC6" w:rsidRPr="00C774E2" w:rsidRDefault="00BA4FC6" w:rsidP="00AE7C91">
      <w:pPr>
        <w:pStyle w:val="Heading1"/>
        <w:spacing w:before="240"/>
        <w:jc w:val="center"/>
        <w:rPr>
          <w:rFonts w:ascii="Times New Roman" w:hAnsi="Times New Roman"/>
        </w:rPr>
      </w:pPr>
      <w:r w:rsidRPr="00C774E2">
        <w:rPr>
          <w:rFonts w:ascii="Times New Roman" w:hAnsi="Times New Roman"/>
        </w:rPr>
        <w:t xml:space="preserve">Purpose of the </w:t>
      </w:r>
      <w:r w:rsidR="005D3579" w:rsidRPr="00C774E2">
        <w:rPr>
          <w:rFonts w:ascii="Times New Roman" w:hAnsi="Times New Roman"/>
        </w:rPr>
        <w:t>Appendix</w:t>
      </w:r>
    </w:p>
    <w:p w14:paraId="21BD8CA3" w14:textId="77777777" w:rsidR="00951375" w:rsidRPr="00C774E2" w:rsidRDefault="00951375" w:rsidP="00951375">
      <w:pPr>
        <w:spacing w:before="120" w:after="0" w:line="240" w:lineRule="auto"/>
        <w:rPr>
          <w:rFonts w:ascii="Times New Roman" w:eastAsia="Times New Roman" w:hAnsi="Times New Roman"/>
          <w:kern w:val="0"/>
          <w:sz w:val="24"/>
          <w:szCs w:val="24"/>
        </w:rPr>
      </w:pPr>
      <w:r w:rsidRPr="00C774E2">
        <w:rPr>
          <w:rFonts w:ascii="Times New Roman" w:eastAsia="Times New Roman" w:hAnsi="Times New Roman"/>
          <w:color w:val="000000"/>
          <w:kern w:val="0"/>
          <w:sz w:val="24"/>
          <w:szCs w:val="24"/>
        </w:rPr>
        <w:t xml:space="preserve">HUD published a final rule on February 14, 2023, revising regulations related to income, assets, adjusted income, verification, and reexaminations and more to implement Sections 102 and 104 of HOTMA. While the new regulations were effective January 1, 2024, HUD delayed full compliance for HOTMA 102/104. </w:t>
      </w:r>
      <w:r w:rsidRPr="00C774E2">
        <w:rPr>
          <w:rFonts w:ascii="Times New Roman" w:eastAsia="Times New Roman" w:hAnsi="Times New Roman"/>
          <w:i/>
          <w:iCs/>
          <w:kern w:val="0"/>
          <w:sz w:val="24"/>
          <w:szCs w:val="24"/>
        </w:rPr>
        <w:t>Compliance</w:t>
      </w:r>
      <w:r w:rsidRPr="00C774E2">
        <w:rPr>
          <w:rFonts w:ascii="Times New Roman" w:eastAsia="Times New Roman" w:hAnsi="Times New Roman"/>
          <w:kern w:val="0"/>
          <w:sz w:val="24"/>
          <w:szCs w:val="24"/>
        </w:rPr>
        <w:t xml:space="preserve"> with Sections 102 and 104 of HOTMA means not only applying HOTMA 102/104 regulations to affected programs but also submitting Form HUD-50058s with family information to HUD’s electronic reporting system. Currently, PHAs remain unable to fully comply with HOTMA 102/104 because </w:t>
      </w:r>
      <w:bookmarkStart w:id="0" w:name="_Hlk208831376"/>
      <w:r w:rsidRPr="00C774E2">
        <w:rPr>
          <w:rFonts w:ascii="Times New Roman" w:eastAsia="Times New Roman" w:hAnsi="Times New Roman"/>
          <w:kern w:val="0"/>
          <w:sz w:val="24"/>
          <w:szCs w:val="24"/>
        </w:rPr>
        <w:t xml:space="preserve">HUD’s current IMS/PIC system is unable to accept HOTMA-compliant Form HUD-50058s. </w:t>
      </w:r>
      <w:bookmarkEnd w:id="0"/>
      <w:r w:rsidRPr="00C774E2">
        <w:rPr>
          <w:rFonts w:ascii="Times New Roman" w:eastAsia="Times New Roman" w:hAnsi="Times New Roman"/>
          <w:kern w:val="0"/>
          <w:sz w:val="24"/>
          <w:szCs w:val="24"/>
        </w:rPr>
        <w:t>However, in Notice PIH 2024-38, HUD determined that some HOTMA 102/104 policies are not dependent on transition systems and specified a PHA implementation date for these policies of July 1, 2025.</w:t>
      </w:r>
    </w:p>
    <w:p w14:paraId="7FC90B86" w14:textId="77777777" w:rsidR="00951375" w:rsidRPr="00C774E2" w:rsidRDefault="00951375" w:rsidP="00951375">
      <w:pPr>
        <w:spacing w:before="120" w:after="0" w:line="240" w:lineRule="auto"/>
        <w:rPr>
          <w:rFonts w:ascii="Times New Roman" w:eastAsia="Times New Roman" w:hAnsi="Times New Roman"/>
          <w:color w:val="000000"/>
          <w:kern w:val="0"/>
          <w:sz w:val="24"/>
          <w:szCs w:val="24"/>
        </w:rPr>
      </w:pPr>
      <w:r w:rsidRPr="00C774E2">
        <w:rPr>
          <w:rFonts w:ascii="Times New Roman" w:eastAsia="Times New Roman" w:hAnsi="Times New Roman"/>
          <w:color w:val="000000"/>
          <w:kern w:val="0"/>
          <w:sz w:val="24"/>
          <w:szCs w:val="24"/>
        </w:rPr>
        <w:t>HOTMA 102/104 policies are provided in each affected area of the model policy. Some HOTMA policies that are “on hold” are indicated in the model policy as such. This appendix explicitly identifies all HOTMA elements that are on hold.</w:t>
      </w:r>
    </w:p>
    <w:p w14:paraId="5ECC0A5D" w14:textId="77777777" w:rsidR="00951375" w:rsidRPr="00C774E2" w:rsidRDefault="00951375" w:rsidP="00951375">
      <w:pPr>
        <w:spacing w:before="120" w:after="0"/>
        <w:rPr>
          <w:rFonts w:ascii="Times New Roman" w:hAnsi="Times New Roman"/>
          <w:color w:val="000000"/>
          <w:sz w:val="24"/>
          <w:szCs w:val="24"/>
        </w:rPr>
      </w:pPr>
      <w:r w:rsidRPr="00C774E2">
        <w:rPr>
          <w:rFonts w:ascii="Times New Roman" w:hAnsi="Times New Roman"/>
          <w:color w:val="000000"/>
          <w:sz w:val="24"/>
          <w:szCs w:val="24"/>
        </w:rPr>
        <w:t>The PHA must have:</w:t>
      </w:r>
    </w:p>
    <w:p w14:paraId="54B68732" w14:textId="77777777" w:rsidR="00951375" w:rsidRPr="00C774E2" w:rsidRDefault="00951375" w:rsidP="00951375">
      <w:pPr>
        <w:pStyle w:val="ListParagraph"/>
        <w:numPr>
          <w:ilvl w:val="0"/>
          <w:numId w:val="33"/>
        </w:numPr>
        <w:kinsoku w:val="0"/>
        <w:overflowPunct w:val="0"/>
        <w:spacing w:before="60" w:after="0" w:line="240" w:lineRule="auto"/>
        <w:ind w:left="360"/>
        <w:contextualSpacing w:val="0"/>
        <w:textAlignment w:val="baseline"/>
        <w:rPr>
          <w:rFonts w:ascii="Times New Roman" w:eastAsia="Times New Roman" w:hAnsi="Times New Roman"/>
          <w:kern w:val="24"/>
          <w:sz w:val="24"/>
          <w:szCs w:val="24"/>
        </w:rPr>
      </w:pPr>
      <w:r w:rsidRPr="00C774E2">
        <w:rPr>
          <w:rFonts w:ascii="Times New Roman" w:eastAsia="Times New Roman" w:hAnsi="Times New Roman"/>
          <w:kern w:val="24"/>
          <w:sz w:val="24"/>
          <w:szCs w:val="24"/>
        </w:rPr>
        <w:t>Stopped enrolling families into the EID as of 12/31/23;</w:t>
      </w:r>
    </w:p>
    <w:p w14:paraId="796D7B34" w14:textId="0D7288F5" w:rsidR="00951375" w:rsidRPr="00C774E2" w:rsidRDefault="00951375" w:rsidP="00951375">
      <w:pPr>
        <w:pStyle w:val="ListParagraph"/>
        <w:numPr>
          <w:ilvl w:val="0"/>
          <w:numId w:val="33"/>
        </w:numPr>
        <w:kinsoku w:val="0"/>
        <w:overflowPunct w:val="0"/>
        <w:spacing w:before="60" w:after="0" w:line="240" w:lineRule="auto"/>
        <w:ind w:left="360"/>
        <w:contextualSpacing w:val="0"/>
        <w:textAlignment w:val="baseline"/>
        <w:rPr>
          <w:rFonts w:ascii="Times New Roman" w:eastAsia="Times New Roman" w:hAnsi="Times New Roman"/>
          <w:kern w:val="24"/>
          <w:sz w:val="24"/>
          <w:szCs w:val="24"/>
        </w:rPr>
      </w:pPr>
      <w:r w:rsidRPr="00C774E2">
        <w:rPr>
          <w:rFonts w:ascii="Times New Roman" w:eastAsia="Times New Roman" w:hAnsi="Times New Roman"/>
          <w:kern w:val="24"/>
          <w:sz w:val="24"/>
          <w:szCs w:val="24"/>
        </w:rPr>
        <w:t>Transitioned to the new Form HUD-9886-A no later than 2/1/25;</w:t>
      </w:r>
    </w:p>
    <w:p w14:paraId="781C6543" w14:textId="77777777" w:rsidR="00951375" w:rsidRPr="00C774E2" w:rsidRDefault="00951375" w:rsidP="00951375">
      <w:pPr>
        <w:pStyle w:val="ListParagraph"/>
        <w:numPr>
          <w:ilvl w:val="0"/>
          <w:numId w:val="33"/>
        </w:numPr>
        <w:kinsoku w:val="0"/>
        <w:overflowPunct w:val="0"/>
        <w:spacing w:before="60" w:after="0" w:line="240" w:lineRule="auto"/>
        <w:ind w:left="360"/>
        <w:contextualSpacing w:val="0"/>
        <w:textAlignment w:val="baseline"/>
        <w:rPr>
          <w:rFonts w:ascii="Times New Roman" w:eastAsia="Times New Roman" w:hAnsi="Times New Roman"/>
          <w:kern w:val="24"/>
          <w:sz w:val="24"/>
          <w:szCs w:val="24"/>
        </w:rPr>
      </w:pPr>
      <w:r w:rsidRPr="00C774E2">
        <w:rPr>
          <w:rFonts w:ascii="Times New Roman" w:eastAsia="Times New Roman" w:hAnsi="Times New Roman"/>
          <w:kern w:val="24"/>
          <w:sz w:val="24"/>
          <w:szCs w:val="24"/>
        </w:rPr>
        <w:t xml:space="preserve">Applied HOTMA 102/104 income exclusions listed in </w:t>
      </w:r>
      <w:hyperlink r:id="rId7" w:history="1">
        <w:r w:rsidRPr="00C774E2">
          <w:rPr>
            <w:rStyle w:val="Hyperlink"/>
            <w:rFonts w:ascii="Times New Roman" w:eastAsia="Times New Roman" w:hAnsi="Times New Roman"/>
            <w:kern w:val="24"/>
            <w:sz w:val="24"/>
            <w:szCs w:val="24"/>
          </w:rPr>
          <w:t>24 CFR 5.609</w:t>
        </w:r>
      </w:hyperlink>
      <w:r w:rsidRPr="00C774E2">
        <w:rPr>
          <w:rFonts w:ascii="Times New Roman" w:eastAsia="Times New Roman" w:hAnsi="Times New Roman"/>
          <w:kern w:val="24"/>
          <w:sz w:val="24"/>
          <w:szCs w:val="24"/>
        </w:rPr>
        <w:t>(b) (including new requirements for student financial assistance) for all income examinations effective on or after 7/1/25;</w:t>
      </w:r>
    </w:p>
    <w:p w14:paraId="7465A06A" w14:textId="77777777" w:rsidR="00951375" w:rsidRPr="00C774E2" w:rsidRDefault="00951375" w:rsidP="00951375">
      <w:pPr>
        <w:pStyle w:val="ListParagraph"/>
        <w:numPr>
          <w:ilvl w:val="0"/>
          <w:numId w:val="33"/>
        </w:numPr>
        <w:spacing w:before="60" w:after="0"/>
        <w:ind w:left="360"/>
        <w:contextualSpacing w:val="0"/>
        <w:rPr>
          <w:rFonts w:ascii="Times New Roman" w:eastAsia="Times New Roman" w:hAnsi="Times New Roman"/>
          <w:kern w:val="24"/>
          <w:sz w:val="24"/>
          <w:szCs w:val="24"/>
        </w:rPr>
      </w:pPr>
      <w:r w:rsidRPr="00C774E2">
        <w:rPr>
          <w:rFonts w:ascii="Times New Roman" w:eastAsia="Times New Roman" w:hAnsi="Times New Roman"/>
          <w:kern w:val="24"/>
          <w:sz w:val="24"/>
          <w:szCs w:val="24"/>
        </w:rPr>
        <w:t>Applied provisions related to de minimis errors; and</w:t>
      </w:r>
    </w:p>
    <w:p w14:paraId="79C8040E" w14:textId="793391FB" w:rsidR="00951375" w:rsidRPr="00C774E2" w:rsidRDefault="00951375" w:rsidP="00951375">
      <w:pPr>
        <w:pStyle w:val="ListParagraph"/>
        <w:numPr>
          <w:ilvl w:val="0"/>
          <w:numId w:val="33"/>
        </w:numPr>
        <w:spacing w:before="60" w:after="0"/>
        <w:ind w:left="360"/>
        <w:contextualSpacing w:val="0"/>
        <w:rPr>
          <w:rFonts w:ascii="Times New Roman" w:eastAsia="Times New Roman" w:hAnsi="Times New Roman"/>
          <w:kern w:val="24"/>
          <w:sz w:val="24"/>
          <w:szCs w:val="24"/>
        </w:rPr>
      </w:pPr>
      <w:r w:rsidRPr="00C774E2">
        <w:rPr>
          <w:rFonts w:ascii="Times New Roman" w:eastAsia="Times New Roman" w:hAnsi="Times New Roman"/>
          <w:kern w:val="24"/>
          <w:sz w:val="24"/>
          <w:szCs w:val="24"/>
        </w:rPr>
        <w:t>Used new HOTMA 102/104 definitions listed in the regulations for all transactions effective on or after 7/1/25.</w:t>
      </w:r>
    </w:p>
    <w:p w14:paraId="09508F8A" w14:textId="18939340" w:rsidR="00951375" w:rsidRPr="00C774E2" w:rsidRDefault="00951375" w:rsidP="00951375">
      <w:pPr>
        <w:spacing w:before="120" w:after="0"/>
        <w:rPr>
          <w:rFonts w:ascii="Times New Roman" w:hAnsi="Times New Roman"/>
          <w:color w:val="000000"/>
          <w:sz w:val="24"/>
          <w:szCs w:val="24"/>
        </w:rPr>
      </w:pPr>
      <w:r w:rsidRPr="00C774E2">
        <w:rPr>
          <w:rFonts w:ascii="Times New Roman" w:hAnsi="Times New Roman"/>
          <w:color w:val="000000"/>
          <w:sz w:val="24"/>
          <w:szCs w:val="24"/>
        </w:rPr>
        <w:t>These definitions are found in Chapter 6 of policy, although some may also be found in other chapters. The definitions include:</w:t>
      </w:r>
    </w:p>
    <w:p w14:paraId="729F5DBF" w14:textId="77777777" w:rsidR="00951375" w:rsidRPr="00C774E2" w:rsidRDefault="00951375" w:rsidP="00EE5B7A">
      <w:pPr>
        <w:pStyle w:val="ListParagraph"/>
        <w:numPr>
          <w:ilvl w:val="0"/>
          <w:numId w:val="33"/>
        </w:numPr>
        <w:kinsoku w:val="0"/>
        <w:overflowPunct w:val="0"/>
        <w:spacing w:before="60" w:after="0" w:line="240" w:lineRule="auto"/>
        <w:ind w:left="360"/>
        <w:contextualSpacing w:val="0"/>
        <w:textAlignment w:val="baseline"/>
        <w:rPr>
          <w:rFonts w:ascii="Times New Roman" w:eastAsia="Times New Roman" w:hAnsi="Times New Roman"/>
          <w:kern w:val="24"/>
          <w:sz w:val="24"/>
          <w:szCs w:val="24"/>
        </w:rPr>
      </w:pPr>
      <w:r w:rsidRPr="00C774E2">
        <w:rPr>
          <w:rFonts w:ascii="Times New Roman" w:eastAsia="Times New Roman" w:hAnsi="Times New Roman"/>
          <w:kern w:val="24"/>
          <w:sz w:val="24"/>
          <w:szCs w:val="24"/>
        </w:rPr>
        <w:t>Earned income</w:t>
      </w:r>
    </w:p>
    <w:p w14:paraId="66DC6690" w14:textId="77777777" w:rsidR="00951375" w:rsidRPr="00C774E2" w:rsidRDefault="00951375" w:rsidP="00EE5B7A">
      <w:pPr>
        <w:pStyle w:val="ListParagraph"/>
        <w:numPr>
          <w:ilvl w:val="0"/>
          <w:numId w:val="33"/>
        </w:numPr>
        <w:spacing w:before="60" w:after="0"/>
        <w:ind w:left="360"/>
        <w:contextualSpacing w:val="0"/>
        <w:rPr>
          <w:rFonts w:ascii="Times New Roman" w:eastAsia="Times New Roman" w:hAnsi="Times New Roman"/>
          <w:kern w:val="24"/>
          <w:sz w:val="24"/>
          <w:szCs w:val="24"/>
        </w:rPr>
      </w:pPr>
      <w:r w:rsidRPr="00C774E2">
        <w:rPr>
          <w:rFonts w:ascii="Times New Roman" w:eastAsia="Times New Roman" w:hAnsi="Times New Roman"/>
          <w:kern w:val="24"/>
          <w:sz w:val="24"/>
          <w:szCs w:val="24"/>
        </w:rPr>
        <w:t>Unearned income</w:t>
      </w:r>
    </w:p>
    <w:p w14:paraId="30579E05" w14:textId="77777777" w:rsidR="00951375" w:rsidRPr="00C774E2" w:rsidRDefault="00951375" w:rsidP="00EE5B7A">
      <w:pPr>
        <w:pStyle w:val="ListParagraph"/>
        <w:numPr>
          <w:ilvl w:val="0"/>
          <w:numId w:val="33"/>
        </w:numPr>
        <w:spacing w:before="60" w:after="0"/>
        <w:ind w:left="360"/>
        <w:contextualSpacing w:val="0"/>
        <w:rPr>
          <w:rFonts w:ascii="Times New Roman" w:eastAsia="Times New Roman" w:hAnsi="Times New Roman"/>
          <w:kern w:val="24"/>
          <w:sz w:val="24"/>
          <w:szCs w:val="24"/>
        </w:rPr>
      </w:pPr>
      <w:r w:rsidRPr="00C774E2">
        <w:rPr>
          <w:rFonts w:ascii="Times New Roman" w:eastAsia="Times New Roman" w:hAnsi="Times New Roman"/>
          <w:kern w:val="24"/>
          <w:sz w:val="24"/>
          <w:szCs w:val="24"/>
        </w:rPr>
        <w:t>Family</w:t>
      </w:r>
    </w:p>
    <w:p w14:paraId="2C55FB63" w14:textId="77777777" w:rsidR="00951375" w:rsidRPr="00C774E2" w:rsidRDefault="00951375" w:rsidP="00EE5B7A">
      <w:pPr>
        <w:pStyle w:val="ListParagraph"/>
        <w:numPr>
          <w:ilvl w:val="0"/>
          <w:numId w:val="33"/>
        </w:numPr>
        <w:spacing w:before="60" w:after="0"/>
        <w:ind w:left="360"/>
        <w:contextualSpacing w:val="0"/>
        <w:rPr>
          <w:rFonts w:ascii="Times New Roman" w:eastAsia="Times New Roman" w:hAnsi="Times New Roman"/>
          <w:kern w:val="24"/>
          <w:sz w:val="24"/>
          <w:szCs w:val="24"/>
        </w:rPr>
      </w:pPr>
      <w:r w:rsidRPr="00C774E2">
        <w:rPr>
          <w:rFonts w:ascii="Times New Roman" w:eastAsia="Times New Roman" w:hAnsi="Times New Roman"/>
          <w:kern w:val="24"/>
          <w:sz w:val="24"/>
          <w:szCs w:val="24"/>
        </w:rPr>
        <w:t>Day laborer</w:t>
      </w:r>
    </w:p>
    <w:p w14:paraId="7999C912" w14:textId="77777777" w:rsidR="00951375" w:rsidRPr="00C774E2" w:rsidRDefault="00951375" w:rsidP="00EE5B7A">
      <w:pPr>
        <w:pStyle w:val="ListParagraph"/>
        <w:numPr>
          <w:ilvl w:val="0"/>
          <w:numId w:val="33"/>
        </w:numPr>
        <w:spacing w:before="60" w:after="0"/>
        <w:ind w:left="360"/>
        <w:contextualSpacing w:val="0"/>
        <w:rPr>
          <w:rFonts w:ascii="Times New Roman" w:eastAsia="Times New Roman" w:hAnsi="Times New Roman"/>
          <w:kern w:val="24"/>
          <w:sz w:val="24"/>
          <w:szCs w:val="24"/>
        </w:rPr>
      </w:pPr>
      <w:r w:rsidRPr="00C774E2">
        <w:rPr>
          <w:rFonts w:ascii="Times New Roman" w:eastAsia="Times New Roman" w:hAnsi="Times New Roman"/>
          <w:kern w:val="24"/>
          <w:sz w:val="24"/>
          <w:szCs w:val="24"/>
        </w:rPr>
        <w:t>Independent contractor</w:t>
      </w:r>
    </w:p>
    <w:p w14:paraId="1BC3BC04" w14:textId="77777777" w:rsidR="00951375" w:rsidRPr="00C774E2" w:rsidRDefault="00951375" w:rsidP="00EE5B7A">
      <w:pPr>
        <w:pStyle w:val="ListParagraph"/>
        <w:numPr>
          <w:ilvl w:val="0"/>
          <w:numId w:val="33"/>
        </w:numPr>
        <w:spacing w:before="60" w:after="0"/>
        <w:ind w:left="360"/>
        <w:contextualSpacing w:val="0"/>
        <w:rPr>
          <w:rFonts w:ascii="Times New Roman" w:eastAsia="Times New Roman" w:hAnsi="Times New Roman"/>
          <w:kern w:val="24"/>
          <w:sz w:val="24"/>
          <w:szCs w:val="24"/>
        </w:rPr>
      </w:pPr>
      <w:r w:rsidRPr="00C774E2">
        <w:rPr>
          <w:rFonts w:ascii="Times New Roman" w:eastAsia="Times New Roman" w:hAnsi="Times New Roman"/>
          <w:kern w:val="24"/>
          <w:sz w:val="24"/>
          <w:szCs w:val="24"/>
        </w:rPr>
        <w:t>Dependent</w:t>
      </w:r>
    </w:p>
    <w:p w14:paraId="3F109E53" w14:textId="77777777" w:rsidR="00951375" w:rsidRPr="00C774E2" w:rsidRDefault="00951375" w:rsidP="00EE5B7A">
      <w:pPr>
        <w:pStyle w:val="ListParagraph"/>
        <w:numPr>
          <w:ilvl w:val="0"/>
          <w:numId w:val="33"/>
        </w:numPr>
        <w:spacing w:before="60" w:after="0"/>
        <w:ind w:left="360"/>
        <w:contextualSpacing w:val="0"/>
        <w:rPr>
          <w:rFonts w:ascii="Times New Roman" w:eastAsia="Times New Roman" w:hAnsi="Times New Roman"/>
          <w:kern w:val="24"/>
          <w:sz w:val="24"/>
          <w:szCs w:val="24"/>
        </w:rPr>
      </w:pPr>
      <w:r w:rsidRPr="00C774E2">
        <w:rPr>
          <w:rFonts w:ascii="Times New Roman" w:eastAsia="Times New Roman" w:hAnsi="Times New Roman"/>
          <w:kern w:val="24"/>
          <w:sz w:val="24"/>
          <w:szCs w:val="24"/>
        </w:rPr>
        <w:t>Foster child and foster adults</w:t>
      </w:r>
    </w:p>
    <w:p w14:paraId="7B96AAD1" w14:textId="77777777" w:rsidR="00951375" w:rsidRPr="00C774E2" w:rsidRDefault="00951375" w:rsidP="00EE5B7A">
      <w:pPr>
        <w:pStyle w:val="ListParagraph"/>
        <w:numPr>
          <w:ilvl w:val="0"/>
          <w:numId w:val="33"/>
        </w:numPr>
        <w:spacing w:before="60" w:after="0"/>
        <w:ind w:left="360"/>
        <w:contextualSpacing w:val="0"/>
        <w:rPr>
          <w:rFonts w:ascii="Times New Roman" w:eastAsia="Times New Roman" w:hAnsi="Times New Roman"/>
          <w:kern w:val="24"/>
          <w:sz w:val="24"/>
          <w:szCs w:val="24"/>
        </w:rPr>
      </w:pPr>
      <w:r w:rsidRPr="00C774E2">
        <w:rPr>
          <w:rFonts w:ascii="Times New Roman" w:eastAsia="Times New Roman" w:hAnsi="Times New Roman"/>
          <w:kern w:val="24"/>
          <w:sz w:val="24"/>
          <w:szCs w:val="24"/>
        </w:rPr>
        <w:t>Health and medical care expenses</w:t>
      </w:r>
    </w:p>
    <w:p w14:paraId="5E241DDE" w14:textId="77777777" w:rsidR="00951375" w:rsidRPr="00C774E2" w:rsidRDefault="00951375" w:rsidP="00EE5B7A">
      <w:pPr>
        <w:pStyle w:val="ListParagraph"/>
        <w:numPr>
          <w:ilvl w:val="0"/>
          <w:numId w:val="33"/>
        </w:numPr>
        <w:spacing w:before="60" w:after="0"/>
        <w:ind w:left="360"/>
        <w:contextualSpacing w:val="0"/>
        <w:rPr>
          <w:rFonts w:ascii="Times New Roman" w:eastAsia="Times New Roman" w:hAnsi="Times New Roman"/>
          <w:kern w:val="24"/>
          <w:sz w:val="24"/>
          <w:szCs w:val="24"/>
        </w:rPr>
      </w:pPr>
      <w:r w:rsidRPr="00C774E2">
        <w:rPr>
          <w:rFonts w:ascii="Times New Roman" w:eastAsia="Times New Roman" w:hAnsi="Times New Roman"/>
          <w:kern w:val="24"/>
          <w:sz w:val="24"/>
          <w:szCs w:val="24"/>
        </w:rPr>
        <w:t>Minor</w:t>
      </w:r>
    </w:p>
    <w:p w14:paraId="2A9AB6ED" w14:textId="4FDC6C8F" w:rsidR="00951375" w:rsidRPr="00C774E2" w:rsidRDefault="003274AD" w:rsidP="00951375">
      <w:pPr>
        <w:spacing w:before="120" w:after="0"/>
        <w:rPr>
          <w:rFonts w:ascii="Times New Roman" w:eastAsia="Times New Roman" w:hAnsi="Times New Roman"/>
          <w:kern w:val="24"/>
          <w:sz w:val="24"/>
          <w:szCs w:val="24"/>
        </w:rPr>
      </w:pPr>
      <w:r w:rsidRPr="00C774E2">
        <w:rPr>
          <w:rFonts w:ascii="Times New Roman" w:hAnsi="Times New Roman"/>
        </w:rPr>
        <w:br w:type="page"/>
      </w:r>
      <w:r w:rsidR="00951375" w:rsidRPr="00C774E2">
        <w:rPr>
          <w:rFonts w:ascii="Times New Roman" w:hAnsi="Times New Roman"/>
          <w:color w:val="000000"/>
          <w:sz w:val="24"/>
          <w:szCs w:val="24"/>
        </w:rPr>
        <w:lastRenderedPageBreak/>
        <w:t>Further</w:t>
      </w:r>
      <w:r w:rsidR="00951375" w:rsidRPr="00C774E2">
        <w:rPr>
          <w:rFonts w:ascii="Times New Roman" w:eastAsia="Times New Roman" w:hAnsi="Times New Roman"/>
          <w:kern w:val="24"/>
          <w:sz w:val="24"/>
          <w:szCs w:val="24"/>
        </w:rPr>
        <w:t xml:space="preserve">, PHAs </w:t>
      </w:r>
      <w:r w:rsidR="00951375" w:rsidRPr="00C774E2">
        <w:rPr>
          <w:rFonts w:ascii="Times New Roman" w:eastAsia="Times New Roman" w:hAnsi="Times New Roman"/>
          <w:b/>
          <w:bCs/>
          <w:kern w:val="24"/>
          <w:sz w:val="24"/>
          <w:szCs w:val="24"/>
        </w:rPr>
        <w:t>may,</w:t>
      </w:r>
      <w:r w:rsidR="00951375" w:rsidRPr="00C774E2">
        <w:rPr>
          <w:rFonts w:ascii="Times New Roman" w:eastAsia="Times New Roman" w:hAnsi="Times New Roman"/>
          <w:kern w:val="24"/>
          <w:sz w:val="24"/>
          <w:szCs w:val="24"/>
        </w:rPr>
        <w:t xml:space="preserve"> but are not required to:</w:t>
      </w:r>
    </w:p>
    <w:p w14:paraId="0C685D72" w14:textId="77777777" w:rsidR="00951375" w:rsidRPr="00C774E2" w:rsidRDefault="00951375" w:rsidP="00951375">
      <w:pPr>
        <w:pStyle w:val="ListParagraph"/>
        <w:numPr>
          <w:ilvl w:val="0"/>
          <w:numId w:val="33"/>
        </w:numPr>
        <w:spacing w:before="60" w:after="0"/>
        <w:ind w:left="360"/>
        <w:contextualSpacing w:val="0"/>
        <w:rPr>
          <w:rFonts w:ascii="Times New Roman" w:eastAsia="Times New Roman" w:hAnsi="Times New Roman"/>
          <w:kern w:val="24"/>
          <w:sz w:val="24"/>
          <w:szCs w:val="24"/>
        </w:rPr>
      </w:pPr>
      <w:r w:rsidRPr="00C774E2">
        <w:rPr>
          <w:rFonts w:ascii="Times New Roman" w:eastAsia="Times New Roman" w:hAnsi="Times New Roman"/>
          <w:kern w:val="24"/>
          <w:sz w:val="24"/>
          <w:szCs w:val="24"/>
        </w:rPr>
        <w:t>Stop using the EIV Income Report during interim reexams.</w:t>
      </w:r>
    </w:p>
    <w:p w14:paraId="1AD58C7F" w14:textId="77777777" w:rsidR="00951375" w:rsidRPr="00C774E2" w:rsidRDefault="00951375" w:rsidP="00951375">
      <w:pPr>
        <w:pStyle w:val="ListParagraph"/>
        <w:numPr>
          <w:ilvl w:val="0"/>
          <w:numId w:val="33"/>
        </w:numPr>
        <w:spacing w:before="60" w:after="0"/>
        <w:ind w:left="360"/>
        <w:contextualSpacing w:val="0"/>
        <w:rPr>
          <w:rFonts w:ascii="Times New Roman" w:eastAsia="Times New Roman" w:hAnsi="Times New Roman"/>
          <w:kern w:val="24"/>
          <w:sz w:val="24"/>
          <w:szCs w:val="24"/>
        </w:rPr>
      </w:pPr>
      <w:r w:rsidRPr="00C774E2">
        <w:rPr>
          <w:rFonts w:ascii="Times New Roman" w:eastAsia="Times New Roman" w:hAnsi="Times New Roman"/>
          <w:kern w:val="24"/>
          <w:sz w:val="24"/>
          <w:szCs w:val="24"/>
        </w:rPr>
        <w:t>Use Safe Harbor income determinations from means-tested federal assistance programs to verify a family’s income and assets.</w:t>
      </w:r>
    </w:p>
    <w:p w14:paraId="0D7BB2D1" w14:textId="77777777" w:rsidR="00951375" w:rsidRPr="00C774E2" w:rsidRDefault="00951375" w:rsidP="00951375">
      <w:pPr>
        <w:spacing w:before="120" w:after="0"/>
        <w:rPr>
          <w:rFonts w:ascii="Times New Roman" w:eastAsia="Times New Roman" w:hAnsi="Times New Roman"/>
          <w:kern w:val="24"/>
          <w:sz w:val="24"/>
          <w:szCs w:val="24"/>
        </w:rPr>
      </w:pPr>
      <w:r w:rsidRPr="00C774E2">
        <w:rPr>
          <w:rFonts w:ascii="Times New Roman" w:hAnsi="Times New Roman"/>
          <w:color w:val="000000"/>
          <w:sz w:val="24"/>
          <w:szCs w:val="24"/>
        </w:rPr>
        <w:t>Finally</w:t>
      </w:r>
      <w:r w:rsidRPr="00C774E2">
        <w:rPr>
          <w:rFonts w:ascii="Times New Roman" w:eastAsia="Times New Roman" w:hAnsi="Times New Roman"/>
          <w:kern w:val="24"/>
          <w:sz w:val="24"/>
          <w:szCs w:val="24"/>
        </w:rPr>
        <w:t xml:space="preserve">, in FAQs dated 2/22/24, HUD also stated PHAs </w:t>
      </w:r>
      <w:r w:rsidRPr="00C774E2">
        <w:rPr>
          <w:rFonts w:ascii="Times New Roman" w:eastAsia="Times New Roman" w:hAnsi="Times New Roman"/>
          <w:b/>
          <w:bCs/>
          <w:kern w:val="24"/>
          <w:sz w:val="24"/>
          <w:szCs w:val="24"/>
        </w:rPr>
        <w:t>may,</w:t>
      </w:r>
      <w:r w:rsidRPr="00C774E2">
        <w:rPr>
          <w:rFonts w:ascii="Times New Roman" w:eastAsia="Times New Roman" w:hAnsi="Times New Roman"/>
          <w:kern w:val="24"/>
          <w:sz w:val="24"/>
          <w:szCs w:val="24"/>
        </w:rPr>
        <w:t xml:space="preserve"> but are not required to:</w:t>
      </w:r>
    </w:p>
    <w:p w14:paraId="5D87A4C3" w14:textId="77777777" w:rsidR="00951375" w:rsidRPr="00C774E2" w:rsidRDefault="00951375" w:rsidP="00951375">
      <w:pPr>
        <w:pStyle w:val="ListParagraph"/>
        <w:numPr>
          <w:ilvl w:val="0"/>
          <w:numId w:val="33"/>
        </w:numPr>
        <w:spacing w:before="60" w:after="0"/>
        <w:ind w:left="360"/>
        <w:contextualSpacing w:val="0"/>
        <w:rPr>
          <w:rFonts w:ascii="Times New Roman" w:eastAsia="Times New Roman" w:hAnsi="Times New Roman"/>
          <w:kern w:val="24"/>
          <w:sz w:val="24"/>
          <w:szCs w:val="24"/>
        </w:rPr>
      </w:pPr>
      <w:r w:rsidRPr="00C774E2">
        <w:rPr>
          <w:rFonts w:ascii="Times New Roman" w:eastAsia="Times New Roman" w:hAnsi="Times New Roman"/>
          <w:kern w:val="24"/>
          <w:sz w:val="24"/>
          <w:szCs w:val="24"/>
        </w:rPr>
        <w:t>Accept third-party verification dated within 120 days of the date received by the PHA (rather than 60 days of the reexam/PHA request date);</w:t>
      </w:r>
    </w:p>
    <w:p w14:paraId="37C8A674" w14:textId="77777777" w:rsidR="00951375" w:rsidRPr="00C774E2" w:rsidRDefault="00951375" w:rsidP="00951375">
      <w:pPr>
        <w:pStyle w:val="ListParagraph"/>
        <w:numPr>
          <w:ilvl w:val="0"/>
          <w:numId w:val="33"/>
        </w:numPr>
        <w:spacing w:before="60" w:after="0"/>
        <w:ind w:left="360"/>
        <w:contextualSpacing w:val="0"/>
        <w:rPr>
          <w:rFonts w:ascii="Times New Roman" w:eastAsia="Times New Roman" w:hAnsi="Times New Roman"/>
          <w:kern w:val="24"/>
          <w:sz w:val="24"/>
          <w:szCs w:val="24"/>
        </w:rPr>
      </w:pPr>
      <w:r w:rsidRPr="00C774E2">
        <w:rPr>
          <w:rFonts w:ascii="Times New Roman" w:eastAsia="Times New Roman" w:hAnsi="Times New Roman"/>
          <w:kern w:val="24"/>
          <w:sz w:val="24"/>
          <w:szCs w:val="24"/>
        </w:rPr>
        <w:t>Accept a statement dated within the appropriate benefit year for fixed income sources like Social Security; and</w:t>
      </w:r>
    </w:p>
    <w:p w14:paraId="27A69346" w14:textId="77777777" w:rsidR="00951375" w:rsidRPr="00C774E2" w:rsidRDefault="00951375" w:rsidP="00951375">
      <w:pPr>
        <w:pStyle w:val="ListParagraph"/>
        <w:numPr>
          <w:ilvl w:val="0"/>
          <w:numId w:val="33"/>
        </w:numPr>
        <w:spacing w:before="60" w:after="0"/>
        <w:ind w:left="360"/>
        <w:contextualSpacing w:val="0"/>
        <w:rPr>
          <w:rFonts w:ascii="Times New Roman" w:eastAsia="Times New Roman" w:hAnsi="Times New Roman"/>
          <w:kern w:val="24"/>
          <w:sz w:val="24"/>
          <w:szCs w:val="24"/>
        </w:rPr>
      </w:pPr>
      <w:r w:rsidRPr="00C774E2">
        <w:rPr>
          <w:rFonts w:ascii="Times New Roman" w:eastAsia="Times New Roman" w:hAnsi="Times New Roman"/>
          <w:kern w:val="24"/>
          <w:sz w:val="24"/>
          <w:szCs w:val="24"/>
        </w:rPr>
        <w:t>Accept a self-certification of SSNs along with a third-party document as a last resort if an individual is not able to provide documentation of SSN.</w:t>
      </w:r>
    </w:p>
    <w:p w14:paraId="3C6CA3D2" w14:textId="7F56EC6B" w:rsidR="00951375" w:rsidRPr="00C774E2" w:rsidRDefault="00951375" w:rsidP="00951375">
      <w:pPr>
        <w:spacing w:before="120" w:after="0"/>
        <w:rPr>
          <w:rFonts w:ascii="Times New Roman" w:eastAsia="Times New Roman" w:hAnsi="Times New Roman"/>
          <w:kern w:val="24"/>
          <w:sz w:val="24"/>
          <w:szCs w:val="24"/>
        </w:rPr>
      </w:pPr>
      <w:r w:rsidRPr="00C774E2">
        <w:rPr>
          <w:rFonts w:ascii="Times New Roman" w:hAnsi="Times New Roman"/>
          <w:color w:val="000000"/>
          <w:sz w:val="24"/>
          <w:szCs w:val="24"/>
        </w:rPr>
        <w:t>More</w:t>
      </w:r>
      <w:r w:rsidRPr="00C774E2">
        <w:rPr>
          <w:rFonts w:ascii="Times New Roman" w:eastAsia="Times New Roman" w:hAnsi="Times New Roman"/>
          <w:kern w:val="24"/>
          <w:sz w:val="24"/>
          <w:szCs w:val="24"/>
        </w:rPr>
        <w:t xml:space="preserve"> details about each of the above provisions can be found in Notice</w:t>
      </w:r>
      <w:r w:rsidR="00283919" w:rsidRPr="00C774E2">
        <w:rPr>
          <w:rFonts w:ascii="Times New Roman" w:eastAsia="Times New Roman" w:hAnsi="Times New Roman"/>
          <w:kern w:val="24"/>
          <w:sz w:val="24"/>
          <w:szCs w:val="24"/>
        </w:rPr>
        <w:t xml:space="preserve"> </w:t>
      </w:r>
      <w:hyperlink r:id="rId8" w:history="1">
        <w:r w:rsidR="00283919" w:rsidRPr="00C774E2">
          <w:rPr>
            <w:rStyle w:val="Hyperlink"/>
            <w:rFonts w:ascii="Times New Roman" w:eastAsia="Times New Roman" w:hAnsi="Times New Roman"/>
            <w:kern w:val="24"/>
            <w:sz w:val="24"/>
            <w:szCs w:val="24"/>
          </w:rPr>
          <w:t>PIH 2024-38</w:t>
        </w:r>
      </w:hyperlink>
      <w:r w:rsidRPr="00C774E2">
        <w:rPr>
          <w:rFonts w:ascii="Times New Roman" w:eastAsia="Times New Roman" w:hAnsi="Times New Roman"/>
          <w:kern w:val="24"/>
          <w:sz w:val="24"/>
          <w:szCs w:val="24"/>
        </w:rPr>
        <w:t>.</w:t>
      </w:r>
    </w:p>
    <w:p w14:paraId="2ED57C64" w14:textId="77777777" w:rsidR="00951375" w:rsidRPr="00C774E2" w:rsidRDefault="00951375" w:rsidP="00951375">
      <w:pPr>
        <w:spacing w:before="120" w:after="0"/>
        <w:rPr>
          <w:rFonts w:ascii="Times New Roman" w:eastAsia="Times New Roman" w:hAnsi="Times New Roman"/>
          <w:kern w:val="24"/>
          <w:sz w:val="24"/>
          <w:szCs w:val="24"/>
        </w:rPr>
      </w:pPr>
      <w:r w:rsidRPr="00C774E2">
        <w:rPr>
          <w:rFonts w:ascii="Times New Roman" w:eastAsia="Times New Roman" w:hAnsi="Times New Roman"/>
          <w:kern w:val="24"/>
          <w:sz w:val="24"/>
          <w:szCs w:val="24"/>
        </w:rPr>
        <w:t xml:space="preserve">All other provisions of HOTMA 102/104 remain on hold. This means </w:t>
      </w:r>
      <w:r w:rsidRPr="00C774E2">
        <w:rPr>
          <w:rFonts w:ascii="Times New Roman" w:eastAsia="Times New Roman" w:hAnsi="Times New Roman"/>
          <w:b/>
          <w:bCs/>
          <w:kern w:val="24"/>
          <w:sz w:val="24"/>
          <w:szCs w:val="24"/>
        </w:rPr>
        <w:t>PHAs may not yet implement certain provisions of HOTMA.</w:t>
      </w:r>
      <w:r w:rsidRPr="00C774E2">
        <w:rPr>
          <w:rFonts w:ascii="Times New Roman" w:eastAsia="Times New Roman" w:hAnsi="Times New Roman"/>
          <w:kern w:val="24"/>
          <w:sz w:val="24"/>
          <w:szCs w:val="24"/>
        </w:rPr>
        <w:t xml:space="preserve"> These include:</w:t>
      </w:r>
    </w:p>
    <w:p w14:paraId="4F11DEA5" w14:textId="77777777" w:rsidR="00951375" w:rsidRPr="00C774E2" w:rsidRDefault="00951375" w:rsidP="00951375">
      <w:pPr>
        <w:pStyle w:val="ListParagraph"/>
        <w:numPr>
          <w:ilvl w:val="0"/>
          <w:numId w:val="33"/>
        </w:numPr>
        <w:spacing w:before="60" w:after="0"/>
        <w:ind w:left="360"/>
        <w:contextualSpacing w:val="0"/>
        <w:rPr>
          <w:rFonts w:ascii="Times New Roman" w:eastAsia="Times New Roman" w:hAnsi="Times New Roman"/>
          <w:kern w:val="24"/>
          <w:sz w:val="24"/>
          <w:szCs w:val="24"/>
        </w:rPr>
      </w:pPr>
      <w:r w:rsidRPr="00C774E2">
        <w:rPr>
          <w:rFonts w:ascii="Times New Roman" w:eastAsia="Times New Roman" w:hAnsi="Times New Roman"/>
          <w:kern w:val="24"/>
          <w:sz w:val="24"/>
          <w:szCs w:val="24"/>
        </w:rPr>
        <w:t>All asset provisions, including the asset limitation;</w:t>
      </w:r>
    </w:p>
    <w:p w14:paraId="7B97435E" w14:textId="77777777" w:rsidR="00951375" w:rsidRPr="00C774E2" w:rsidRDefault="00951375" w:rsidP="00951375">
      <w:pPr>
        <w:pStyle w:val="ListParagraph"/>
        <w:numPr>
          <w:ilvl w:val="0"/>
          <w:numId w:val="33"/>
        </w:numPr>
        <w:spacing w:before="60" w:after="0"/>
        <w:ind w:left="360"/>
        <w:contextualSpacing w:val="0"/>
        <w:rPr>
          <w:rFonts w:ascii="Times New Roman" w:eastAsia="Times New Roman" w:hAnsi="Times New Roman"/>
          <w:kern w:val="24"/>
          <w:sz w:val="24"/>
          <w:szCs w:val="24"/>
        </w:rPr>
      </w:pPr>
      <w:r w:rsidRPr="00C774E2">
        <w:rPr>
          <w:rFonts w:ascii="Times New Roman" w:eastAsia="Times New Roman" w:hAnsi="Times New Roman"/>
          <w:kern w:val="24"/>
          <w:sz w:val="24"/>
          <w:szCs w:val="24"/>
        </w:rPr>
        <w:t>All adjusted income provisions, with the exception of the definition of health and medical care expenses;</w:t>
      </w:r>
    </w:p>
    <w:p w14:paraId="75006EC5" w14:textId="77777777" w:rsidR="00951375" w:rsidRPr="00C774E2" w:rsidRDefault="00951375" w:rsidP="00951375">
      <w:pPr>
        <w:pStyle w:val="ListParagraph"/>
        <w:numPr>
          <w:ilvl w:val="0"/>
          <w:numId w:val="33"/>
        </w:numPr>
        <w:spacing w:before="60" w:after="0"/>
        <w:ind w:left="360"/>
        <w:contextualSpacing w:val="0"/>
        <w:rPr>
          <w:rFonts w:ascii="Times New Roman" w:eastAsia="Times New Roman" w:hAnsi="Times New Roman"/>
          <w:kern w:val="24"/>
          <w:sz w:val="24"/>
          <w:szCs w:val="24"/>
        </w:rPr>
      </w:pPr>
      <w:r w:rsidRPr="00C774E2">
        <w:rPr>
          <w:rFonts w:ascii="Times New Roman" w:eastAsia="Times New Roman" w:hAnsi="Times New Roman"/>
          <w:kern w:val="24"/>
          <w:sz w:val="24"/>
          <w:szCs w:val="24"/>
        </w:rPr>
        <w:t>Inflationary adjustments (although PHAs may choose to use the HUD-determined passbook rate instead of a PHA-determined passbook rate);</w:t>
      </w:r>
    </w:p>
    <w:p w14:paraId="2CA68510" w14:textId="77777777" w:rsidR="00951375" w:rsidRPr="00C774E2" w:rsidRDefault="00951375" w:rsidP="00951375">
      <w:pPr>
        <w:pStyle w:val="ListParagraph"/>
        <w:numPr>
          <w:ilvl w:val="0"/>
          <w:numId w:val="33"/>
        </w:numPr>
        <w:spacing w:before="60" w:after="0"/>
        <w:ind w:left="360"/>
        <w:contextualSpacing w:val="0"/>
        <w:rPr>
          <w:rFonts w:ascii="Times New Roman" w:eastAsia="Times New Roman" w:hAnsi="Times New Roman"/>
          <w:kern w:val="24"/>
          <w:sz w:val="24"/>
          <w:szCs w:val="24"/>
        </w:rPr>
      </w:pPr>
      <w:r w:rsidRPr="00C774E2">
        <w:rPr>
          <w:rFonts w:ascii="Times New Roman" w:eastAsia="Times New Roman" w:hAnsi="Times New Roman"/>
          <w:kern w:val="24"/>
          <w:sz w:val="24"/>
          <w:szCs w:val="24"/>
        </w:rPr>
        <w:t>The new verification hierarchy, which allows for EIV + self-certification and for policy allowing the PHA to not use either third-party verification form or oral third-party verification before proceeding to accepting self-certifications;</w:t>
      </w:r>
    </w:p>
    <w:p w14:paraId="0B4B7648" w14:textId="77777777" w:rsidR="00951375" w:rsidRPr="00C774E2" w:rsidRDefault="00951375" w:rsidP="00951375">
      <w:pPr>
        <w:pStyle w:val="ListParagraph"/>
        <w:numPr>
          <w:ilvl w:val="0"/>
          <w:numId w:val="33"/>
        </w:numPr>
        <w:spacing w:before="60" w:after="0"/>
        <w:ind w:left="360"/>
        <w:contextualSpacing w:val="0"/>
        <w:rPr>
          <w:rFonts w:ascii="Times New Roman" w:eastAsia="Times New Roman" w:hAnsi="Times New Roman"/>
          <w:kern w:val="24"/>
          <w:sz w:val="24"/>
          <w:szCs w:val="24"/>
        </w:rPr>
      </w:pPr>
      <w:r w:rsidRPr="00C774E2">
        <w:rPr>
          <w:rFonts w:ascii="Times New Roman" w:eastAsia="Times New Roman" w:hAnsi="Times New Roman"/>
          <w:kern w:val="24"/>
          <w:sz w:val="24"/>
          <w:szCs w:val="24"/>
        </w:rPr>
        <w:t>Annual reexaminations using the previous 12-month period income;</w:t>
      </w:r>
    </w:p>
    <w:p w14:paraId="690555DC" w14:textId="77777777" w:rsidR="00951375" w:rsidRPr="00C774E2" w:rsidRDefault="00951375" w:rsidP="00951375">
      <w:pPr>
        <w:pStyle w:val="ListParagraph"/>
        <w:numPr>
          <w:ilvl w:val="0"/>
          <w:numId w:val="33"/>
        </w:numPr>
        <w:spacing w:before="60" w:after="0"/>
        <w:ind w:left="360"/>
        <w:contextualSpacing w:val="0"/>
        <w:rPr>
          <w:rFonts w:ascii="Times New Roman" w:eastAsia="Times New Roman" w:hAnsi="Times New Roman"/>
          <w:kern w:val="24"/>
          <w:sz w:val="24"/>
          <w:szCs w:val="24"/>
        </w:rPr>
      </w:pPr>
      <w:r w:rsidRPr="00C774E2">
        <w:rPr>
          <w:rFonts w:ascii="Times New Roman" w:eastAsia="Times New Roman" w:hAnsi="Times New Roman"/>
          <w:kern w:val="24"/>
          <w:sz w:val="24"/>
          <w:szCs w:val="24"/>
        </w:rPr>
        <w:t>Interim reexamination requirements; and</w:t>
      </w:r>
    </w:p>
    <w:p w14:paraId="0CBBD17C" w14:textId="77777777" w:rsidR="00951375" w:rsidRPr="00C774E2" w:rsidRDefault="00951375" w:rsidP="00951375">
      <w:pPr>
        <w:pStyle w:val="ListParagraph"/>
        <w:numPr>
          <w:ilvl w:val="0"/>
          <w:numId w:val="33"/>
        </w:numPr>
        <w:spacing w:before="60" w:after="0"/>
        <w:ind w:left="360"/>
        <w:contextualSpacing w:val="0"/>
        <w:rPr>
          <w:rFonts w:ascii="Times New Roman" w:eastAsia="Times New Roman" w:hAnsi="Times New Roman"/>
          <w:kern w:val="24"/>
          <w:sz w:val="24"/>
          <w:szCs w:val="24"/>
        </w:rPr>
      </w:pPr>
      <w:r w:rsidRPr="00C774E2">
        <w:rPr>
          <w:rFonts w:ascii="Times New Roman" w:eastAsia="Times New Roman" w:hAnsi="Times New Roman"/>
          <w:kern w:val="24"/>
          <w:sz w:val="24"/>
          <w:szCs w:val="24"/>
        </w:rPr>
        <w:t>Non-interim reexamination transactions.</w:t>
      </w:r>
    </w:p>
    <w:p w14:paraId="72BBE4D1" w14:textId="7A65A7A4" w:rsidR="00750526" w:rsidRPr="00C774E2" w:rsidRDefault="00951375" w:rsidP="00750526">
      <w:pPr>
        <w:spacing w:before="240"/>
        <w:rPr>
          <w:rFonts w:ascii="Times New Roman" w:hAnsi="Times New Roman"/>
          <w:color w:val="000000"/>
          <w:sz w:val="24"/>
          <w:szCs w:val="24"/>
        </w:rPr>
      </w:pPr>
      <w:r w:rsidRPr="00C774E2">
        <w:rPr>
          <w:rFonts w:ascii="Times New Roman" w:eastAsia="Times New Roman" w:hAnsi="Times New Roman"/>
          <w:kern w:val="24"/>
          <w:sz w:val="24"/>
          <w:szCs w:val="24"/>
        </w:rPr>
        <w:t xml:space="preserve">PHAs may not implement the above provisions because </w:t>
      </w:r>
      <w:r w:rsidRPr="00C774E2">
        <w:rPr>
          <w:rFonts w:ascii="Times New Roman" w:eastAsia="Times New Roman" w:hAnsi="Times New Roman"/>
          <w:kern w:val="0"/>
          <w:sz w:val="24"/>
          <w:szCs w:val="24"/>
        </w:rPr>
        <w:t xml:space="preserve">HUD’s current IMS/PIC system is unable to accept HOTMA-compliant Form HUD-50058s. </w:t>
      </w:r>
      <w:r w:rsidRPr="00C774E2">
        <w:rPr>
          <w:rFonts w:ascii="Times New Roman" w:eastAsia="Times New Roman" w:hAnsi="Times New Roman"/>
          <w:kern w:val="24"/>
          <w:sz w:val="24"/>
          <w:szCs w:val="24"/>
        </w:rPr>
        <w:t>PHAs should await further guidance from HUD on when these will be applicable.</w:t>
      </w:r>
    </w:p>
    <w:p w14:paraId="2D462D3F" w14:textId="77777777" w:rsidR="00F2255E" w:rsidRPr="00C774E2" w:rsidRDefault="00D56274" w:rsidP="005E4985">
      <w:pPr>
        <w:pStyle w:val="Heading1"/>
        <w:jc w:val="center"/>
        <w:rPr>
          <w:rFonts w:ascii="Times New Roman" w:hAnsi="Times New Roman"/>
        </w:rPr>
      </w:pPr>
      <w:r w:rsidRPr="00C774E2">
        <w:rPr>
          <w:rFonts w:ascii="Times New Roman" w:hAnsi="Times New Roman"/>
        </w:rPr>
        <w:br w:type="page"/>
      </w:r>
      <w:r w:rsidR="005D3579" w:rsidRPr="00C774E2">
        <w:rPr>
          <w:rFonts w:ascii="Times New Roman" w:hAnsi="Times New Roman"/>
        </w:rPr>
        <w:lastRenderedPageBreak/>
        <w:t>HOTMA</w:t>
      </w:r>
      <w:r w:rsidR="00F2255E" w:rsidRPr="00C774E2">
        <w:rPr>
          <w:rFonts w:ascii="Times New Roman" w:hAnsi="Times New Roman"/>
        </w:rPr>
        <w:t xml:space="preserve"> </w:t>
      </w:r>
      <w:r w:rsidR="00E92155" w:rsidRPr="00C774E2">
        <w:rPr>
          <w:rFonts w:ascii="Times New Roman" w:hAnsi="Times New Roman"/>
        </w:rPr>
        <w:t xml:space="preserve">102/104 </w:t>
      </w:r>
      <w:r w:rsidR="00F2255E" w:rsidRPr="00C774E2">
        <w:rPr>
          <w:rFonts w:ascii="Times New Roman" w:hAnsi="Times New Roman"/>
        </w:rPr>
        <w:t>Policies</w:t>
      </w:r>
      <w:r w:rsidR="0065307F" w:rsidRPr="00C774E2">
        <w:rPr>
          <w:rFonts w:ascii="Times New Roman" w:hAnsi="Times New Roman"/>
        </w:rPr>
        <w:t xml:space="preserve"> Not Yet Implemented</w:t>
      </w:r>
    </w:p>
    <w:p w14:paraId="7842A585" w14:textId="77777777" w:rsidR="005E427D" w:rsidRPr="00C774E2" w:rsidRDefault="005E427D" w:rsidP="00F2255E">
      <w:pPr>
        <w:pStyle w:val="Heading2"/>
        <w:rPr>
          <w:rFonts w:ascii="Times New Roman" w:hAnsi="Times New Roman"/>
        </w:rPr>
      </w:pPr>
      <w:r w:rsidRPr="00C774E2">
        <w:rPr>
          <w:rFonts w:ascii="Times New Roman" w:hAnsi="Times New Roman"/>
        </w:rPr>
        <w:t>Chapter 00</w:t>
      </w:r>
    </w:p>
    <w:p w14:paraId="2FD4E524" w14:textId="77777777" w:rsidR="005E427D" w:rsidRPr="00C774E2" w:rsidRDefault="005E427D" w:rsidP="00F2255E">
      <w:pPr>
        <w:pStyle w:val="Heading2"/>
        <w:rPr>
          <w:rFonts w:ascii="Times New Roman" w:hAnsi="Times New Roman"/>
          <w:color w:val="auto"/>
          <w:sz w:val="24"/>
          <w:szCs w:val="24"/>
        </w:rPr>
      </w:pPr>
      <w:r w:rsidRPr="00C774E2">
        <w:rPr>
          <w:rFonts w:ascii="Times New Roman" w:hAnsi="Times New Roman"/>
          <w:color w:val="auto"/>
          <w:sz w:val="24"/>
          <w:szCs w:val="24"/>
        </w:rPr>
        <w:t xml:space="preserve">No HOTMA </w:t>
      </w:r>
      <w:r w:rsidR="005D3579" w:rsidRPr="00C774E2">
        <w:rPr>
          <w:rFonts w:ascii="Times New Roman" w:hAnsi="Times New Roman"/>
          <w:color w:val="auto"/>
          <w:sz w:val="24"/>
          <w:szCs w:val="24"/>
        </w:rPr>
        <w:t>102/104</w:t>
      </w:r>
      <w:r w:rsidR="00173655" w:rsidRPr="00C774E2">
        <w:rPr>
          <w:rFonts w:ascii="Times New Roman" w:hAnsi="Times New Roman"/>
          <w:color w:val="auto"/>
          <w:sz w:val="24"/>
          <w:szCs w:val="24"/>
        </w:rPr>
        <w:t xml:space="preserve"> policies apply</w:t>
      </w:r>
      <w:r w:rsidRPr="00C774E2">
        <w:rPr>
          <w:rFonts w:ascii="Times New Roman" w:hAnsi="Times New Roman"/>
          <w:color w:val="auto"/>
          <w:sz w:val="24"/>
          <w:szCs w:val="24"/>
        </w:rPr>
        <w:t>.</w:t>
      </w:r>
    </w:p>
    <w:p w14:paraId="15675971" w14:textId="77777777" w:rsidR="00786AE6" w:rsidRPr="00C774E2" w:rsidRDefault="00786AE6" w:rsidP="00786AE6">
      <w:pPr>
        <w:pStyle w:val="Heading2"/>
        <w:rPr>
          <w:rFonts w:ascii="Times New Roman" w:hAnsi="Times New Roman"/>
        </w:rPr>
      </w:pPr>
      <w:r w:rsidRPr="00C774E2">
        <w:rPr>
          <w:rFonts w:ascii="Times New Roman" w:hAnsi="Times New Roman"/>
        </w:rPr>
        <w:t>Chapter 1</w:t>
      </w:r>
    </w:p>
    <w:p w14:paraId="38DF02D7" w14:textId="77777777" w:rsidR="000E47BD" w:rsidRPr="00C774E2" w:rsidRDefault="00173655" w:rsidP="000E47BD">
      <w:pPr>
        <w:pStyle w:val="Heading2"/>
        <w:rPr>
          <w:rFonts w:ascii="Times New Roman" w:hAnsi="Times New Roman"/>
          <w:bCs/>
          <w:color w:val="auto"/>
          <w:kern w:val="0"/>
          <w:sz w:val="24"/>
          <w:szCs w:val="24"/>
        </w:rPr>
      </w:pPr>
      <w:r w:rsidRPr="00C774E2">
        <w:rPr>
          <w:rFonts w:ascii="Times New Roman" w:hAnsi="Times New Roman"/>
          <w:color w:val="auto"/>
          <w:sz w:val="24"/>
          <w:szCs w:val="24"/>
        </w:rPr>
        <w:t>No HOTMA 102/104 policies apply.</w:t>
      </w:r>
    </w:p>
    <w:p w14:paraId="5E7CD42F" w14:textId="77777777" w:rsidR="00786AE6" w:rsidRPr="00C774E2" w:rsidRDefault="00786AE6" w:rsidP="00786AE6">
      <w:pPr>
        <w:pStyle w:val="Heading2"/>
        <w:rPr>
          <w:rFonts w:ascii="Times New Roman" w:hAnsi="Times New Roman"/>
        </w:rPr>
      </w:pPr>
      <w:r w:rsidRPr="00C774E2">
        <w:rPr>
          <w:rFonts w:ascii="Times New Roman" w:hAnsi="Times New Roman"/>
        </w:rPr>
        <w:t>Chapter 2</w:t>
      </w:r>
    </w:p>
    <w:p w14:paraId="75E5065B" w14:textId="77777777" w:rsidR="000E47BD" w:rsidRPr="00C774E2" w:rsidRDefault="00173655" w:rsidP="000E47BD">
      <w:pPr>
        <w:pStyle w:val="Heading2"/>
        <w:rPr>
          <w:rFonts w:ascii="Times New Roman" w:hAnsi="Times New Roman"/>
          <w:color w:val="auto"/>
          <w:sz w:val="24"/>
          <w:szCs w:val="24"/>
        </w:rPr>
      </w:pPr>
      <w:r w:rsidRPr="00C774E2">
        <w:rPr>
          <w:rFonts w:ascii="Times New Roman" w:hAnsi="Times New Roman"/>
          <w:color w:val="auto"/>
          <w:sz w:val="24"/>
          <w:szCs w:val="24"/>
        </w:rPr>
        <w:t>No HOTMA 102/104 policies apply.</w:t>
      </w:r>
    </w:p>
    <w:p w14:paraId="6E31D7DA" w14:textId="77777777" w:rsidR="00786AE6" w:rsidRPr="00C774E2" w:rsidRDefault="00786AE6" w:rsidP="006B03CA">
      <w:pPr>
        <w:pStyle w:val="Heading2"/>
        <w:rPr>
          <w:rFonts w:ascii="Times New Roman" w:hAnsi="Times New Roman"/>
        </w:rPr>
      </w:pPr>
      <w:r w:rsidRPr="00C774E2">
        <w:rPr>
          <w:rFonts w:ascii="Times New Roman" w:hAnsi="Times New Roman"/>
        </w:rPr>
        <w:t>Chapter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D30E9D" w:rsidRPr="00C774E2" w14:paraId="311CD585" w14:textId="77777777" w:rsidTr="00C46D32">
        <w:tc>
          <w:tcPr>
            <w:tcW w:w="9350" w:type="dxa"/>
          </w:tcPr>
          <w:p w14:paraId="3796D958" w14:textId="77777777" w:rsidR="00D30E9D" w:rsidRPr="00C774E2" w:rsidRDefault="00D30E9D" w:rsidP="00C46D32">
            <w:pPr>
              <w:pStyle w:val="Heading2"/>
              <w:spacing w:line="240" w:lineRule="auto"/>
              <w:rPr>
                <w:rFonts w:ascii="Times New Roman" w:hAnsi="Times New Roman"/>
                <w:bCs/>
                <w:color w:val="auto"/>
                <w:kern w:val="0"/>
                <w:sz w:val="24"/>
                <w:szCs w:val="24"/>
              </w:rPr>
            </w:pPr>
            <w:r w:rsidRPr="00C774E2">
              <w:rPr>
                <w:rFonts w:ascii="Times New Roman" w:hAnsi="Times New Roman"/>
                <w:bCs/>
                <w:color w:val="auto"/>
                <w:kern w:val="0"/>
                <w:sz w:val="24"/>
                <w:szCs w:val="24"/>
              </w:rPr>
              <w:t xml:space="preserve">Model Policy section </w:t>
            </w:r>
            <w:r w:rsidR="00241102" w:rsidRPr="00C774E2">
              <w:rPr>
                <w:rFonts w:ascii="Times New Roman" w:hAnsi="Times New Roman"/>
                <w:b/>
                <w:color w:val="auto"/>
                <w:kern w:val="0"/>
                <w:sz w:val="24"/>
                <w:szCs w:val="24"/>
              </w:rPr>
              <w:t>3-</w:t>
            </w:r>
            <w:r w:rsidRPr="00C774E2">
              <w:rPr>
                <w:rFonts w:ascii="Times New Roman" w:hAnsi="Times New Roman"/>
                <w:b/>
                <w:color w:val="auto"/>
                <w:kern w:val="0"/>
                <w:sz w:val="24"/>
                <w:szCs w:val="24"/>
              </w:rPr>
              <w:t>III.C. RESTRICTION ON ASSISTANCE BASED ON ASSETS</w:t>
            </w:r>
            <w:r w:rsidRPr="00C774E2">
              <w:rPr>
                <w:rFonts w:ascii="Times New Roman" w:hAnsi="Times New Roman"/>
                <w:bCs/>
                <w:color w:val="auto"/>
                <w:kern w:val="0"/>
                <w:sz w:val="24"/>
                <w:szCs w:val="24"/>
              </w:rPr>
              <w:t xml:space="preserve"> is added to comply with section </w:t>
            </w:r>
            <w:r w:rsidR="002B41C9" w:rsidRPr="00C774E2">
              <w:rPr>
                <w:rFonts w:ascii="Times New Roman" w:hAnsi="Times New Roman"/>
                <w:bCs/>
                <w:color w:val="auto"/>
                <w:kern w:val="0"/>
                <w:sz w:val="24"/>
                <w:szCs w:val="24"/>
              </w:rPr>
              <w:t>A.1</w:t>
            </w:r>
            <w:r w:rsidRPr="00C774E2">
              <w:rPr>
                <w:rFonts w:ascii="Times New Roman" w:hAnsi="Times New Roman"/>
                <w:bCs/>
                <w:color w:val="auto"/>
                <w:kern w:val="0"/>
                <w:sz w:val="24"/>
                <w:szCs w:val="24"/>
              </w:rPr>
              <w:t xml:space="preserve"> of Notice PIH 2023-27,</w:t>
            </w:r>
            <w:r w:rsidR="002B41C9" w:rsidRPr="00C774E2">
              <w:rPr>
                <w:rFonts w:ascii="Times New Roman" w:hAnsi="Times New Roman"/>
                <w:bCs/>
                <w:color w:val="auto"/>
                <w:kern w:val="0"/>
                <w:sz w:val="24"/>
                <w:szCs w:val="24"/>
              </w:rPr>
              <w:t xml:space="preserve"> </w:t>
            </w:r>
            <w:r w:rsidR="002B41C9" w:rsidRPr="00C774E2">
              <w:rPr>
                <w:rFonts w:ascii="Times New Roman" w:hAnsi="Times New Roman"/>
                <w:b/>
                <w:color w:val="auto"/>
                <w:kern w:val="0"/>
                <w:sz w:val="24"/>
                <w:szCs w:val="24"/>
              </w:rPr>
              <w:t>Asset Limitation</w:t>
            </w:r>
          </w:p>
        </w:tc>
      </w:tr>
      <w:tr w:rsidR="00852095" w:rsidRPr="00C774E2" w14:paraId="135405F6" w14:textId="77777777" w:rsidTr="00C46D32">
        <w:tc>
          <w:tcPr>
            <w:tcW w:w="9350" w:type="dxa"/>
          </w:tcPr>
          <w:p w14:paraId="3A380CE8" w14:textId="16625312" w:rsidR="00852095" w:rsidRPr="00C774E2" w:rsidRDefault="00852095" w:rsidP="00C46D32">
            <w:pPr>
              <w:pStyle w:val="Heading2"/>
              <w:spacing w:line="240" w:lineRule="auto"/>
              <w:rPr>
                <w:rFonts w:ascii="Times New Roman" w:hAnsi="Times New Roman"/>
                <w:bCs/>
                <w:color w:val="auto"/>
                <w:kern w:val="0"/>
                <w:sz w:val="24"/>
                <w:szCs w:val="24"/>
              </w:rPr>
            </w:pPr>
            <w:r w:rsidRPr="00C774E2">
              <w:rPr>
                <w:rFonts w:ascii="Times New Roman" w:hAnsi="Times New Roman"/>
                <w:color w:val="auto"/>
                <w:sz w:val="24"/>
                <w:szCs w:val="24"/>
              </w:rPr>
              <w:t xml:space="preserve">HOTMA 102/104 policies related to the definition of family, foster children, and foster adults </w:t>
            </w:r>
            <w:r w:rsidR="00F50ECD" w:rsidRPr="00C774E2">
              <w:rPr>
                <w:rFonts w:ascii="Times New Roman" w:hAnsi="Times New Roman"/>
                <w:color w:val="auto"/>
                <w:sz w:val="24"/>
                <w:szCs w:val="24"/>
              </w:rPr>
              <w:t>applied</w:t>
            </w:r>
            <w:r w:rsidRPr="00C774E2">
              <w:rPr>
                <w:rFonts w:ascii="Times New Roman" w:hAnsi="Times New Roman"/>
                <w:color w:val="auto"/>
                <w:sz w:val="24"/>
                <w:szCs w:val="24"/>
              </w:rPr>
              <w:t xml:space="preserve"> no later than July 1, 2025.</w:t>
            </w:r>
          </w:p>
        </w:tc>
      </w:tr>
    </w:tbl>
    <w:p w14:paraId="19757481" w14:textId="77777777" w:rsidR="00786AE6" w:rsidRPr="00C774E2" w:rsidRDefault="006B03CA" w:rsidP="00DD386F">
      <w:pPr>
        <w:pStyle w:val="Heading2"/>
        <w:rPr>
          <w:rFonts w:ascii="Times New Roman" w:hAnsi="Times New Roman"/>
        </w:rPr>
      </w:pPr>
      <w:r w:rsidRPr="00C774E2">
        <w:rPr>
          <w:rFonts w:ascii="Times New Roman" w:hAnsi="Times New Roman"/>
        </w:rPr>
        <w:t>Chapter 4</w:t>
      </w:r>
    </w:p>
    <w:p w14:paraId="4A032CF0" w14:textId="77777777" w:rsidR="00DD386F" w:rsidRPr="00C774E2" w:rsidRDefault="00173655" w:rsidP="00DD386F">
      <w:pPr>
        <w:pStyle w:val="Heading2"/>
        <w:rPr>
          <w:rFonts w:ascii="Times New Roman" w:hAnsi="Times New Roman"/>
          <w:color w:val="auto"/>
          <w:sz w:val="24"/>
          <w:szCs w:val="24"/>
        </w:rPr>
      </w:pPr>
      <w:r w:rsidRPr="00C774E2">
        <w:rPr>
          <w:rFonts w:ascii="Times New Roman" w:hAnsi="Times New Roman"/>
          <w:color w:val="auto"/>
          <w:sz w:val="24"/>
          <w:szCs w:val="24"/>
        </w:rPr>
        <w:t>No HOTMA 102/104 policies apply.</w:t>
      </w:r>
    </w:p>
    <w:p w14:paraId="76DFD63D" w14:textId="77777777" w:rsidR="00DD386F" w:rsidRPr="00C774E2" w:rsidRDefault="00DD386F" w:rsidP="00C97F57">
      <w:pPr>
        <w:pStyle w:val="Heading2"/>
        <w:rPr>
          <w:rFonts w:ascii="Times New Roman" w:hAnsi="Times New Roman"/>
        </w:rPr>
      </w:pPr>
      <w:r w:rsidRPr="00C774E2">
        <w:rPr>
          <w:rFonts w:ascii="Times New Roman" w:hAnsi="Times New Roman"/>
        </w:rPr>
        <w:t>Chapter 5</w:t>
      </w:r>
    </w:p>
    <w:p w14:paraId="042AE750" w14:textId="77777777" w:rsidR="00CB1B4D" w:rsidRPr="00C774E2" w:rsidRDefault="00173655" w:rsidP="00657F38">
      <w:pPr>
        <w:pStyle w:val="Heading2"/>
        <w:rPr>
          <w:rFonts w:ascii="Times New Roman" w:hAnsi="Times New Roman"/>
          <w:color w:val="auto"/>
          <w:sz w:val="24"/>
          <w:szCs w:val="24"/>
        </w:rPr>
      </w:pPr>
      <w:r w:rsidRPr="00C774E2">
        <w:rPr>
          <w:rFonts w:ascii="Times New Roman" w:hAnsi="Times New Roman"/>
          <w:color w:val="auto"/>
          <w:sz w:val="24"/>
          <w:szCs w:val="24"/>
        </w:rPr>
        <w:t>No HOTMA 102/104 policies apply.</w:t>
      </w:r>
    </w:p>
    <w:p w14:paraId="7CF892FE" w14:textId="77777777" w:rsidR="00F2255E" w:rsidRPr="00C774E2" w:rsidRDefault="00B9517B" w:rsidP="00657F38">
      <w:pPr>
        <w:pStyle w:val="Heading2"/>
        <w:rPr>
          <w:rFonts w:ascii="Times New Roman" w:hAnsi="Times New Roman"/>
        </w:rPr>
      </w:pPr>
      <w:r w:rsidRPr="00C774E2">
        <w:rPr>
          <w:rFonts w:ascii="Times New Roman" w:hAnsi="Times New Roman"/>
        </w:rPr>
        <w:t>Chapter 6</w:t>
      </w:r>
    </w:p>
    <w:p w14:paraId="672C1D8C" w14:textId="28DD2575" w:rsidR="000A23BB" w:rsidRPr="00C774E2" w:rsidRDefault="000A23BB" w:rsidP="006A5E46">
      <w:pPr>
        <w:rPr>
          <w:rFonts w:ascii="Times New Roman" w:eastAsia="Times New Roman" w:hAnsi="Times New Roman"/>
          <w:sz w:val="24"/>
          <w:szCs w:val="24"/>
        </w:rPr>
      </w:pPr>
      <w:r w:rsidRPr="00C774E2">
        <w:rPr>
          <w:rFonts w:ascii="Times New Roman" w:eastAsia="Times New Roman" w:hAnsi="Times New Roman"/>
          <w:sz w:val="24"/>
          <w:szCs w:val="24"/>
        </w:rPr>
        <w:t>Prior to the PHA’s HOTMA compliance date, the PHA will follow policies in Chapter 6.A</w:t>
      </w:r>
      <w:r w:rsidR="00852095" w:rsidRPr="00C774E2">
        <w:rPr>
          <w:rFonts w:ascii="Times New Roman" w:eastAsia="Times New Roman" w:hAnsi="Times New Roman"/>
          <w:sz w:val="24"/>
          <w:szCs w:val="24"/>
        </w:rPr>
        <w:t xml:space="preserve"> (as updated for Notice PIH 2024-38).</w:t>
      </w:r>
    </w:p>
    <w:p w14:paraId="227666B1" w14:textId="77777777" w:rsidR="000A23BB" w:rsidRPr="00C774E2" w:rsidRDefault="000A23BB" w:rsidP="000A23BB">
      <w:pPr>
        <w:rPr>
          <w:rFonts w:ascii="Times New Roman" w:eastAsia="Times New Roman" w:hAnsi="Times New Roman"/>
          <w:sz w:val="24"/>
          <w:szCs w:val="24"/>
        </w:rPr>
      </w:pPr>
      <w:r w:rsidRPr="00C774E2">
        <w:rPr>
          <w:rFonts w:ascii="Times New Roman" w:eastAsia="Times New Roman" w:hAnsi="Times New Roman"/>
          <w:sz w:val="24"/>
          <w:szCs w:val="24"/>
        </w:rPr>
        <w:t>Upon the PHA’s HOTMA compliance date, the PHA will follow policies in Chapter 6.B.</w:t>
      </w:r>
    </w:p>
    <w:p w14:paraId="334E5E2E" w14:textId="46F2BC1D" w:rsidR="00BB7779" w:rsidRPr="00C774E2" w:rsidRDefault="00BB7779" w:rsidP="00BB7779">
      <w:pPr>
        <w:pStyle w:val="Heading2"/>
        <w:rPr>
          <w:rFonts w:ascii="Times New Roman" w:hAnsi="Times New Roman"/>
        </w:rPr>
      </w:pPr>
      <w:r w:rsidRPr="00C774E2">
        <w:rPr>
          <w:rFonts w:ascii="Times New Roman" w:hAnsi="Times New Roman"/>
        </w:rPr>
        <w:t>Chapter 7</w:t>
      </w:r>
    </w:p>
    <w:p w14:paraId="607FE84B" w14:textId="692790BB" w:rsidR="00EF3DFA" w:rsidRPr="00C774E2" w:rsidRDefault="00EF3DFA" w:rsidP="00EF3DFA">
      <w:pPr>
        <w:rPr>
          <w:rFonts w:ascii="Times New Roman" w:eastAsia="Times New Roman" w:hAnsi="Times New Roman"/>
          <w:sz w:val="24"/>
          <w:szCs w:val="24"/>
        </w:rPr>
      </w:pPr>
      <w:r w:rsidRPr="00C774E2">
        <w:rPr>
          <w:rFonts w:ascii="Times New Roman" w:eastAsia="Times New Roman" w:hAnsi="Times New Roman"/>
          <w:sz w:val="24"/>
          <w:szCs w:val="24"/>
        </w:rPr>
        <w:t>Prior to the PHA’s HOTMA compliance date, the PHA will follow policies in Chapter 7.A</w:t>
      </w:r>
      <w:r w:rsidR="00852095" w:rsidRPr="00C774E2">
        <w:rPr>
          <w:rFonts w:ascii="Times New Roman" w:hAnsi="Times New Roman"/>
        </w:rPr>
        <w:t xml:space="preserve"> </w:t>
      </w:r>
      <w:r w:rsidR="00852095" w:rsidRPr="00C774E2">
        <w:rPr>
          <w:rFonts w:ascii="Times New Roman" w:eastAsia="Times New Roman" w:hAnsi="Times New Roman"/>
          <w:sz w:val="24"/>
          <w:szCs w:val="24"/>
        </w:rPr>
        <w:t>(as updated for Notice PIH 2024-38).</w:t>
      </w:r>
    </w:p>
    <w:p w14:paraId="25FF806E" w14:textId="77777777" w:rsidR="00EF3DFA" w:rsidRPr="00C774E2" w:rsidRDefault="00EF3DFA" w:rsidP="00EF3DFA">
      <w:pPr>
        <w:rPr>
          <w:rFonts w:ascii="Times New Roman" w:eastAsia="Times New Roman" w:hAnsi="Times New Roman"/>
          <w:sz w:val="24"/>
          <w:szCs w:val="24"/>
        </w:rPr>
      </w:pPr>
      <w:r w:rsidRPr="00C774E2">
        <w:rPr>
          <w:rFonts w:ascii="Times New Roman" w:eastAsia="Times New Roman" w:hAnsi="Times New Roman"/>
          <w:sz w:val="24"/>
          <w:szCs w:val="24"/>
        </w:rPr>
        <w:t>Upon the PHA’s HOTMA compliance date, the PHA will follow policies in Chapter 7.B.</w:t>
      </w:r>
    </w:p>
    <w:p w14:paraId="55EEC71D" w14:textId="77777777" w:rsidR="00BB7779" w:rsidRPr="00C774E2" w:rsidRDefault="00BB7779" w:rsidP="004F3E40">
      <w:pPr>
        <w:pStyle w:val="Heading2"/>
        <w:rPr>
          <w:rFonts w:ascii="Times New Roman" w:hAnsi="Times New Roman"/>
        </w:rPr>
      </w:pPr>
      <w:r w:rsidRPr="00C774E2">
        <w:rPr>
          <w:rFonts w:ascii="Times New Roman" w:hAnsi="Times New Roman"/>
        </w:rPr>
        <w:t>Chapter 8</w:t>
      </w:r>
    </w:p>
    <w:p w14:paraId="4459847E" w14:textId="77777777" w:rsidR="00520C88" w:rsidRPr="00C774E2" w:rsidRDefault="00173655" w:rsidP="00520C88">
      <w:pPr>
        <w:pStyle w:val="Heading2"/>
        <w:rPr>
          <w:rFonts w:ascii="Times New Roman" w:hAnsi="Times New Roman"/>
          <w:color w:val="auto"/>
          <w:sz w:val="24"/>
          <w:szCs w:val="24"/>
        </w:rPr>
      </w:pPr>
      <w:r w:rsidRPr="00C774E2">
        <w:rPr>
          <w:rFonts w:ascii="Times New Roman" w:hAnsi="Times New Roman"/>
          <w:color w:val="auto"/>
          <w:sz w:val="24"/>
          <w:szCs w:val="24"/>
        </w:rPr>
        <w:t>No HOTMA 102/104 policies apply.</w:t>
      </w:r>
      <w:r w:rsidR="003628FE" w:rsidRPr="00C774E2">
        <w:rPr>
          <w:rFonts w:ascii="Times New Roman" w:hAnsi="Times New Roman"/>
          <w:color w:val="auto"/>
          <w:sz w:val="24"/>
          <w:szCs w:val="24"/>
        </w:rPr>
        <w:t xml:space="preserve"> </w:t>
      </w:r>
    </w:p>
    <w:p w14:paraId="393CB143" w14:textId="0DF90049" w:rsidR="004F3E40" w:rsidRPr="00C774E2" w:rsidRDefault="00D92B2C" w:rsidP="00520C88">
      <w:pPr>
        <w:pStyle w:val="Heading2"/>
        <w:rPr>
          <w:rFonts w:ascii="Times New Roman" w:hAnsi="Times New Roman"/>
        </w:rPr>
      </w:pPr>
      <w:r w:rsidRPr="00C774E2">
        <w:rPr>
          <w:rFonts w:ascii="Times New Roman" w:hAnsi="Times New Roman"/>
        </w:rPr>
        <w:br w:type="page"/>
      </w:r>
      <w:r w:rsidR="004F3E40" w:rsidRPr="00C774E2">
        <w:rPr>
          <w:rFonts w:ascii="Times New Roman" w:hAnsi="Times New Roman"/>
        </w:rPr>
        <w:lastRenderedPageBreak/>
        <w:t>Chapter 9</w:t>
      </w:r>
    </w:p>
    <w:p w14:paraId="686928DC" w14:textId="77777777" w:rsidR="00106873" w:rsidRPr="00C774E2" w:rsidRDefault="00106873" w:rsidP="00106873">
      <w:pPr>
        <w:rPr>
          <w:rFonts w:ascii="Times New Roman" w:hAnsi="Times New Roman"/>
          <w:sz w:val="24"/>
          <w:szCs w:val="24"/>
        </w:rPr>
      </w:pPr>
      <w:r w:rsidRPr="00C774E2">
        <w:rPr>
          <w:rFonts w:ascii="Times New Roman" w:hAnsi="Times New Roman"/>
          <w:sz w:val="24"/>
          <w:szCs w:val="24"/>
        </w:rPr>
        <w:t>Prior to the PHA’s HOTMA compliance date, the PHA will follow policies in Chapter 9.A.</w:t>
      </w:r>
    </w:p>
    <w:p w14:paraId="255171BD" w14:textId="77777777" w:rsidR="00106873" w:rsidRPr="00C774E2" w:rsidRDefault="00106873" w:rsidP="00106873">
      <w:pPr>
        <w:rPr>
          <w:rFonts w:ascii="Times New Roman" w:hAnsi="Times New Roman"/>
          <w:sz w:val="24"/>
          <w:szCs w:val="24"/>
        </w:rPr>
      </w:pPr>
      <w:r w:rsidRPr="00C774E2">
        <w:rPr>
          <w:rFonts w:ascii="Times New Roman" w:hAnsi="Times New Roman"/>
          <w:sz w:val="24"/>
          <w:szCs w:val="24"/>
        </w:rPr>
        <w:t>Upon the PHA’s HOTMA compliance date, the PHA will follow policies in Chapter 9.B.</w:t>
      </w:r>
    </w:p>
    <w:p w14:paraId="40853621" w14:textId="77777777" w:rsidR="00C86BE9" w:rsidRPr="00C774E2" w:rsidRDefault="000A49B8" w:rsidP="00A04655">
      <w:pPr>
        <w:pStyle w:val="Heading2"/>
        <w:rPr>
          <w:rFonts w:ascii="Times New Roman" w:hAnsi="Times New Roman"/>
        </w:rPr>
      </w:pPr>
      <w:r w:rsidRPr="00C774E2">
        <w:rPr>
          <w:rFonts w:ascii="Times New Roman" w:hAnsi="Times New Roman"/>
        </w:rPr>
        <w:t>Chapter 10</w:t>
      </w:r>
    </w:p>
    <w:p w14:paraId="517A5AFE" w14:textId="77777777" w:rsidR="00B558A4" w:rsidRPr="00C774E2" w:rsidRDefault="00173655">
      <w:pPr>
        <w:rPr>
          <w:rFonts w:ascii="Times New Roman" w:hAnsi="Times New Roman"/>
        </w:rPr>
      </w:pPr>
      <w:bookmarkStart w:id="1" w:name="_Hlk172875613"/>
      <w:r w:rsidRPr="00C774E2">
        <w:rPr>
          <w:rFonts w:ascii="Times New Roman" w:hAnsi="Times New Roman"/>
          <w:sz w:val="24"/>
          <w:szCs w:val="24"/>
        </w:rPr>
        <w:t>No HOTMA 102/104 policies apply.</w:t>
      </w:r>
    </w:p>
    <w:bookmarkEnd w:id="1"/>
    <w:p w14:paraId="5E01954B" w14:textId="77777777" w:rsidR="00C86BE9" w:rsidRPr="00C774E2" w:rsidRDefault="00F90062" w:rsidP="00F77F68">
      <w:pPr>
        <w:pStyle w:val="Heading2"/>
        <w:rPr>
          <w:rFonts w:ascii="Times New Roman" w:hAnsi="Times New Roman"/>
        </w:rPr>
      </w:pPr>
      <w:r w:rsidRPr="00C774E2">
        <w:rPr>
          <w:rFonts w:ascii="Times New Roman" w:hAnsi="Times New Roman"/>
        </w:rPr>
        <w:t>Chapter 11</w:t>
      </w:r>
    </w:p>
    <w:p w14:paraId="7DC941F9" w14:textId="77777777" w:rsidR="00106873" w:rsidRPr="00C774E2" w:rsidRDefault="00106873" w:rsidP="00106873">
      <w:pPr>
        <w:rPr>
          <w:rFonts w:ascii="Times New Roman" w:hAnsi="Times New Roman"/>
        </w:rPr>
      </w:pPr>
      <w:r w:rsidRPr="00C774E2">
        <w:rPr>
          <w:rFonts w:ascii="Times New Roman" w:hAnsi="Times New Roman"/>
          <w:sz w:val="24"/>
          <w:szCs w:val="24"/>
        </w:rPr>
        <w:t>No HOTMA 102/104 policies apply.</w:t>
      </w:r>
    </w:p>
    <w:p w14:paraId="2CF4E498" w14:textId="77777777" w:rsidR="00106873" w:rsidRPr="00C774E2" w:rsidRDefault="00106873" w:rsidP="00106873">
      <w:pPr>
        <w:pStyle w:val="Heading2"/>
        <w:rPr>
          <w:rFonts w:ascii="Times New Roman" w:hAnsi="Times New Roman"/>
        </w:rPr>
      </w:pPr>
      <w:r w:rsidRPr="00C774E2">
        <w:rPr>
          <w:rFonts w:ascii="Times New Roman" w:hAnsi="Times New Roman"/>
        </w:rPr>
        <w:t>Chapter 12</w:t>
      </w:r>
    </w:p>
    <w:p w14:paraId="49F26DDD" w14:textId="77777777" w:rsidR="00106873" w:rsidRPr="00C774E2" w:rsidRDefault="00106873" w:rsidP="00106873">
      <w:pPr>
        <w:rPr>
          <w:rFonts w:ascii="Times New Roman" w:hAnsi="Times New Roman"/>
        </w:rPr>
      </w:pPr>
      <w:r w:rsidRPr="00C774E2">
        <w:rPr>
          <w:rFonts w:ascii="Times New Roman" w:hAnsi="Times New Roman"/>
          <w:sz w:val="24"/>
          <w:szCs w:val="24"/>
        </w:rPr>
        <w:t>No HOTMA 102/104 policies apply.</w:t>
      </w:r>
    </w:p>
    <w:p w14:paraId="746D9E89" w14:textId="77777777" w:rsidR="00343AA0" w:rsidRPr="00C774E2" w:rsidRDefault="00343AA0" w:rsidP="00343AA0">
      <w:pPr>
        <w:pStyle w:val="Heading2"/>
        <w:rPr>
          <w:rFonts w:ascii="Times New Roman" w:hAnsi="Times New Roman"/>
        </w:rPr>
      </w:pPr>
      <w:r w:rsidRPr="00C774E2">
        <w:rPr>
          <w:rFonts w:ascii="Times New Roman" w:hAnsi="Times New Roman"/>
        </w:rPr>
        <w:t>Chapter 1</w:t>
      </w:r>
      <w:r w:rsidR="00106873" w:rsidRPr="00C774E2">
        <w:rPr>
          <w:rFonts w:ascii="Times New Roman" w:hAnsi="Times New Roman"/>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C6C01" w:rsidRPr="00C774E2" w14:paraId="07E8AAC4" w14:textId="77777777" w:rsidTr="00C46D32">
        <w:tc>
          <w:tcPr>
            <w:tcW w:w="9350" w:type="dxa"/>
          </w:tcPr>
          <w:p w14:paraId="21710565" w14:textId="77777777" w:rsidR="007C6C01" w:rsidRPr="00C774E2" w:rsidRDefault="007C6C01" w:rsidP="00AE7C91">
            <w:pPr>
              <w:spacing w:before="160" w:after="80" w:line="240" w:lineRule="auto"/>
              <w:rPr>
                <w:rFonts w:ascii="Times New Roman" w:eastAsia="Times New Roman" w:hAnsi="Times New Roman"/>
                <w:bCs/>
                <w:kern w:val="0"/>
                <w:sz w:val="24"/>
                <w:szCs w:val="24"/>
              </w:rPr>
            </w:pPr>
            <w:r w:rsidRPr="00C774E2">
              <w:rPr>
                <w:rFonts w:ascii="Times New Roman" w:eastAsia="Times New Roman" w:hAnsi="Times New Roman"/>
                <w:bCs/>
                <w:kern w:val="0"/>
                <w:sz w:val="24"/>
                <w:szCs w:val="24"/>
              </w:rPr>
              <w:t xml:space="preserve">Model Policy section </w:t>
            </w:r>
            <w:r w:rsidR="0073695A" w:rsidRPr="00C774E2">
              <w:rPr>
                <w:rFonts w:ascii="Times New Roman" w:hAnsi="Times New Roman"/>
                <w:b/>
              </w:rPr>
              <w:t>1</w:t>
            </w:r>
            <w:r w:rsidR="00F0524F" w:rsidRPr="00C774E2">
              <w:rPr>
                <w:rFonts w:ascii="Times New Roman" w:hAnsi="Times New Roman"/>
                <w:b/>
              </w:rPr>
              <w:t>3-III.C</w:t>
            </w:r>
            <w:r w:rsidR="0073695A" w:rsidRPr="00C774E2">
              <w:rPr>
                <w:rFonts w:ascii="Times New Roman" w:hAnsi="Times New Roman"/>
                <w:b/>
              </w:rPr>
              <w:t xml:space="preserve">. </w:t>
            </w:r>
            <w:r w:rsidR="00F0524F" w:rsidRPr="00C774E2">
              <w:rPr>
                <w:rFonts w:ascii="Times New Roman" w:hAnsi="Times New Roman"/>
                <w:b/>
              </w:rPr>
              <w:t xml:space="preserve">OTHER AUTHORIZED REASONS FOR TERMINATION </w:t>
            </w:r>
            <w:r w:rsidRPr="00C774E2">
              <w:rPr>
                <w:rFonts w:ascii="Times New Roman" w:eastAsia="Times New Roman" w:hAnsi="Times New Roman"/>
                <w:bCs/>
                <w:kern w:val="0"/>
                <w:sz w:val="24"/>
                <w:szCs w:val="24"/>
              </w:rPr>
              <w:t xml:space="preserve">is </w:t>
            </w:r>
            <w:r w:rsidR="006822C9" w:rsidRPr="00C774E2">
              <w:rPr>
                <w:rFonts w:ascii="Times New Roman" w:eastAsia="Times New Roman" w:hAnsi="Times New Roman"/>
                <w:bCs/>
                <w:kern w:val="0"/>
                <w:sz w:val="24"/>
                <w:szCs w:val="24"/>
              </w:rPr>
              <w:t>amended</w:t>
            </w:r>
            <w:r w:rsidRPr="00C774E2">
              <w:rPr>
                <w:rFonts w:ascii="Times New Roman" w:eastAsia="Times New Roman" w:hAnsi="Times New Roman"/>
                <w:bCs/>
                <w:kern w:val="0"/>
                <w:sz w:val="24"/>
                <w:szCs w:val="24"/>
              </w:rPr>
              <w:t xml:space="preserve"> to comply with section A.1 of Notice PIH 2023-27, </w:t>
            </w:r>
            <w:r w:rsidRPr="00C774E2">
              <w:rPr>
                <w:rFonts w:ascii="Times New Roman" w:eastAsia="Times New Roman" w:hAnsi="Times New Roman"/>
                <w:b/>
                <w:kern w:val="0"/>
                <w:sz w:val="24"/>
                <w:szCs w:val="24"/>
              </w:rPr>
              <w:t>Asset Limitation</w:t>
            </w:r>
          </w:p>
        </w:tc>
      </w:tr>
    </w:tbl>
    <w:p w14:paraId="03EBE817" w14:textId="77777777" w:rsidR="00854B9A" w:rsidRPr="00C774E2" w:rsidRDefault="00854B9A" w:rsidP="00854B9A">
      <w:pPr>
        <w:pStyle w:val="Heading2"/>
        <w:rPr>
          <w:rFonts w:ascii="Times New Roman" w:hAnsi="Times New Roman"/>
        </w:rPr>
      </w:pPr>
      <w:r w:rsidRPr="00C774E2">
        <w:rPr>
          <w:rFonts w:ascii="Times New Roman" w:hAnsi="Times New Roman"/>
        </w:rPr>
        <w:t>Chapter 14</w:t>
      </w:r>
    </w:p>
    <w:p w14:paraId="0C336764" w14:textId="77777777" w:rsidR="00854B9A" w:rsidRPr="00C774E2" w:rsidRDefault="00854B9A" w:rsidP="00854B9A">
      <w:pPr>
        <w:rPr>
          <w:rFonts w:ascii="Times New Roman" w:hAnsi="Times New Roman"/>
          <w:sz w:val="24"/>
          <w:szCs w:val="24"/>
        </w:rPr>
      </w:pPr>
      <w:r w:rsidRPr="00C774E2">
        <w:rPr>
          <w:rFonts w:ascii="Times New Roman" w:hAnsi="Times New Roman"/>
          <w:sz w:val="24"/>
          <w:szCs w:val="24"/>
        </w:rPr>
        <w:t>No HOTMA 102/104 policies apply.</w:t>
      </w:r>
    </w:p>
    <w:p w14:paraId="2B12212D" w14:textId="77777777" w:rsidR="006E11DD" w:rsidRPr="00C774E2" w:rsidRDefault="006E11DD" w:rsidP="006E11DD">
      <w:pPr>
        <w:pStyle w:val="Heading2"/>
        <w:rPr>
          <w:rFonts w:ascii="Times New Roman" w:hAnsi="Times New Roman"/>
        </w:rPr>
      </w:pPr>
      <w:r w:rsidRPr="00C774E2">
        <w:rPr>
          <w:rFonts w:ascii="Times New Roman" w:hAnsi="Times New Roman"/>
        </w:rPr>
        <w:t>Chapter 1</w:t>
      </w:r>
      <w:r w:rsidR="00854B9A" w:rsidRPr="00C774E2">
        <w:rPr>
          <w:rFonts w:ascii="Times New Roman" w:hAnsi="Times New Roman"/>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3B7503" w:rsidRPr="00C774E2" w14:paraId="27E8D753" w14:textId="77777777" w:rsidTr="00C46D32">
        <w:tc>
          <w:tcPr>
            <w:tcW w:w="9350" w:type="dxa"/>
          </w:tcPr>
          <w:p w14:paraId="718F7783" w14:textId="2CFDE74B" w:rsidR="003B7503" w:rsidRPr="00C774E2" w:rsidRDefault="002756B0" w:rsidP="002945E9">
            <w:pPr>
              <w:spacing w:before="160" w:after="80" w:line="240" w:lineRule="auto"/>
              <w:rPr>
                <w:rFonts w:ascii="Times New Roman" w:hAnsi="Times New Roman"/>
                <w:b/>
              </w:rPr>
            </w:pPr>
            <w:r w:rsidRPr="00C774E2">
              <w:rPr>
                <w:rFonts w:ascii="Times New Roman" w:hAnsi="Times New Roman"/>
                <w:sz w:val="24"/>
                <w:szCs w:val="24"/>
              </w:rPr>
              <w:t xml:space="preserve">HOTMA 102/104 policies related to de minimis errors </w:t>
            </w:r>
            <w:r w:rsidR="00F50ECD" w:rsidRPr="00C774E2">
              <w:rPr>
                <w:rFonts w:ascii="Times New Roman" w:hAnsi="Times New Roman"/>
                <w:sz w:val="24"/>
                <w:szCs w:val="24"/>
              </w:rPr>
              <w:t>applied</w:t>
            </w:r>
            <w:r w:rsidRPr="00C774E2">
              <w:rPr>
                <w:rFonts w:ascii="Times New Roman" w:hAnsi="Times New Roman"/>
                <w:sz w:val="24"/>
                <w:szCs w:val="24"/>
              </w:rPr>
              <w:t xml:space="preserve"> no later than July 1, 2025.</w:t>
            </w:r>
          </w:p>
        </w:tc>
      </w:tr>
    </w:tbl>
    <w:p w14:paraId="2A995303" w14:textId="77777777" w:rsidR="00CA239B" w:rsidRPr="00C774E2" w:rsidRDefault="00CA239B" w:rsidP="00CA239B">
      <w:pPr>
        <w:pStyle w:val="Heading2"/>
        <w:rPr>
          <w:rFonts w:ascii="Times New Roman" w:hAnsi="Times New Roman"/>
        </w:rPr>
      </w:pPr>
      <w:r w:rsidRPr="00C774E2">
        <w:rPr>
          <w:rFonts w:ascii="Times New Roman" w:hAnsi="Times New Roman"/>
        </w:rPr>
        <w:t>Chapter 16</w:t>
      </w:r>
    </w:p>
    <w:p w14:paraId="571254FB" w14:textId="77777777" w:rsidR="00852095" w:rsidRPr="00C774E2" w:rsidRDefault="00173655" w:rsidP="00CA239B">
      <w:pPr>
        <w:rPr>
          <w:rFonts w:ascii="Times New Roman" w:hAnsi="Times New Roman"/>
          <w:sz w:val="24"/>
          <w:szCs w:val="24"/>
        </w:rPr>
      </w:pPr>
      <w:r w:rsidRPr="00C774E2">
        <w:rPr>
          <w:rFonts w:ascii="Times New Roman" w:hAnsi="Times New Roman"/>
          <w:sz w:val="24"/>
          <w:szCs w:val="24"/>
        </w:rPr>
        <w:t>No HOTMA 102/104 policies apply.</w:t>
      </w:r>
    </w:p>
    <w:p w14:paraId="7553188B" w14:textId="77777777" w:rsidR="00BE20A9" w:rsidRPr="00C774E2" w:rsidRDefault="000E165D" w:rsidP="00191A70">
      <w:pPr>
        <w:pStyle w:val="Heading2"/>
        <w:rPr>
          <w:rFonts w:ascii="Times New Roman" w:hAnsi="Times New Roman"/>
        </w:rPr>
      </w:pPr>
      <w:r w:rsidRPr="00C774E2">
        <w:rPr>
          <w:rFonts w:ascii="Times New Roman" w:hAnsi="Times New Roman"/>
        </w:rPr>
        <w:br w:type="page"/>
      </w:r>
      <w:r w:rsidR="00191A70" w:rsidRPr="00C774E2">
        <w:rPr>
          <w:rFonts w:ascii="Times New Roman" w:hAnsi="Times New Roman"/>
        </w:rPr>
        <w:lastRenderedPageBreak/>
        <w:t>Glossary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91A70" w:rsidRPr="00C774E2" w14:paraId="324FA05B" w14:textId="77777777" w:rsidTr="00C46D32">
        <w:tc>
          <w:tcPr>
            <w:tcW w:w="9350" w:type="dxa"/>
          </w:tcPr>
          <w:p w14:paraId="0FE173E7" w14:textId="369A55B9" w:rsidR="00191A70" w:rsidRPr="00C774E2" w:rsidRDefault="00191A70" w:rsidP="002945E9">
            <w:pPr>
              <w:spacing w:before="160" w:after="0" w:line="240" w:lineRule="auto"/>
              <w:rPr>
                <w:rFonts w:ascii="Times New Roman" w:eastAsia="Times New Roman" w:hAnsi="Times New Roman"/>
                <w:kern w:val="0"/>
                <w:sz w:val="24"/>
                <w:szCs w:val="24"/>
              </w:rPr>
            </w:pPr>
            <w:r w:rsidRPr="00C774E2">
              <w:rPr>
                <w:rFonts w:ascii="Times New Roman" w:eastAsia="Times New Roman" w:hAnsi="Times New Roman"/>
                <w:bCs/>
                <w:kern w:val="0"/>
                <w:sz w:val="24"/>
                <w:szCs w:val="24"/>
              </w:rPr>
              <w:t>T</w:t>
            </w:r>
            <w:r w:rsidRPr="00C774E2">
              <w:rPr>
                <w:rFonts w:ascii="Times New Roman" w:eastAsia="Times New Roman" w:hAnsi="Times New Roman"/>
                <w:kern w:val="0"/>
                <w:sz w:val="24"/>
                <w:szCs w:val="24"/>
              </w:rPr>
              <w:t xml:space="preserve">he following definitions </w:t>
            </w:r>
            <w:r w:rsidR="00F50ECD" w:rsidRPr="00C774E2">
              <w:rPr>
                <w:rFonts w:ascii="Times New Roman" w:eastAsia="Times New Roman" w:hAnsi="Times New Roman"/>
                <w:kern w:val="0"/>
                <w:sz w:val="24"/>
                <w:szCs w:val="24"/>
              </w:rPr>
              <w:t>applied</w:t>
            </w:r>
            <w:r w:rsidRPr="00C774E2">
              <w:rPr>
                <w:rFonts w:ascii="Times New Roman" w:eastAsia="Times New Roman" w:hAnsi="Times New Roman"/>
                <w:kern w:val="0"/>
                <w:sz w:val="24"/>
                <w:szCs w:val="24"/>
              </w:rPr>
              <w:t xml:space="preserve"> </w:t>
            </w:r>
            <w:r w:rsidR="002756B0" w:rsidRPr="00C774E2">
              <w:rPr>
                <w:rFonts w:ascii="Times New Roman" w:eastAsia="Times New Roman" w:hAnsi="Times New Roman"/>
                <w:kern w:val="0"/>
                <w:sz w:val="24"/>
                <w:szCs w:val="24"/>
              </w:rPr>
              <w:t>no later than July 1, 2025</w:t>
            </w:r>
            <w:r w:rsidRPr="00C774E2">
              <w:rPr>
                <w:rFonts w:ascii="Times New Roman" w:eastAsia="Times New Roman" w:hAnsi="Times New Roman"/>
                <w:kern w:val="0"/>
                <w:sz w:val="24"/>
                <w:szCs w:val="24"/>
              </w:rPr>
              <w:t>:</w:t>
            </w:r>
          </w:p>
          <w:p w14:paraId="57280B81" w14:textId="77777777" w:rsidR="00191A70" w:rsidRPr="00C774E2" w:rsidRDefault="00145B72" w:rsidP="00AE7C91">
            <w:pPr>
              <w:pStyle w:val="ListParagraph"/>
              <w:numPr>
                <w:ilvl w:val="0"/>
                <w:numId w:val="32"/>
              </w:numPr>
              <w:spacing w:before="60" w:after="0" w:line="240" w:lineRule="auto"/>
              <w:contextualSpacing w:val="0"/>
              <w:rPr>
                <w:rFonts w:ascii="Times New Roman" w:hAnsi="Times New Roman"/>
                <w:bCs/>
                <w:sz w:val="24"/>
                <w:szCs w:val="24"/>
              </w:rPr>
            </w:pPr>
            <w:r w:rsidRPr="00C774E2">
              <w:rPr>
                <w:rFonts w:ascii="Times New Roman" w:hAnsi="Times New Roman"/>
                <w:bCs/>
                <w:sz w:val="24"/>
                <w:szCs w:val="24"/>
              </w:rPr>
              <w:t>Annual income</w:t>
            </w:r>
            <w:r w:rsidR="00B864A1" w:rsidRPr="00C774E2">
              <w:rPr>
                <w:rFonts w:ascii="Times New Roman" w:hAnsi="Times New Roman"/>
                <w:bCs/>
                <w:sz w:val="24"/>
                <w:szCs w:val="24"/>
              </w:rPr>
              <w:t xml:space="preserve"> (revised)</w:t>
            </w:r>
          </w:p>
          <w:p w14:paraId="364E429C" w14:textId="77777777" w:rsidR="00145B72" w:rsidRPr="00C774E2" w:rsidRDefault="00145B72" w:rsidP="00AE7C91">
            <w:pPr>
              <w:pStyle w:val="ListParagraph"/>
              <w:numPr>
                <w:ilvl w:val="0"/>
                <w:numId w:val="32"/>
              </w:numPr>
              <w:spacing w:before="60" w:after="0" w:line="240" w:lineRule="auto"/>
              <w:contextualSpacing w:val="0"/>
              <w:rPr>
                <w:rFonts w:ascii="Times New Roman" w:hAnsi="Times New Roman"/>
                <w:bCs/>
                <w:sz w:val="24"/>
                <w:szCs w:val="24"/>
              </w:rPr>
            </w:pPr>
            <w:r w:rsidRPr="00C774E2">
              <w:rPr>
                <w:rFonts w:ascii="Times New Roman" w:hAnsi="Times New Roman"/>
                <w:bCs/>
                <w:sz w:val="24"/>
                <w:szCs w:val="24"/>
              </w:rPr>
              <w:t>Day laborer</w:t>
            </w:r>
          </w:p>
          <w:p w14:paraId="735E1FFA" w14:textId="77777777" w:rsidR="00145B72" w:rsidRPr="00C774E2" w:rsidRDefault="00145B72" w:rsidP="00AE7C91">
            <w:pPr>
              <w:pStyle w:val="ListParagraph"/>
              <w:numPr>
                <w:ilvl w:val="0"/>
                <w:numId w:val="32"/>
              </w:numPr>
              <w:spacing w:before="60" w:after="0" w:line="240" w:lineRule="auto"/>
              <w:contextualSpacing w:val="0"/>
              <w:rPr>
                <w:rFonts w:ascii="Times New Roman" w:hAnsi="Times New Roman"/>
                <w:bCs/>
                <w:sz w:val="24"/>
                <w:szCs w:val="24"/>
              </w:rPr>
            </w:pPr>
            <w:r w:rsidRPr="00C774E2">
              <w:rPr>
                <w:rFonts w:ascii="Times New Roman" w:hAnsi="Times New Roman"/>
                <w:bCs/>
                <w:sz w:val="24"/>
                <w:szCs w:val="24"/>
              </w:rPr>
              <w:t>De minimis error</w:t>
            </w:r>
          </w:p>
          <w:p w14:paraId="7CFDBAB2" w14:textId="77777777" w:rsidR="00145B72" w:rsidRPr="00C774E2" w:rsidRDefault="00145B72" w:rsidP="00AE7C91">
            <w:pPr>
              <w:pStyle w:val="ListParagraph"/>
              <w:numPr>
                <w:ilvl w:val="0"/>
                <w:numId w:val="32"/>
              </w:numPr>
              <w:spacing w:before="60" w:after="0" w:line="240" w:lineRule="auto"/>
              <w:contextualSpacing w:val="0"/>
              <w:rPr>
                <w:rFonts w:ascii="Times New Roman" w:hAnsi="Times New Roman"/>
                <w:bCs/>
                <w:sz w:val="24"/>
                <w:szCs w:val="24"/>
              </w:rPr>
            </w:pPr>
            <w:r w:rsidRPr="00C774E2">
              <w:rPr>
                <w:rFonts w:ascii="Times New Roman" w:hAnsi="Times New Roman"/>
                <w:bCs/>
                <w:sz w:val="24"/>
                <w:szCs w:val="24"/>
              </w:rPr>
              <w:t>Earned income</w:t>
            </w:r>
          </w:p>
          <w:p w14:paraId="2CF028B0" w14:textId="77777777" w:rsidR="00145B72" w:rsidRPr="00C774E2" w:rsidRDefault="00B864A1" w:rsidP="00AE7C91">
            <w:pPr>
              <w:pStyle w:val="ListParagraph"/>
              <w:numPr>
                <w:ilvl w:val="0"/>
                <w:numId w:val="32"/>
              </w:numPr>
              <w:spacing w:before="60" w:after="0" w:line="240" w:lineRule="auto"/>
              <w:contextualSpacing w:val="0"/>
              <w:rPr>
                <w:rFonts w:ascii="Times New Roman" w:hAnsi="Times New Roman"/>
                <w:bCs/>
                <w:sz w:val="24"/>
                <w:szCs w:val="24"/>
              </w:rPr>
            </w:pPr>
            <w:r w:rsidRPr="00C774E2">
              <w:rPr>
                <w:rFonts w:ascii="Times New Roman" w:hAnsi="Times New Roman"/>
                <w:bCs/>
                <w:sz w:val="24"/>
                <w:szCs w:val="24"/>
              </w:rPr>
              <w:t>Family (revised)</w:t>
            </w:r>
          </w:p>
          <w:p w14:paraId="1455C2AE" w14:textId="77777777" w:rsidR="00916195" w:rsidRPr="00C774E2" w:rsidRDefault="00916195" w:rsidP="00AE7C91">
            <w:pPr>
              <w:pStyle w:val="ListParagraph"/>
              <w:numPr>
                <w:ilvl w:val="0"/>
                <w:numId w:val="32"/>
              </w:numPr>
              <w:spacing w:before="60" w:after="0" w:line="240" w:lineRule="auto"/>
              <w:contextualSpacing w:val="0"/>
              <w:rPr>
                <w:rFonts w:ascii="Times New Roman" w:hAnsi="Times New Roman"/>
                <w:bCs/>
                <w:sz w:val="24"/>
                <w:szCs w:val="24"/>
              </w:rPr>
            </w:pPr>
            <w:r w:rsidRPr="00C774E2">
              <w:rPr>
                <w:rFonts w:ascii="Times New Roman" w:hAnsi="Times New Roman"/>
                <w:bCs/>
                <w:sz w:val="24"/>
                <w:szCs w:val="24"/>
              </w:rPr>
              <w:t>Foster adult</w:t>
            </w:r>
          </w:p>
          <w:p w14:paraId="391A3F6A" w14:textId="77777777" w:rsidR="00B864A1" w:rsidRPr="00C774E2" w:rsidRDefault="00B864A1" w:rsidP="00AE7C91">
            <w:pPr>
              <w:pStyle w:val="ListParagraph"/>
              <w:numPr>
                <w:ilvl w:val="0"/>
                <w:numId w:val="32"/>
              </w:numPr>
              <w:spacing w:before="60" w:after="0" w:line="240" w:lineRule="auto"/>
              <w:contextualSpacing w:val="0"/>
              <w:rPr>
                <w:rFonts w:ascii="Times New Roman" w:hAnsi="Times New Roman"/>
                <w:bCs/>
                <w:sz w:val="24"/>
                <w:szCs w:val="24"/>
              </w:rPr>
            </w:pPr>
            <w:r w:rsidRPr="00C774E2">
              <w:rPr>
                <w:rFonts w:ascii="Times New Roman" w:hAnsi="Times New Roman"/>
                <w:bCs/>
                <w:sz w:val="24"/>
                <w:szCs w:val="24"/>
              </w:rPr>
              <w:t>Foster child</w:t>
            </w:r>
          </w:p>
          <w:p w14:paraId="3EFF93CF" w14:textId="77777777" w:rsidR="00B864A1" w:rsidRPr="00C774E2" w:rsidRDefault="00B864A1" w:rsidP="00AE7C91">
            <w:pPr>
              <w:pStyle w:val="ListParagraph"/>
              <w:numPr>
                <w:ilvl w:val="0"/>
                <w:numId w:val="32"/>
              </w:numPr>
              <w:spacing w:before="60" w:after="0" w:line="240" w:lineRule="auto"/>
              <w:contextualSpacing w:val="0"/>
              <w:rPr>
                <w:rFonts w:ascii="Times New Roman" w:hAnsi="Times New Roman"/>
                <w:bCs/>
                <w:sz w:val="24"/>
                <w:szCs w:val="24"/>
              </w:rPr>
            </w:pPr>
            <w:r w:rsidRPr="00C774E2">
              <w:rPr>
                <w:rFonts w:ascii="Times New Roman" w:hAnsi="Times New Roman"/>
                <w:bCs/>
                <w:sz w:val="24"/>
                <w:szCs w:val="24"/>
              </w:rPr>
              <w:t>Independent contractor</w:t>
            </w:r>
          </w:p>
          <w:p w14:paraId="6DD63EEB" w14:textId="77777777" w:rsidR="00B864A1" w:rsidRPr="00C774E2" w:rsidRDefault="00B864A1" w:rsidP="00AE7C91">
            <w:pPr>
              <w:pStyle w:val="ListParagraph"/>
              <w:numPr>
                <w:ilvl w:val="0"/>
                <w:numId w:val="32"/>
              </w:numPr>
              <w:spacing w:before="60" w:after="0" w:line="240" w:lineRule="auto"/>
              <w:contextualSpacing w:val="0"/>
              <w:rPr>
                <w:rFonts w:ascii="Times New Roman" w:hAnsi="Times New Roman"/>
                <w:bCs/>
                <w:sz w:val="24"/>
                <w:szCs w:val="24"/>
              </w:rPr>
            </w:pPr>
            <w:r w:rsidRPr="00C774E2">
              <w:rPr>
                <w:rFonts w:ascii="Times New Roman" w:hAnsi="Times New Roman"/>
                <w:bCs/>
                <w:sz w:val="24"/>
                <w:szCs w:val="24"/>
              </w:rPr>
              <w:t>Inflationary index</w:t>
            </w:r>
          </w:p>
          <w:p w14:paraId="4F38AB97" w14:textId="77777777" w:rsidR="00B864A1" w:rsidRPr="00C774E2" w:rsidRDefault="00B864A1" w:rsidP="00AE7C91">
            <w:pPr>
              <w:pStyle w:val="ListParagraph"/>
              <w:numPr>
                <w:ilvl w:val="0"/>
                <w:numId w:val="32"/>
              </w:numPr>
              <w:spacing w:before="60" w:after="0" w:line="240" w:lineRule="auto"/>
              <w:contextualSpacing w:val="0"/>
              <w:rPr>
                <w:rFonts w:ascii="Times New Roman" w:hAnsi="Times New Roman"/>
                <w:bCs/>
                <w:sz w:val="24"/>
                <w:szCs w:val="24"/>
              </w:rPr>
            </w:pPr>
            <w:r w:rsidRPr="00C774E2">
              <w:rPr>
                <w:rFonts w:ascii="Times New Roman" w:hAnsi="Times New Roman"/>
                <w:bCs/>
                <w:sz w:val="24"/>
                <w:szCs w:val="24"/>
              </w:rPr>
              <w:t>Net family assets (revised)</w:t>
            </w:r>
          </w:p>
          <w:p w14:paraId="4C1BA130" w14:textId="77777777" w:rsidR="00B864A1" w:rsidRPr="00C774E2" w:rsidRDefault="00B864A1" w:rsidP="00AE7C91">
            <w:pPr>
              <w:pStyle w:val="ListParagraph"/>
              <w:numPr>
                <w:ilvl w:val="0"/>
                <w:numId w:val="32"/>
              </w:numPr>
              <w:spacing w:before="60" w:after="0" w:line="240" w:lineRule="auto"/>
              <w:contextualSpacing w:val="0"/>
              <w:rPr>
                <w:rFonts w:ascii="Times New Roman" w:hAnsi="Times New Roman"/>
                <w:bCs/>
                <w:sz w:val="24"/>
                <w:szCs w:val="24"/>
              </w:rPr>
            </w:pPr>
            <w:r w:rsidRPr="00C774E2">
              <w:rPr>
                <w:rFonts w:ascii="Times New Roman" w:hAnsi="Times New Roman"/>
                <w:bCs/>
                <w:sz w:val="24"/>
                <w:szCs w:val="24"/>
              </w:rPr>
              <w:t>Real property</w:t>
            </w:r>
          </w:p>
          <w:p w14:paraId="5B038667" w14:textId="77777777" w:rsidR="00B864A1" w:rsidRPr="00C774E2" w:rsidRDefault="00B864A1" w:rsidP="00AE7C91">
            <w:pPr>
              <w:pStyle w:val="ListParagraph"/>
              <w:numPr>
                <w:ilvl w:val="0"/>
                <w:numId w:val="32"/>
              </w:numPr>
              <w:spacing w:before="60" w:after="0" w:line="240" w:lineRule="auto"/>
              <w:contextualSpacing w:val="0"/>
              <w:rPr>
                <w:rFonts w:ascii="Times New Roman" w:hAnsi="Times New Roman"/>
                <w:bCs/>
                <w:sz w:val="24"/>
                <w:szCs w:val="24"/>
              </w:rPr>
            </w:pPr>
            <w:r w:rsidRPr="00C774E2">
              <w:rPr>
                <w:rFonts w:ascii="Times New Roman" w:hAnsi="Times New Roman"/>
                <w:bCs/>
                <w:sz w:val="24"/>
                <w:szCs w:val="24"/>
              </w:rPr>
              <w:t>Seasonal worker</w:t>
            </w:r>
          </w:p>
          <w:p w14:paraId="314800B3" w14:textId="77777777" w:rsidR="00B864A1" w:rsidRPr="00C774E2" w:rsidRDefault="00B864A1" w:rsidP="00AE7C91">
            <w:pPr>
              <w:pStyle w:val="ListParagraph"/>
              <w:numPr>
                <w:ilvl w:val="0"/>
                <w:numId w:val="32"/>
              </w:numPr>
              <w:spacing w:before="60" w:after="0" w:line="240" w:lineRule="auto"/>
              <w:contextualSpacing w:val="0"/>
              <w:rPr>
                <w:rFonts w:ascii="Times New Roman" w:hAnsi="Times New Roman"/>
                <w:b/>
              </w:rPr>
            </w:pPr>
            <w:r w:rsidRPr="00C774E2">
              <w:rPr>
                <w:rFonts w:ascii="Times New Roman" w:hAnsi="Times New Roman"/>
                <w:bCs/>
                <w:sz w:val="24"/>
                <w:szCs w:val="24"/>
              </w:rPr>
              <w:t>Unearned income</w:t>
            </w:r>
          </w:p>
        </w:tc>
      </w:tr>
    </w:tbl>
    <w:p w14:paraId="33C787EB" w14:textId="6127EC92" w:rsidR="00DF6DF8" w:rsidRPr="00C774E2" w:rsidRDefault="00E7591E" w:rsidP="000E165D">
      <w:pPr>
        <w:rPr>
          <w:rFonts w:ascii="Times New Roman" w:hAnsi="Times New Roman"/>
        </w:rPr>
      </w:pPr>
      <w:r w:rsidRPr="00C774E2">
        <w:rPr>
          <w:rFonts w:ascii="Times New Roman" w:hAnsi="Times New Roman"/>
        </w:rPr>
        <w:br w:type="page"/>
      </w:r>
    </w:p>
    <w:sectPr w:rsidR="00DF6DF8" w:rsidRPr="00C774E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1E9B6" w14:textId="77777777" w:rsidR="00DA012E" w:rsidRDefault="00DA012E" w:rsidP="00C46D32">
      <w:pPr>
        <w:spacing w:after="0" w:line="240" w:lineRule="auto"/>
      </w:pPr>
      <w:r>
        <w:separator/>
      </w:r>
    </w:p>
  </w:endnote>
  <w:endnote w:type="continuationSeparator" w:id="0">
    <w:p w14:paraId="446AAB2A" w14:textId="77777777" w:rsidR="00DA012E" w:rsidRDefault="00DA012E" w:rsidP="00C46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1DCA6" w14:textId="77777777" w:rsidR="00AE7C91" w:rsidRDefault="00AE7C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580E9" w14:textId="2C5C108D" w:rsidR="003274AD" w:rsidRPr="003274AD" w:rsidRDefault="003274AD" w:rsidP="003274AD">
    <w:pPr>
      <w:pStyle w:val="Footer"/>
      <w:suppressAutoHyphens/>
      <w:rPr>
        <w:rFonts w:ascii="Times New Roman" w:hAnsi="Times New Roman"/>
        <w:sz w:val="18"/>
      </w:rPr>
    </w:pPr>
    <w:r w:rsidRPr="003274AD">
      <w:rPr>
        <w:rFonts w:ascii="Times New Roman" w:hAnsi="Times New Roman"/>
        <w:sz w:val="18"/>
        <w:szCs w:val="18"/>
      </w:rPr>
      <w:t xml:space="preserve">© </w:t>
    </w:r>
    <w:r w:rsidRPr="003274AD">
      <w:rPr>
        <w:rFonts w:ascii="Times New Roman" w:eastAsia="Times New Roman" w:hAnsi="Times New Roman"/>
        <w:color w:val="000000"/>
        <w:w w:val="0"/>
        <w:kern w:val="0"/>
        <w:sz w:val="18"/>
        <w:szCs w:val="24"/>
      </w:rPr>
      <w:t>Copyright</w:t>
    </w:r>
    <w:r w:rsidRPr="003274AD">
      <w:rPr>
        <w:rFonts w:ascii="Times New Roman" w:hAnsi="Times New Roman"/>
        <w:sz w:val="18"/>
      </w:rPr>
      <w:t xml:space="preserve"> </w:t>
    </w:r>
    <w:r w:rsidRPr="003274AD">
      <w:rPr>
        <w:rFonts w:ascii="Times New Roman" w:hAnsi="Times New Roman"/>
        <w:sz w:val="18"/>
      </w:rPr>
      <w:t xml:space="preserve">2026 </w:t>
    </w:r>
    <w:r w:rsidRPr="003274AD">
      <w:rPr>
        <w:rFonts w:ascii="Times New Roman" w:hAnsi="Times New Roman"/>
        <w:sz w:val="18"/>
      </w:rPr>
      <w:t xml:space="preserve">by </w:t>
    </w:r>
    <w:smartTag w:uri="urn:schemas-microsoft-com:office:smarttags" w:element="City">
      <w:smartTag w:uri="urn:schemas:contacts" w:element="Sn">
        <w:smartTag w:uri="urn:schemas-microsoft-com:office:smarttags" w:element="PersonName">
          <w:r w:rsidRPr="003274AD">
            <w:rPr>
              <w:rFonts w:ascii="Times New Roman" w:hAnsi="Times New Roman"/>
              <w:sz w:val="18"/>
            </w:rPr>
            <w:t>Nan</w:t>
          </w:r>
        </w:smartTag>
        <w:r w:rsidRPr="003274AD">
          <w:rPr>
            <w:rFonts w:ascii="Times New Roman" w:hAnsi="Times New Roman"/>
            <w:sz w:val="18"/>
          </w:rPr>
          <w:t xml:space="preserve"> McKay &amp; Associates</w:t>
        </w:r>
      </w:smartTag>
    </w:smartTag>
    <w:r w:rsidRPr="003274AD">
      <w:rPr>
        <w:rFonts w:ascii="Times New Roman" w:hAnsi="Times New Roman"/>
        <w:sz w:val="18"/>
      </w:rPr>
      <w:tab/>
    </w:r>
    <w:r>
      <w:rPr>
        <w:rFonts w:ascii="Times New Roman" w:hAnsi="Times New Roman"/>
        <w:sz w:val="24"/>
        <w:szCs w:val="24"/>
      </w:rPr>
      <w:t>Apendix</w:t>
    </w:r>
    <w:r w:rsidRPr="003274AD">
      <w:rPr>
        <w:rFonts w:ascii="Times New Roman" w:hAnsi="Times New Roman"/>
        <w:sz w:val="24"/>
        <w:szCs w:val="24"/>
      </w:rPr>
      <w:t>-</w:t>
    </w:r>
    <w:r w:rsidRPr="003274AD">
      <w:rPr>
        <w:rFonts w:ascii="Times New Roman" w:hAnsi="Times New Roman"/>
        <w:b/>
        <w:sz w:val="24"/>
        <w:szCs w:val="24"/>
      </w:rPr>
      <w:fldChar w:fldCharType="begin"/>
    </w:r>
    <w:r w:rsidRPr="003274AD">
      <w:rPr>
        <w:rFonts w:ascii="Times New Roman" w:hAnsi="Times New Roman"/>
        <w:sz w:val="24"/>
        <w:szCs w:val="24"/>
      </w:rPr>
      <w:instrText xml:space="preserve">PAGE  </w:instrText>
    </w:r>
    <w:r w:rsidRPr="003274AD">
      <w:rPr>
        <w:rFonts w:ascii="Times New Roman" w:hAnsi="Times New Roman"/>
        <w:b/>
        <w:sz w:val="24"/>
        <w:szCs w:val="24"/>
      </w:rPr>
      <w:fldChar w:fldCharType="separate"/>
    </w:r>
    <w:r w:rsidRPr="003274AD">
      <w:rPr>
        <w:rFonts w:ascii="Times New Roman" w:hAnsi="Times New Roman"/>
        <w:b/>
        <w:sz w:val="24"/>
        <w:szCs w:val="24"/>
      </w:rPr>
      <w:t>1</w:t>
    </w:r>
    <w:r w:rsidRPr="003274AD">
      <w:rPr>
        <w:rFonts w:ascii="Times New Roman" w:hAnsi="Times New Roman"/>
        <w:b/>
        <w:sz w:val="24"/>
        <w:szCs w:val="24"/>
      </w:rPr>
      <w:fldChar w:fldCharType="end"/>
    </w:r>
    <w:r w:rsidRPr="003274AD">
      <w:rPr>
        <w:rFonts w:ascii="Times New Roman" w:hAnsi="Times New Roman"/>
        <w:sz w:val="18"/>
      </w:rPr>
      <w:tab/>
      <w:t xml:space="preserve">ACOP </w:t>
    </w:r>
    <w:r w:rsidRPr="003274AD">
      <w:rPr>
        <w:rFonts w:ascii="Times New Roman" w:hAnsi="Times New Roman"/>
        <w:sz w:val="18"/>
      </w:rPr>
      <w:t>3/1/26</w:t>
    </w:r>
  </w:p>
  <w:p w14:paraId="208CC6D7" w14:textId="18A26050" w:rsidR="00C46D32" w:rsidRPr="003274AD" w:rsidRDefault="003274AD" w:rsidP="003274AD">
    <w:pPr>
      <w:pStyle w:val="Footer"/>
      <w:suppressAutoHyphens/>
      <w:rPr>
        <w:rFonts w:ascii="Times New Roman" w:hAnsi="Times New Roman"/>
        <w:sz w:val="18"/>
      </w:rPr>
    </w:pPr>
    <w:r w:rsidRPr="003274AD">
      <w:rPr>
        <w:rFonts w:ascii="Times New Roman" w:eastAsia="Times New Roman" w:hAnsi="Times New Roman"/>
        <w:color w:val="000000"/>
        <w:w w:val="0"/>
        <w:kern w:val="0"/>
        <w:sz w:val="18"/>
        <w:szCs w:val="24"/>
      </w:rPr>
      <w:t>Unlimited</w:t>
    </w:r>
    <w:r w:rsidRPr="003274AD">
      <w:rPr>
        <w:rFonts w:ascii="Times New Roman" w:hAnsi="Times New Roman"/>
        <w:sz w:val="18"/>
      </w:rPr>
      <w:t xml:space="preserve"> copies may be made for internal use.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DBEAC" w14:textId="77777777" w:rsidR="00AE7C91" w:rsidRDefault="00AE7C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0B27D" w14:textId="77777777" w:rsidR="00DA012E" w:rsidRDefault="00DA012E" w:rsidP="00C46D32">
      <w:pPr>
        <w:spacing w:after="0" w:line="240" w:lineRule="auto"/>
      </w:pPr>
      <w:r>
        <w:separator/>
      </w:r>
    </w:p>
  </w:footnote>
  <w:footnote w:type="continuationSeparator" w:id="0">
    <w:p w14:paraId="7D886915" w14:textId="77777777" w:rsidR="00DA012E" w:rsidRDefault="00DA012E" w:rsidP="00C46D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0F4D7" w14:textId="77777777" w:rsidR="00AE7C91" w:rsidRDefault="00AE7C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7D484" w14:textId="77777777" w:rsidR="00AE7C91" w:rsidRDefault="00AE7C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4964E" w14:textId="77777777" w:rsidR="00AE7C91" w:rsidRDefault="00AE7C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1637"/>
    <w:multiLevelType w:val="hybridMultilevel"/>
    <w:tmpl w:val="D584D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B46C2"/>
    <w:multiLevelType w:val="hybridMultilevel"/>
    <w:tmpl w:val="7158D7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EC6949"/>
    <w:multiLevelType w:val="hybridMultilevel"/>
    <w:tmpl w:val="E8023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BD44A4"/>
    <w:multiLevelType w:val="hybridMultilevel"/>
    <w:tmpl w:val="FFF283EC"/>
    <w:lvl w:ilvl="0" w:tplc="FFFFFFFF">
      <w:start w:val="1"/>
      <w:numFmt w:val="bullet"/>
      <w:lvlText w:val=""/>
      <w:lvlJc w:val="left"/>
      <w:pPr>
        <w:tabs>
          <w:tab w:val="num" w:pos="1080"/>
        </w:tabs>
        <w:ind w:left="1080" w:hanging="360"/>
      </w:pPr>
      <w:rPr>
        <w:rFonts w:ascii="Symbol" w:hAnsi="Symbol" w:hint="default"/>
        <w:b/>
      </w:rPr>
    </w:lvl>
    <w:lvl w:ilvl="1" w:tplc="30F24332">
      <w:start w:val="1"/>
      <w:numFmt w:val="bullet"/>
      <w:lvlText w:val=""/>
      <w:lvlJc w:val="left"/>
      <w:pPr>
        <w:tabs>
          <w:tab w:val="num" w:pos="1800"/>
        </w:tabs>
        <w:ind w:left="1800" w:hanging="360"/>
      </w:pPr>
      <w:rPr>
        <w:rFonts w:ascii="Symbol" w:hAnsi="Symbol" w:hint="default"/>
        <w:b/>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E0B6567"/>
    <w:multiLevelType w:val="hybridMultilevel"/>
    <w:tmpl w:val="FBA8F9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A16DE"/>
    <w:multiLevelType w:val="hybridMultilevel"/>
    <w:tmpl w:val="0150CD4A"/>
    <w:lvl w:ilvl="0" w:tplc="F4A60D38">
      <w:start w:val="1"/>
      <w:numFmt w:val="bullet"/>
      <w:lvlText w:val=""/>
      <w:lvlJc w:val="left"/>
      <w:pPr>
        <w:tabs>
          <w:tab w:val="num" w:pos="360"/>
        </w:tabs>
        <w:ind w:left="720" w:firstLine="0"/>
      </w:pPr>
      <w:rPr>
        <w:rFonts w:ascii="Symbol" w:hAnsi="Symbol"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E15341"/>
    <w:multiLevelType w:val="hybridMultilevel"/>
    <w:tmpl w:val="5FCA64C8"/>
    <w:lvl w:ilvl="0" w:tplc="FFFFFFFF">
      <w:start w:val="1"/>
      <w:numFmt w:val="bullet"/>
      <w:lvlText w:val=""/>
      <w:lvlJc w:val="left"/>
      <w:pPr>
        <w:ind w:left="720" w:hanging="360"/>
      </w:pPr>
      <w:rPr>
        <w:rFonts w:ascii="Symbol" w:hAnsi="Symbol" w:hint="default"/>
      </w:rPr>
    </w:lvl>
    <w:lvl w:ilvl="1" w:tplc="FE0C9AFA">
      <w:numFmt w:val="bullet"/>
      <w:lvlText w:val="-"/>
      <w:lvlJc w:val="left"/>
      <w:pPr>
        <w:ind w:left="1440" w:hanging="360"/>
      </w:pPr>
      <w:rPr>
        <w:rFonts w:ascii="Symbol" w:eastAsia="Times New Roman" w:hAnsi="Symbol" w:cs="Times New Roman" w:hint="default"/>
        <w:i w:val="0"/>
        <w:sz w:val="20"/>
        <w:szCs w:val="2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A8579F2"/>
    <w:multiLevelType w:val="hybridMultilevel"/>
    <w:tmpl w:val="37B21FCA"/>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2BCF71DE"/>
    <w:multiLevelType w:val="hybridMultilevel"/>
    <w:tmpl w:val="35E641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864A39"/>
    <w:multiLevelType w:val="hybridMultilevel"/>
    <w:tmpl w:val="79E0EA90"/>
    <w:lvl w:ilvl="0" w:tplc="FFFFFFFF">
      <w:start w:val="1"/>
      <w:numFmt w:val="bullet"/>
      <w:lvlText w:val=""/>
      <w:lvlJc w:val="left"/>
      <w:pPr>
        <w:tabs>
          <w:tab w:val="num" w:pos="1080"/>
        </w:tabs>
        <w:ind w:left="1080" w:hanging="360"/>
      </w:pPr>
      <w:rPr>
        <w:rFonts w:ascii="Symbol" w:hAnsi="Symbol" w:hint="default"/>
        <w:b/>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13037CF"/>
    <w:multiLevelType w:val="hybridMultilevel"/>
    <w:tmpl w:val="65BC7342"/>
    <w:lvl w:ilvl="0" w:tplc="E39690F8">
      <w:start w:val="1"/>
      <w:numFmt w:val="bullet"/>
      <w:lvlText w:val=""/>
      <w:lvlJc w:val="left"/>
      <w:pPr>
        <w:tabs>
          <w:tab w:val="num" w:pos="360"/>
        </w:tabs>
        <w:ind w:left="360" w:hanging="360"/>
      </w:pPr>
      <w:rPr>
        <w:rFonts w:ascii="Symbol" w:hAnsi="Symbol" w:hint="default"/>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36B49B6"/>
    <w:multiLevelType w:val="hybridMultilevel"/>
    <w:tmpl w:val="00005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E24F82"/>
    <w:multiLevelType w:val="hybridMultilevel"/>
    <w:tmpl w:val="C3B8E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F77B4A"/>
    <w:multiLevelType w:val="hybridMultilevel"/>
    <w:tmpl w:val="DF488E3E"/>
    <w:lvl w:ilvl="0" w:tplc="9C4A2D36">
      <w:start w:val="15"/>
      <w:numFmt w:val="bullet"/>
      <w:lvlText w:val=""/>
      <w:lvlJc w:val="left"/>
      <w:pPr>
        <w:ind w:left="3540" w:hanging="390"/>
      </w:pPr>
      <w:rPr>
        <w:rFonts w:ascii="Wingdings" w:eastAsia="Times New Roman" w:hAnsi="Wingdings" w:cs="Arial" w:hint="default"/>
        <w:i w:val="0"/>
        <w:sz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6704B6"/>
    <w:multiLevelType w:val="hybridMultilevel"/>
    <w:tmpl w:val="41886B7C"/>
    <w:lvl w:ilvl="0" w:tplc="FFFFFFFF">
      <w:start w:val="1"/>
      <w:numFmt w:val="bullet"/>
      <w:lvlText w:val=""/>
      <w:lvlJc w:val="left"/>
      <w:pPr>
        <w:tabs>
          <w:tab w:val="num" w:pos="360"/>
        </w:tabs>
        <w:ind w:left="720" w:firstLine="0"/>
      </w:pPr>
      <w:rPr>
        <w:rFonts w:ascii="Symbol" w:hAnsi="Symbol"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503EB06E">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8C64BF"/>
    <w:multiLevelType w:val="hybridMultilevel"/>
    <w:tmpl w:val="F8D48B58"/>
    <w:lvl w:ilvl="0" w:tplc="E39690F8">
      <w:start w:val="1"/>
      <w:numFmt w:val="bullet"/>
      <w:lvlText w:val=""/>
      <w:lvlJc w:val="left"/>
      <w:pPr>
        <w:tabs>
          <w:tab w:val="num" w:pos="360"/>
        </w:tabs>
        <w:ind w:left="360" w:hanging="360"/>
      </w:pPr>
      <w:rPr>
        <w:rFonts w:ascii="Symbol" w:hAnsi="Symbol" w:hint="default"/>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A254BB1"/>
    <w:multiLevelType w:val="hybridMultilevel"/>
    <w:tmpl w:val="F79E2D3A"/>
    <w:lvl w:ilvl="0" w:tplc="3F2E4CCA">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DB57C2"/>
    <w:multiLevelType w:val="hybridMultilevel"/>
    <w:tmpl w:val="C916E83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E1E46DF"/>
    <w:multiLevelType w:val="hybridMultilevel"/>
    <w:tmpl w:val="32E4E43E"/>
    <w:lvl w:ilvl="0" w:tplc="FFFFFFFF">
      <w:start w:val="1"/>
      <w:numFmt w:val="bullet"/>
      <w:lvlText w:val=""/>
      <w:lvlJc w:val="left"/>
      <w:pPr>
        <w:ind w:left="720" w:hanging="360"/>
      </w:pPr>
      <w:rPr>
        <w:rFonts w:ascii="Symbol" w:hAnsi="Symbol" w:hint="default"/>
      </w:rPr>
    </w:lvl>
    <w:lvl w:ilvl="1" w:tplc="503EB06E">
      <w:numFmt w:val="bullet"/>
      <w:lvlText w:val="-"/>
      <w:lvlJc w:val="left"/>
      <w:pPr>
        <w:ind w:left="1440" w:hanging="360"/>
      </w:pPr>
      <w:rPr>
        <w:rFonts w:ascii="Arial" w:eastAsia="Times New Roman" w:hAnsi="Arial" w:cs="Aria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12E4F58"/>
    <w:multiLevelType w:val="hybridMultilevel"/>
    <w:tmpl w:val="68FC2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8C3732"/>
    <w:multiLevelType w:val="hybridMultilevel"/>
    <w:tmpl w:val="8F7E5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B66775"/>
    <w:multiLevelType w:val="hybridMultilevel"/>
    <w:tmpl w:val="870C5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CE7E0E"/>
    <w:multiLevelType w:val="hybridMultilevel"/>
    <w:tmpl w:val="51D8382A"/>
    <w:lvl w:ilvl="0" w:tplc="F4A60D38">
      <w:start w:val="1"/>
      <w:numFmt w:val="bullet"/>
      <w:lvlText w:val=""/>
      <w:lvlJc w:val="left"/>
      <w:pPr>
        <w:tabs>
          <w:tab w:val="num" w:pos="720"/>
        </w:tabs>
        <w:ind w:left="1080" w:firstLine="0"/>
      </w:pPr>
      <w:rPr>
        <w:rFonts w:ascii="Symbol" w:hAnsi="Symbol"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BFB0922"/>
    <w:multiLevelType w:val="hybridMultilevel"/>
    <w:tmpl w:val="CA1C3D7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FD6FDB"/>
    <w:multiLevelType w:val="hybridMultilevel"/>
    <w:tmpl w:val="02A4C296"/>
    <w:lvl w:ilvl="0" w:tplc="E39690F8">
      <w:start w:val="1"/>
      <w:numFmt w:val="bullet"/>
      <w:lvlText w:val=""/>
      <w:lvlJc w:val="left"/>
      <w:pPr>
        <w:tabs>
          <w:tab w:val="num" w:pos="360"/>
        </w:tabs>
        <w:ind w:left="360" w:hanging="360"/>
      </w:pPr>
      <w:rPr>
        <w:rFonts w:ascii="Symbol" w:hAnsi="Symbol" w:hint="default"/>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5ED73292"/>
    <w:multiLevelType w:val="hybridMultilevel"/>
    <w:tmpl w:val="D8F6FB9E"/>
    <w:lvl w:ilvl="0" w:tplc="04090001">
      <w:start w:val="1"/>
      <w:numFmt w:val="bullet"/>
      <w:lvlText w:val=""/>
      <w:lvlJc w:val="left"/>
      <w:pPr>
        <w:tabs>
          <w:tab w:val="num" w:pos="720"/>
        </w:tabs>
        <w:ind w:left="720" w:hanging="360"/>
      </w:pPr>
      <w:rPr>
        <w:rFonts w:ascii="Symbol" w:hAnsi="Symbol" w:hint="default"/>
      </w:rPr>
    </w:lvl>
    <w:lvl w:ilvl="1" w:tplc="3F2E4CCA">
      <w:start w:val="1"/>
      <w:numFmt w:val="bullet"/>
      <w:lvlText w:val=""/>
      <w:lvlJc w:val="left"/>
      <w:pPr>
        <w:tabs>
          <w:tab w:val="num" w:pos="1512"/>
        </w:tabs>
        <w:ind w:left="1512" w:hanging="432"/>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DF639D"/>
    <w:multiLevelType w:val="hybridMultilevel"/>
    <w:tmpl w:val="8FB82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2555AD"/>
    <w:multiLevelType w:val="hybridMultilevel"/>
    <w:tmpl w:val="350EC1D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8" w15:restartNumberingAfterBreak="0">
    <w:nsid w:val="678C461B"/>
    <w:multiLevelType w:val="hybridMultilevel"/>
    <w:tmpl w:val="68922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D00256"/>
    <w:multiLevelType w:val="hybridMultilevel"/>
    <w:tmpl w:val="B0F06CBA"/>
    <w:lvl w:ilvl="0" w:tplc="FE0E103C">
      <w:start w:val="1"/>
      <w:numFmt w:val="bullet"/>
      <w:lvlText w:val=""/>
      <w:lvlJc w:val="left"/>
      <w:pPr>
        <w:tabs>
          <w:tab w:val="num" w:pos="360"/>
        </w:tabs>
        <w:ind w:left="360" w:hanging="360"/>
      </w:pPr>
      <w:rPr>
        <w:rFonts w:ascii="Symbol" w:hAnsi="Symbol" w:hint="default"/>
        <w:b w:val="0"/>
        <w:i w:val="0"/>
        <w:color w:val="auto"/>
        <w:sz w:val="22"/>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2AD2D80"/>
    <w:multiLevelType w:val="hybridMultilevel"/>
    <w:tmpl w:val="A2201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910CCD"/>
    <w:multiLevelType w:val="hybridMultilevel"/>
    <w:tmpl w:val="6F741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2E2E57"/>
    <w:multiLevelType w:val="hybridMultilevel"/>
    <w:tmpl w:val="0D7C89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416754704">
    <w:abstractNumId w:val="4"/>
  </w:num>
  <w:num w:numId="2" w16cid:durableId="487132142">
    <w:abstractNumId w:val="11"/>
  </w:num>
  <w:num w:numId="3" w16cid:durableId="1331635088">
    <w:abstractNumId w:val="8"/>
  </w:num>
  <w:num w:numId="4" w16cid:durableId="2100908163">
    <w:abstractNumId w:val="25"/>
  </w:num>
  <w:num w:numId="5" w16cid:durableId="2093382154">
    <w:abstractNumId w:val="16"/>
  </w:num>
  <w:num w:numId="6" w16cid:durableId="893001774">
    <w:abstractNumId w:val="15"/>
  </w:num>
  <w:num w:numId="7" w16cid:durableId="1045524207">
    <w:abstractNumId w:val="24"/>
  </w:num>
  <w:num w:numId="8" w16cid:durableId="519244016">
    <w:abstractNumId w:val="10"/>
  </w:num>
  <w:num w:numId="9" w16cid:durableId="365954909">
    <w:abstractNumId w:val="30"/>
  </w:num>
  <w:num w:numId="10" w16cid:durableId="693505361">
    <w:abstractNumId w:val="23"/>
  </w:num>
  <w:num w:numId="11" w16cid:durableId="132796076">
    <w:abstractNumId w:val="21"/>
  </w:num>
  <w:num w:numId="12" w16cid:durableId="1695619170">
    <w:abstractNumId w:val="0"/>
  </w:num>
  <w:num w:numId="13" w16cid:durableId="623657781">
    <w:abstractNumId w:val="5"/>
  </w:num>
  <w:num w:numId="14" w16cid:durableId="2125996395">
    <w:abstractNumId w:val="14"/>
  </w:num>
  <w:num w:numId="15" w16cid:durableId="812646515">
    <w:abstractNumId w:val="22"/>
  </w:num>
  <w:num w:numId="16" w16cid:durableId="1744910416">
    <w:abstractNumId w:val="26"/>
  </w:num>
  <w:num w:numId="17" w16cid:durableId="88352650">
    <w:abstractNumId w:val="18"/>
  </w:num>
  <w:num w:numId="18" w16cid:durableId="276645808">
    <w:abstractNumId w:val="7"/>
  </w:num>
  <w:num w:numId="19" w16cid:durableId="1934119655">
    <w:abstractNumId w:val="27"/>
  </w:num>
  <w:num w:numId="20" w16cid:durableId="906457095">
    <w:abstractNumId w:val="17"/>
  </w:num>
  <w:num w:numId="21" w16cid:durableId="106510389">
    <w:abstractNumId w:val="13"/>
  </w:num>
  <w:num w:numId="22" w16cid:durableId="55518770">
    <w:abstractNumId w:val="9"/>
  </w:num>
  <w:num w:numId="23" w16cid:durableId="187987419">
    <w:abstractNumId w:val="12"/>
  </w:num>
  <w:num w:numId="24" w16cid:durableId="316884562">
    <w:abstractNumId w:val="6"/>
  </w:num>
  <w:num w:numId="25" w16cid:durableId="1804150950">
    <w:abstractNumId w:val="28"/>
  </w:num>
  <w:num w:numId="26" w16cid:durableId="538009914">
    <w:abstractNumId w:val="3"/>
  </w:num>
  <w:num w:numId="27" w16cid:durableId="1200321110">
    <w:abstractNumId w:val="1"/>
  </w:num>
  <w:num w:numId="28" w16cid:durableId="694768860">
    <w:abstractNumId w:val="2"/>
  </w:num>
  <w:num w:numId="29" w16cid:durableId="971986141">
    <w:abstractNumId w:val="29"/>
  </w:num>
  <w:num w:numId="30" w16cid:durableId="1988320892">
    <w:abstractNumId w:val="31"/>
  </w:num>
  <w:num w:numId="31" w16cid:durableId="1954097731">
    <w:abstractNumId w:val="20"/>
  </w:num>
  <w:num w:numId="32" w16cid:durableId="377051367">
    <w:abstractNumId w:val="19"/>
  </w:num>
  <w:num w:numId="33" w16cid:durableId="136617170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04D"/>
    <w:rsid w:val="00004F85"/>
    <w:rsid w:val="0001296F"/>
    <w:rsid w:val="0001773A"/>
    <w:rsid w:val="00021DCC"/>
    <w:rsid w:val="000274DD"/>
    <w:rsid w:val="00032493"/>
    <w:rsid w:val="0003606A"/>
    <w:rsid w:val="0006183A"/>
    <w:rsid w:val="000668DE"/>
    <w:rsid w:val="00072D1A"/>
    <w:rsid w:val="00074960"/>
    <w:rsid w:val="00090040"/>
    <w:rsid w:val="00090B7C"/>
    <w:rsid w:val="00091688"/>
    <w:rsid w:val="00092B3C"/>
    <w:rsid w:val="000A003A"/>
    <w:rsid w:val="000A23BB"/>
    <w:rsid w:val="000A33D5"/>
    <w:rsid w:val="000A49B8"/>
    <w:rsid w:val="000A5D4A"/>
    <w:rsid w:val="000A5ED8"/>
    <w:rsid w:val="000B3551"/>
    <w:rsid w:val="000C2609"/>
    <w:rsid w:val="000C2D5C"/>
    <w:rsid w:val="000C3313"/>
    <w:rsid w:val="000D0DED"/>
    <w:rsid w:val="000D3C38"/>
    <w:rsid w:val="000E165D"/>
    <w:rsid w:val="000E4702"/>
    <w:rsid w:val="000E47BD"/>
    <w:rsid w:val="000E7F94"/>
    <w:rsid w:val="000F3290"/>
    <w:rsid w:val="000F613D"/>
    <w:rsid w:val="000F761B"/>
    <w:rsid w:val="0010221D"/>
    <w:rsid w:val="00104B62"/>
    <w:rsid w:val="00104DBD"/>
    <w:rsid w:val="00105711"/>
    <w:rsid w:val="00105784"/>
    <w:rsid w:val="00106873"/>
    <w:rsid w:val="001114B2"/>
    <w:rsid w:val="001305AD"/>
    <w:rsid w:val="00142806"/>
    <w:rsid w:val="00145666"/>
    <w:rsid w:val="00145B72"/>
    <w:rsid w:val="001470AB"/>
    <w:rsid w:val="001542B1"/>
    <w:rsid w:val="00155C0D"/>
    <w:rsid w:val="00157DE4"/>
    <w:rsid w:val="00160182"/>
    <w:rsid w:val="00160AAC"/>
    <w:rsid w:val="00162258"/>
    <w:rsid w:val="00166F78"/>
    <w:rsid w:val="00173655"/>
    <w:rsid w:val="00175410"/>
    <w:rsid w:val="00191A70"/>
    <w:rsid w:val="00197F31"/>
    <w:rsid w:val="001A59A8"/>
    <w:rsid w:val="001B4580"/>
    <w:rsid w:val="001C0452"/>
    <w:rsid w:val="001C1E7F"/>
    <w:rsid w:val="001D0F3F"/>
    <w:rsid w:val="001E0111"/>
    <w:rsid w:val="001E4969"/>
    <w:rsid w:val="001E6FDB"/>
    <w:rsid w:val="001F32EF"/>
    <w:rsid w:val="001F6B3B"/>
    <w:rsid w:val="00204B26"/>
    <w:rsid w:val="00207322"/>
    <w:rsid w:val="0021352D"/>
    <w:rsid w:val="00227634"/>
    <w:rsid w:val="00240CF0"/>
    <w:rsid w:val="00241102"/>
    <w:rsid w:val="002447EA"/>
    <w:rsid w:val="002601F5"/>
    <w:rsid w:val="00264096"/>
    <w:rsid w:val="002720EF"/>
    <w:rsid w:val="0027518D"/>
    <w:rsid w:val="002756B0"/>
    <w:rsid w:val="002764C1"/>
    <w:rsid w:val="00283919"/>
    <w:rsid w:val="00283A0E"/>
    <w:rsid w:val="00285DA0"/>
    <w:rsid w:val="00290653"/>
    <w:rsid w:val="002945E9"/>
    <w:rsid w:val="00294F94"/>
    <w:rsid w:val="002B41C9"/>
    <w:rsid w:val="002B6E30"/>
    <w:rsid w:val="002B7C88"/>
    <w:rsid w:val="002C1207"/>
    <w:rsid w:val="002C3183"/>
    <w:rsid w:val="002C760F"/>
    <w:rsid w:val="002E1A12"/>
    <w:rsid w:val="002E5B70"/>
    <w:rsid w:val="002F5422"/>
    <w:rsid w:val="00312860"/>
    <w:rsid w:val="00315CD6"/>
    <w:rsid w:val="003234D2"/>
    <w:rsid w:val="00325A1C"/>
    <w:rsid w:val="003274AD"/>
    <w:rsid w:val="00327750"/>
    <w:rsid w:val="00343AA0"/>
    <w:rsid w:val="003453B4"/>
    <w:rsid w:val="00346283"/>
    <w:rsid w:val="00353E0B"/>
    <w:rsid w:val="003569DC"/>
    <w:rsid w:val="0036029A"/>
    <w:rsid w:val="00362154"/>
    <w:rsid w:val="003628FE"/>
    <w:rsid w:val="00365372"/>
    <w:rsid w:val="0037417A"/>
    <w:rsid w:val="00376F04"/>
    <w:rsid w:val="003778F9"/>
    <w:rsid w:val="003801C1"/>
    <w:rsid w:val="003839C1"/>
    <w:rsid w:val="00386DB5"/>
    <w:rsid w:val="00392646"/>
    <w:rsid w:val="00395A93"/>
    <w:rsid w:val="0039793F"/>
    <w:rsid w:val="003A0957"/>
    <w:rsid w:val="003A1162"/>
    <w:rsid w:val="003B3C46"/>
    <w:rsid w:val="003B6BAF"/>
    <w:rsid w:val="003B7503"/>
    <w:rsid w:val="003E101B"/>
    <w:rsid w:val="003E5255"/>
    <w:rsid w:val="00402D89"/>
    <w:rsid w:val="00404B0B"/>
    <w:rsid w:val="00412BE0"/>
    <w:rsid w:val="00415ADF"/>
    <w:rsid w:val="0041665D"/>
    <w:rsid w:val="00424F9F"/>
    <w:rsid w:val="00435F7B"/>
    <w:rsid w:val="0044179B"/>
    <w:rsid w:val="004458B9"/>
    <w:rsid w:val="00456A1E"/>
    <w:rsid w:val="00457684"/>
    <w:rsid w:val="0046402F"/>
    <w:rsid w:val="0046413A"/>
    <w:rsid w:val="00465A86"/>
    <w:rsid w:val="00467296"/>
    <w:rsid w:val="00475508"/>
    <w:rsid w:val="0048774A"/>
    <w:rsid w:val="00493939"/>
    <w:rsid w:val="00494B8B"/>
    <w:rsid w:val="00495E58"/>
    <w:rsid w:val="004B39B4"/>
    <w:rsid w:val="004D0147"/>
    <w:rsid w:val="004E1D65"/>
    <w:rsid w:val="004E693B"/>
    <w:rsid w:val="004F1747"/>
    <w:rsid w:val="004F36CA"/>
    <w:rsid w:val="004F3E40"/>
    <w:rsid w:val="004F66E0"/>
    <w:rsid w:val="0050133E"/>
    <w:rsid w:val="00512A24"/>
    <w:rsid w:val="00520793"/>
    <w:rsid w:val="00520BA9"/>
    <w:rsid w:val="00520C88"/>
    <w:rsid w:val="00521BE7"/>
    <w:rsid w:val="00526CC9"/>
    <w:rsid w:val="00542F4E"/>
    <w:rsid w:val="0054776C"/>
    <w:rsid w:val="00552D3E"/>
    <w:rsid w:val="005549CA"/>
    <w:rsid w:val="00555D36"/>
    <w:rsid w:val="0056471F"/>
    <w:rsid w:val="0057518B"/>
    <w:rsid w:val="005A1726"/>
    <w:rsid w:val="005A189C"/>
    <w:rsid w:val="005A1D7E"/>
    <w:rsid w:val="005A6CF3"/>
    <w:rsid w:val="005B7B6F"/>
    <w:rsid w:val="005C0D4C"/>
    <w:rsid w:val="005C4C39"/>
    <w:rsid w:val="005C7724"/>
    <w:rsid w:val="005D1779"/>
    <w:rsid w:val="005D3579"/>
    <w:rsid w:val="005D5549"/>
    <w:rsid w:val="005E2191"/>
    <w:rsid w:val="005E427D"/>
    <w:rsid w:val="005E4985"/>
    <w:rsid w:val="005F1937"/>
    <w:rsid w:val="005F1ACE"/>
    <w:rsid w:val="005F2F4C"/>
    <w:rsid w:val="005F604B"/>
    <w:rsid w:val="00601213"/>
    <w:rsid w:val="00601ECA"/>
    <w:rsid w:val="00602B65"/>
    <w:rsid w:val="00602D50"/>
    <w:rsid w:val="006117A2"/>
    <w:rsid w:val="00612A6E"/>
    <w:rsid w:val="0062067D"/>
    <w:rsid w:val="00624334"/>
    <w:rsid w:val="006320D0"/>
    <w:rsid w:val="0064011D"/>
    <w:rsid w:val="00647037"/>
    <w:rsid w:val="006523A8"/>
    <w:rsid w:val="0065307F"/>
    <w:rsid w:val="00656A09"/>
    <w:rsid w:val="00657F38"/>
    <w:rsid w:val="006617FF"/>
    <w:rsid w:val="0066449F"/>
    <w:rsid w:val="006650DC"/>
    <w:rsid w:val="006735C0"/>
    <w:rsid w:val="006740A1"/>
    <w:rsid w:val="00674BF9"/>
    <w:rsid w:val="00676C5E"/>
    <w:rsid w:val="00680BA8"/>
    <w:rsid w:val="006822C9"/>
    <w:rsid w:val="00683DC7"/>
    <w:rsid w:val="006A3DEA"/>
    <w:rsid w:val="006A5E46"/>
    <w:rsid w:val="006B03CA"/>
    <w:rsid w:val="006B1202"/>
    <w:rsid w:val="006B4AFD"/>
    <w:rsid w:val="006D57E9"/>
    <w:rsid w:val="006E11DD"/>
    <w:rsid w:val="006E25B1"/>
    <w:rsid w:val="006F03AA"/>
    <w:rsid w:val="006F4BDC"/>
    <w:rsid w:val="00700C0B"/>
    <w:rsid w:val="00706E5E"/>
    <w:rsid w:val="007152E3"/>
    <w:rsid w:val="007212A8"/>
    <w:rsid w:val="00732FFB"/>
    <w:rsid w:val="0073695A"/>
    <w:rsid w:val="0074317E"/>
    <w:rsid w:val="00750526"/>
    <w:rsid w:val="00774368"/>
    <w:rsid w:val="007769B1"/>
    <w:rsid w:val="00786AE6"/>
    <w:rsid w:val="007B54F4"/>
    <w:rsid w:val="007C1B6A"/>
    <w:rsid w:val="007C1F28"/>
    <w:rsid w:val="007C479D"/>
    <w:rsid w:val="007C6C01"/>
    <w:rsid w:val="007D2280"/>
    <w:rsid w:val="007D445D"/>
    <w:rsid w:val="007D4F2B"/>
    <w:rsid w:val="007D704D"/>
    <w:rsid w:val="00804F16"/>
    <w:rsid w:val="008067C8"/>
    <w:rsid w:val="00812C19"/>
    <w:rsid w:val="00815E8B"/>
    <w:rsid w:val="008209C2"/>
    <w:rsid w:val="00827319"/>
    <w:rsid w:val="00830E32"/>
    <w:rsid w:val="00832850"/>
    <w:rsid w:val="00852095"/>
    <w:rsid w:val="00854B9A"/>
    <w:rsid w:val="00861DFC"/>
    <w:rsid w:val="00862B17"/>
    <w:rsid w:val="008647B0"/>
    <w:rsid w:val="00877D4A"/>
    <w:rsid w:val="008850C7"/>
    <w:rsid w:val="008963F7"/>
    <w:rsid w:val="008A424D"/>
    <w:rsid w:val="008D62D6"/>
    <w:rsid w:val="008E097E"/>
    <w:rsid w:val="00904A0A"/>
    <w:rsid w:val="00916195"/>
    <w:rsid w:val="00916A3A"/>
    <w:rsid w:val="00922A21"/>
    <w:rsid w:val="00922E17"/>
    <w:rsid w:val="00922E40"/>
    <w:rsid w:val="00932A46"/>
    <w:rsid w:val="0093386E"/>
    <w:rsid w:val="00947E14"/>
    <w:rsid w:val="00951375"/>
    <w:rsid w:val="00951D67"/>
    <w:rsid w:val="00962934"/>
    <w:rsid w:val="00970D4D"/>
    <w:rsid w:val="0099081B"/>
    <w:rsid w:val="009919CF"/>
    <w:rsid w:val="009A200F"/>
    <w:rsid w:val="009D079D"/>
    <w:rsid w:val="009D2A00"/>
    <w:rsid w:val="009D3B0D"/>
    <w:rsid w:val="009E0B8A"/>
    <w:rsid w:val="009E155B"/>
    <w:rsid w:val="009E601C"/>
    <w:rsid w:val="00A0122A"/>
    <w:rsid w:val="00A04655"/>
    <w:rsid w:val="00A05648"/>
    <w:rsid w:val="00A10BC0"/>
    <w:rsid w:val="00A12210"/>
    <w:rsid w:val="00A266C3"/>
    <w:rsid w:val="00A35850"/>
    <w:rsid w:val="00A36ED8"/>
    <w:rsid w:val="00A400E8"/>
    <w:rsid w:val="00A52524"/>
    <w:rsid w:val="00A5589E"/>
    <w:rsid w:val="00A56213"/>
    <w:rsid w:val="00A579E3"/>
    <w:rsid w:val="00A60073"/>
    <w:rsid w:val="00A71CFE"/>
    <w:rsid w:val="00A74F0F"/>
    <w:rsid w:val="00A75F9B"/>
    <w:rsid w:val="00A83EBD"/>
    <w:rsid w:val="00A979BE"/>
    <w:rsid w:val="00AA40A3"/>
    <w:rsid w:val="00AA4802"/>
    <w:rsid w:val="00AA6083"/>
    <w:rsid w:val="00AA6577"/>
    <w:rsid w:val="00AB4767"/>
    <w:rsid w:val="00AC2F81"/>
    <w:rsid w:val="00AC64FA"/>
    <w:rsid w:val="00AC7322"/>
    <w:rsid w:val="00AD3DEC"/>
    <w:rsid w:val="00AE11DA"/>
    <w:rsid w:val="00AE18AA"/>
    <w:rsid w:val="00AE338B"/>
    <w:rsid w:val="00AE7C91"/>
    <w:rsid w:val="00AF0065"/>
    <w:rsid w:val="00AF053F"/>
    <w:rsid w:val="00B173B8"/>
    <w:rsid w:val="00B34168"/>
    <w:rsid w:val="00B50457"/>
    <w:rsid w:val="00B52499"/>
    <w:rsid w:val="00B54EC5"/>
    <w:rsid w:val="00B55186"/>
    <w:rsid w:val="00B558A4"/>
    <w:rsid w:val="00B61577"/>
    <w:rsid w:val="00B712D3"/>
    <w:rsid w:val="00B717A9"/>
    <w:rsid w:val="00B72B9F"/>
    <w:rsid w:val="00B7558C"/>
    <w:rsid w:val="00B864A1"/>
    <w:rsid w:val="00B918EC"/>
    <w:rsid w:val="00B926FD"/>
    <w:rsid w:val="00B9517B"/>
    <w:rsid w:val="00BA03C0"/>
    <w:rsid w:val="00BA4FC6"/>
    <w:rsid w:val="00BA6BD7"/>
    <w:rsid w:val="00BA7771"/>
    <w:rsid w:val="00BB5422"/>
    <w:rsid w:val="00BB5757"/>
    <w:rsid w:val="00BB7779"/>
    <w:rsid w:val="00BC303E"/>
    <w:rsid w:val="00BC317E"/>
    <w:rsid w:val="00BC3502"/>
    <w:rsid w:val="00BD177F"/>
    <w:rsid w:val="00BD340B"/>
    <w:rsid w:val="00BE20A9"/>
    <w:rsid w:val="00BF3E23"/>
    <w:rsid w:val="00BF4AFF"/>
    <w:rsid w:val="00C03760"/>
    <w:rsid w:val="00C0663E"/>
    <w:rsid w:val="00C13B1D"/>
    <w:rsid w:val="00C15470"/>
    <w:rsid w:val="00C207FA"/>
    <w:rsid w:val="00C223B9"/>
    <w:rsid w:val="00C24684"/>
    <w:rsid w:val="00C32638"/>
    <w:rsid w:val="00C348E6"/>
    <w:rsid w:val="00C46D32"/>
    <w:rsid w:val="00C5086E"/>
    <w:rsid w:val="00C774E2"/>
    <w:rsid w:val="00C83F22"/>
    <w:rsid w:val="00C84477"/>
    <w:rsid w:val="00C86A26"/>
    <w:rsid w:val="00C86BE9"/>
    <w:rsid w:val="00C954BE"/>
    <w:rsid w:val="00C97DB2"/>
    <w:rsid w:val="00C97F57"/>
    <w:rsid w:val="00CA00CA"/>
    <w:rsid w:val="00CA16C5"/>
    <w:rsid w:val="00CA239B"/>
    <w:rsid w:val="00CB1B4D"/>
    <w:rsid w:val="00CC2F7B"/>
    <w:rsid w:val="00CE5B58"/>
    <w:rsid w:val="00D003C0"/>
    <w:rsid w:val="00D00E63"/>
    <w:rsid w:val="00D130E1"/>
    <w:rsid w:val="00D21F5E"/>
    <w:rsid w:val="00D30E9D"/>
    <w:rsid w:val="00D315CF"/>
    <w:rsid w:val="00D315E6"/>
    <w:rsid w:val="00D352B2"/>
    <w:rsid w:val="00D44669"/>
    <w:rsid w:val="00D461AE"/>
    <w:rsid w:val="00D47AC1"/>
    <w:rsid w:val="00D56274"/>
    <w:rsid w:val="00D63042"/>
    <w:rsid w:val="00D6550D"/>
    <w:rsid w:val="00D7085F"/>
    <w:rsid w:val="00D730A3"/>
    <w:rsid w:val="00D731D4"/>
    <w:rsid w:val="00D75B65"/>
    <w:rsid w:val="00D83996"/>
    <w:rsid w:val="00D92B2C"/>
    <w:rsid w:val="00DA012E"/>
    <w:rsid w:val="00DA623D"/>
    <w:rsid w:val="00DB30EC"/>
    <w:rsid w:val="00DB4C77"/>
    <w:rsid w:val="00DB5983"/>
    <w:rsid w:val="00DB7AB3"/>
    <w:rsid w:val="00DC22E1"/>
    <w:rsid w:val="00DC7CE6"/>
    <w:rsid w:val="00DD00E3"/>
    <w:rsid w:val="00DD386F"/>
    <w:rsid w:val="00DE0AB0"/>
    <w:rsid w:val="00DE5B10"/>
    <w:rsid w:val="00DE5EF3"/>
    <w:rsid w:val="00DF6DF8"/>
    <w:rsid w:val="00DF7A52"/>
    <w:rsid w:val="00E04E50"/>
    <w:rsid w:val="00E06512"/>
    <w:rsid w:val="00E073AA"/>
    <w:rsid w:val="00E10858"/>
    <w:rsid w:val="00E136ED"/>
    <w:rsid w:val="00E30572"/>
    <w:rsid w:val="00E33E9F"/>
    <w:rsid w:val="00E3405A"/>
    <w:rsid w:val="00E36D00"/>
    <w:rsid w:val="00E37AD2"/>
    <w:rsid w:val="00E438E4"/>
    <w:rsid w:val="00E43BE6"/>
    <w:rsid w:val="00E56E8A"/>
    <w:rsid w:val="00E6107D"/>
    <w:rsid w:val="00E63C74"/>
    <w:rsid w:val="00E65BBC"/>
    <w:rsid w:val="00E70434"/>
    <w:rsid w:val="00E7591E"/>
    <w:rsid w:val="00E77DFD"/>
    <w:rsid w:val="00E876CC"/>
    <w:rsid w:val="00E9057A"/>
    <w:rsid w:val="00E92155"/>
    <w:rsid w:val="00E95E09"/>
    <w:rsid w:val="00E960BD"/>
    <w:rsid w:val="00E97663"/>
    <w:rsid w:val="00EB1724"/>
    <w:rsid w:val="00EC0492"/>
    <w:rsid w:val="00EC54F3"/>
    <w:rsid w:val="00EC6951"/>
    <w:rsid w:val="00EC6956"/>
    <w:rsid w:val="00EE5B7A"/>
    <w:rsid w:val="00EE5E94"/>
    <w:rsid w:val="00EF27D3"/>
    <w:rsid w:val="00EF3DFA"/>
    <w:rsid w:val="00F0524F"/>
    <w:rsid w:val="00F11A91"/>
    <w:rsid w:val="00F135B0"/>
    <w:rsid w:val="00F171A3"/>
    <w:rsid w:val="00F2255E"/>
    <w:rsid w:val="00F24F7A"/>
    <w:rsid w:val="00F324A0"/>
    <w:rsid w:val="00F40D55"/>
    <w:rsid w:val="00F50ECD"/>
    <w:rsid w:val="00F50EF5"/>
    <w:rsid w:val="00F51EFD"/>
    <w:rsid w:val="00F54B58"/>
    <w:rsid w:val="00F55E68"/>
    <w:rsid w:val="00F57715"/>
    <w:rsid w:val="00F6155F"/>
    <w:rsid w:val="00F62CD6"/>
    <w:rsid w:val="00F73562"/>
    <w:rsid w:val="00F77F68"/>
    <w:rsid w:val="00F82DCB"/>
    <w:rsid w:val="00F869F8"/>
    <w:rsid w:val="00F87DAC"/>
    <w:rsid w:val="00F90062"/>
    <w:rsid w:val="00F93F15"/>
    <w:rsid w:val="00F944C5"/>
    <w:rsid w:val="00FA040C"/>
    <w:rsid w:val="00FA0959"/>
    <w:rsid w:val="00FB2B99"/>
    <w:rsid w:val="00FB39BB"/>
    <w:rsid w:val="00FB6265"/>
    <w:rsid w:val="00FC7561"/>
    <w:rsid w:val="00FE2DC6"/>
    <w:rsid w:val="00FE782E"/>
    <w:rsid w:val="00FF4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Sn"/>
  <w:smartTagType w:namespaceuri="urn:schemas-microsoft-com:office:smarttags" w:name="PersonName"/>
  <w:smartTagType w:namespaceuri="urn:schemas-microsoft-com:office:smarttags" w:name="City"/>
  <w:shapeDefaults>
    <o:shapedefaults v:ext="edit" spidmax="2050"/>
    <o:shapelayout v:ext="edit">
      <o:idmap v:ext="edit" data="2"/>
    </o:shapelayout>
  </w:shapeDefaults>
  <w:decimalSymbol w:val="."/>
  <w:listSeparator w:val=","/>
  <w14:docId w14:val="63D8CFF2"/>
  <w15:chartTrackingRefBased/>
  <w15:docId w15:val="{07099BCC-BBA3-44C5-AED6-B4725B7B9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rPr>
  </w:style>
  <w:style w:type="paragraph" w:styleId="Heading1">
    <w:name w:val="heading 1"/>
    <w:basedOn w:val="Normal"/>
    <w:next w:val="Normal"/>
    <w:link w:val="Heading1Char"/>
    <w:uiPriority w:val="9"/>
    <w:qFormat/>
    <w:rsid w:val="007D704D"/>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unhideWhenUsed/>
    <w:qFormat/>
    <w:rsid w:val="007D704D"/>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unhideWhenUsed/>
    <w:qFormat/>
    <w:rsid w:val="007D704D"/>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7D704D"/>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7D704D"/>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7D704D"/>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7D704D"/>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7D704D"/>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7D704D"/>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D704D"/>
    <w:rPr>
      <w:rFonts w:ascii="Aptos Display" w:eastAsia="Times New Roman" w:hAnsi="Aptos Display" w:cs="Times New Roman"/>
      <w:color w:val="0F4761"/>
      <w:sz w:val="40"/>
      <w:szCs w:val="40"/>
    </w:rPr>
  </w:style>
  <w:style w:type="character" w:customStyle="1" w:styleId="Heading2Char">
    <w:name w:val="Heading 2 Char"/>
    <w:link w:val="Heading2"/>
    <w:uiPriority w:val="9"/>
    <w:rsid w:val="007D704D"/>
    <w:rPr>
      <w:rFonts w:ascii="Aptos Display" w:eastAsia="Times New Roman" w:hAnsi="Aptos Display" w:cs="Times New Roman"/>
      <w:color w:val="0F4761"/>
      <w:sz w:val="32"/>
      <w:szCs w:val="32"/>
    </w:rPr>
  </w:style>
  <w:style w:type="character" w:customStyle="1" w:styleId="Heading3Char">
    <w:name w:val="Heading 3 Char"/>
    <w:link w:val="Heading3"/>
    <w:uiPriority w:val="9"/>
    <w:rsid w:val="007D704D"/>
    <w:rPr>
      <w:rFonts w:eastAsia="Times New Roman" w:cs="Times New Roman"/>
      <w:color w:val="0F4761"/>
      <w:sz w:val="28"/>
      <w:szCs w:val="28"/>
    </w:rPr>
  </w:style>
  <w:style w:type="character" w:customStyle="1" w:styleId="Heading4Char">
    <w:name w:val="Heading 4 Char"/>
    <w:link w:val="Heading4"/>
    <w:uiPriority w:val="9"/>
    <w:semiHidden/>
    <w:rsid w:val="007D704D"/>
    <w:rPr>
      <w:rFonts w:eastAsia="Times New Roman" w:cs="Times New Roman"/>
      <w:i/>
      <w:iCs/>
      <w:color w:val="0F4761"/>
    </w:rPr>
  </w:style>
  <w:style w:type="character" w:customStyle="1" w:styleId="Heading5Char">
    <w:name w:val="Heading 5 Char"/>
    <w:link w:val="Heading5"/>
    <w:uiPriority w:val="9"/>
    <w:semiHidden/>
    <w:rsid w:val="007D704D"/>
    <w:rPr>
      <w:rFonts w:eastAsia="Times New Roman" w:cs="Times New Roman"/>
      <w:color w:val="0F4761"/>
    </w:rPr>
  </w:style>
  <w:style w:type="character" w:customStyle="1" w:styleId="Heading6Char">
    <w:name w:val="Heading 6 Char"/>
    <w:link w:val="Heading6"/>
    <w:uiPriority w:val="9"/>
    <w:semiHidden/>
    <w:rsid w:val="007D704D"/>
    <w:rPr>
      <w:rFonts w:eastAsia="Times New Roman" w:cs="Times New Roman"/>
      <w:i/>
      <w:iCs/>
      <w:color w:val="595959"/>
    </w:rPr>
  </w:style>
  <w:style w:type="character" w:customStyle="1" w:styleId="Heading7Char">
    <w:name w:val="Heading 7 Char"/>
    <w:link w:val="Heading7"/>
    <w:uiPriority w:val="9"/>
    <w:semiHidden/>
    <w:rsid w:val="007D704D"/>
    <w:rPr>
      <w:rFonts w:eastAsia="Times New Roman" w:cs="Times New Roman"/>
      <w:color w:val="595959"/>
    </w:rPr>
  </w:style>
  <w:style w:type="character" w:customStyle="1" w:styleId="Heading8Char">
    <w:name w:val="Heading 8 Char"/>
    <w:link w:val="Heading8"/>
    <w:uiPriority w:val="9"/>
    <w:semiHidden/>
    <w:rsid w:val="007D704D"/>
    <w:rPr>
      <w:rFonts w:eastAsia="Times New Roman" w:cs="Times New Roman"/>
      <w:i/>
      <w:iCs/>
      <w:color w:val="272727"/>
    </w:rPr>
  </w:style>
  <w:style w:type="character" w:customStyle="1" w:styleId="Heading9Char">
    <w:name w:val="Heading 9 Char"/>
    <w:link w:val="Heading9"/>
    <w:uiPriority w:val="9"/>
    <w:semiHidden/>
    <w:rsid w:val="007D704D"/>
    <w:rPr>
      <w:rFonts w:eastAsia="Times New Roman" w:cs="Times New Roman"/>
      <w:color w:val="272727"/>
    </w:rPr>
  </w:style>
  <w:style w:type="paragraph" w:styleId="Title">
    <w:name w:val="Title"/>
    <w:basedOn w:val="Normal"/>
    <w:next w:val="Normal"/>
    <w:link w:val="TitleChar"/>
    <w:uiPriority w:val="10"/>
    <w:qFormat/>
    <w:rsid w:val="007D704D"/>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7D704D"/>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7D704D"/>
    <w:pPr>
      <w:numPr>
        <w:ilvl w:val="1"/>
      </w:numPr>
    </w:pPr>
    <w:rPr>
      <w:rFonts w:eastAsia="Times New Roman"/>
      <w:color w:val="595959"/>
      <w:spacing w:val="15"/>
      <w:sz w:val="28"/>
      <w:szCs w:val="28"/>
    </w:rPr>
  </w:style>
  <w:style w:type="character" w:customStyle="1" w:styleId="SubtitleChar">
    <w:name w:val="Subtitle Char"/>
    <w:link w:val="Subtitle"/>
    <w:uiPriority w:val="11"/>
    <w:rsid w:val="007D704D"/>
    <w:rPr>
      <w:rFonts w:eastAsia="Times New Roman" w:cs="Times New Roman"/>
      <w:color w:val="595959"/>
      <w:spacing w:val="15"/>
      <w:sz w:val="28"/>
      <w:szCs w:val="28"/>
    </w:rPr>
  </w:style>
  <w:style w:type="paragraph" w:styleId="Quote">
    <w:name w:val="Quote"/>
    <w:basedOn w:val="Normal"/>
    <w:next w:val="Normal"/>
    <w:link w:val="QuoteChar"/>
    <w:uiPriority w:val="29"/>
    <w:qFormat/>
    <w:rsid w:val="007D704D"/>
    <w:pPr>
      <w:spacing w:before="160"/>
      <w:jc w:val="center"/>
    </w:pPr>
    <w:rPr>
      <w:i/>
      <w:iCs/>
      <w:color w:val="404040"/>
    </w:rPr>
  </w:style>
  <w:style w:type="character" w:customStyle="1" w:styleId="QuoteChar">
    <w:name w:val="Quote Char"/>
    <w:link w:val="Quote"/>
    <w:uiPriority w:val="29"/>
    <w:rsid w:val="007D704D"/>
    <w:rPr>
      <w:i/>
      <w:iCs/>
      <w:color w:val="404040"/>
    </w:rPr>
  </w:style>
  <w:style w:type="paragraph" w:styleId="ListParagraph">
    <w:name w:val="List Paragraph"/>
    <w:basedOn w:val="Normal"/>
    <w:uiPriority w:val="34"/>
    <w:qFormat/>
    <w:rsid w:val="007D704D"/>
    <w:pPr>
      <w:ind w:left="720"/>
      <w:contextualSpacing/>
    </w:pPr>
  </w:style>
  <w:style w:type="character" w:styleId="IntenseEmphasis">
    <w:name w:val="Intense Emphasis"/>
    <w:uiPriority w:val="21"/>
    <w:qFormat/>
    <w:rsid w:val="007D704D"/>
    <w:rPr>
      <w:i/>
      <w:iCs/>
      <w:color w:val="0F4761"/>
    </w:rPr>
  </w:style>
  <w:style w:type="paragraph" w:styleId="IntenseQuote">
    <w:name w:val="Intense Quote"/>
    <w:basedOn w:val="Normal"/>
    <w:next w:val="Normal"/>
    <w:link w:val="IntenseQuoteChar"/>
    <w:uiPriority w:val="30"/>
    <w:qFormat/>
    <w:rsid w:val="007D704D"/>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7D704D"/>
    <w:rPr>
      <w:i/>
      <w:iCs/>
      <w:color w:val="0F4761"/>
    </w:rPr>
  </w:style>
  <w:style w:type="character" w:styleId="IntenseReference">
    <w:name w:val="Intense Reference"/>
    <w:uiPriority w:val="32"/>
    <w:qFormat/>
    <w:rsid w:val="007D704D"/>
    <w:rPr>
      <w:b/>
      <w:bCs/>
      <w:smallCaps/>
      <w:color w:val="0F4761"/>
      <w:spacing w:val="5"/>
    </w:rPr>
  </w:style>
  <w:style w:type="character" w:styleId="Hyperlink">
    <w:name w:val="Hyperlink"/>
    <w:uiPriority w:val="99"/>
    <w:unhideWhenUsed/>
    <w:rsid w:val="007D704D"/>
    <w:rPr>
      <w:color w:val="0000FF"/>
      <w:u w:val="single"/>
    </w:rPr>
  </w:style>
  <w:style w:type="table" w:styleId="TableGrid">
    <w:name w:val="Table Grid"/>
    <w:basedOn w:val="TableNormal"/>
    <w:uiPriority w:val="39"/>
    <w:rsid w:val="00F225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05784"/>
    <w:rPr>
      <w:kern w:val="2"/>
      <w:sz w:val="22"/>
      <w:szCs w:val="22"/>
    </w:rPr>
  </w:style>
  <w:style w:type="paragraph" w:customStyle="1" w:styleId="indent-1">
    <w:name w:val="indent-1"/>
    <w:basedOn w:val="Normal"/>
    <w:rsid w:val="006F4BDC"/>
    <w:pPr>
      <w:spacing w:before="100" w:beforeAutospacing="1" w:after="100" w:afterAutospacing="1" w:line="240" w:lineRule="auto"/>
    </w:pPr>
    <w:rPr>
      <w:rFonts w:ascii="Times New Roman" w:eastAsia="Times New Roman" w:hAnsi="Times New Roman"/>
      <w:kern w:val="0"/>
      <w:sz w:val="24"/>
      <w:szCs w:val="24"/>
    </w:rPr>
  </w:style>
  <w:style w:type="character" w:styleId="Emphasis">
    <w:name w:val="Emphasis"/>
    <w:uiPriority w:val="20"/>
    <w:qFormat/>
    <w:rsid w:val="006F4BDC"/>
    <w:rPr>
      <w:i/>
      <w:iCs/>
    </w:rPr>
  </w:style>
  <w:style w:type="paragraph" w:customStyle="1" w:styleId="indent-2">
    <w:name w:val="indent-2"/>
    <w:basedOn w:val="Normal"/>
    <w:rsid w:val="006F4BDC"/>
    <w:pPr>
      <w:spacing w:before="100" w:beforeAutospacing="1" w:after="100" w:afterAutospacing="1" w:line="240" w:lineRule="auto"/>
    </w:pPr>
    <w:rPr>
      <w:rFonts w:ascii="Times New Roman" w:eastAsia="Times New Roman" w:hAnsi="Times New Roman"/>
      <w:kern w:val="0"/>
      <w:sz w:val="24"/>
      <w:szCs w:val="24"/>
    </w:rPr>
  </w:style>
  <w:style w:type="paragraph" w:customStyle="1" w:styleId="MarginBulletCharChar">
    <w:name w:val="Margin Bullet Char Char"/>
    <w:basedOn w:val="Normal"/>
    <w:rsid w:val="0046402F"/>
    <w:pPr>
      <w:tabs>
        <w:tab w:val="left" w:pos="360"/>
        <w:tab w:val="num" w:pos="810"/>
        <w:tab w:val="left" w:pos="1080"/>
        <w:tab w:val="left" w:pos="1440"/>
      </w:tabs>
      <w:spacing w:before="120" w:after="0" w:line="240" w:lineRule="auto"/>
      <w:ind w:left="810" w:hanging="720"/>
    </w:pPr>
    <w:rPr>
      <w:rFonts w:ascii="Times New Roman" w:eastAsia="Times New Roman" w:hAnsi="Times New Roman"/>
      <w:kern w:val="0"/>
      <w:sz w:val="24"/>
      <w:szCs w:val="24"/>
    </w:rPr>
  </w:style>
  <w:style w:type="paragraph" w:styleId="CommentText">
    <w:name w:val="annotation text"/>
    <w:basedOn w:val="Normal"/>
    <w:link w:val="CommentTextChar"/>
    <w:rsid w:val="00E97663"/>
    <w:pPr>
      <w:tabs>
        <w:tab w:val="left" w:pos="360"/>
        <w:tab w:val="left" w:pos="1080"/>
        <w:tab w:val="left" w:pos="1440"/>
      </w:tabs>
      <w:spacing w:before="120" w:after="0" w:line="240" w:lineRule="auto"/>
    </w:pPr>
    <w:rPr>
      <w:rFonts w:ascii="Times New Roman" w:eastAsia="Times New Roman" w:hAnsi="Times New Roman"/>
      <w:kern w:val="0"/>
      <w:sz w:val="20"/>
      <w:szCs w:val="20"/>
    </w:rPr>
  </w:style>
  <w:style w:type="character" w:customStyle="1" w:styleId="CommentTextChar">
    <w:name w:val="Comment Text Char"/>
    <w:link w:val="CommentText"/>
    <w:rsid w:val="00E97663"/>
    <w:rPr>
      <w:rFonts w:ascii="Times New Roman" w:eastAsia="Times New Roman" w:hAnsi="Times New Roman" w:cs="Times New Roman"/>
      <w:kern w:val="0"/>
      <w:sz w:val="20"/>
      <w:szCs w:val="20"/>
    </w:rPr>
  </w:style>
  <w:style w:type="paragraph" w:styleId="CommentSubject">
    <w:name w:val="annotation subject"/>
    <w:basedOn w:val="CommentText"/>
    <w:next w:val="CommentText"/>
    <w:link w:val="CommentSubjectChar"/>
    <w:rsid w:val="0041665D"/>
    <w:pPr>
      <w:tabs>
        <w:tab w:val="clear" w:pos="360"/>
        <w:tab w:val="clear" w:pos="1080"/>
        <w:tab w:val="clear" w:pos="1440"/>
      </w:tabs>
      <w:spacing w:before="0"/>
    </w:pPr>
    <w:rPr>
      <w:b/>
      <w:bCs/>
      <w:lang w:val="x-none" w:eastAsia="x-none"/>
    </w:rPr>
  </w:style>
  <w:style w:type="character" w:customStyle="1" w:styleId="CommentSubjectChar">
    <w:name w:val="Comment Subject Char"/>
    <w:link w:val="CommentSubject"/>
    <w:rsid w:val="0041665D"/>
    <w:rPr>
      <w:rFonts w:ascii="Times New Roman" w:eastAsia="Times New Roman" w:hAnsi="Times New Roman" w:cs="Times New Roman"/>
      <w:b/>
      <w:bCs/>
      <w:kern w:val="0"/>
      <w:sz w:val="20"/>
      <w:szCs w:val="20"/>
      <w:lang w:val="x-none" w:eastAsia="x-none"/>
    </w:rPr>
  </w:style>
  <w:style w:type="character" w:styleId="UnresolvedMention">
    <w:name w:val="Unresolved Mention"/>
    <w:uiPriority w:val="99"/>
    <w:semiHidden/>
    <w:unhideWhenUsed/>
    <w:rsid w:val="00D730A3"/>
    <w:rPr>
      <w:color w:val="605E5C"/>
      <w:shd w:val="clear" w:color="auto" w:fill="E1DFDD"/>
    </w:rPr>
  </w:style>
  <w:style w:type="character" w:styleId="CommentReference">
    <w:name w:val="annotation reference"/>
    <w:uiPriority w:val="99"/>
    <w:semiHidden/>
    <w:unhideWhenUsed/>
    <w:rsid w:val="009919CF"/>
    <w:rPr>
      <w:sz w:val="16"/>
      <w:szCs w:val="16"/>
    </w:rPr>
  </w:style>
  <w:style w:type="paragraph" w:styleId="Header">
    <w:name w:val="header"/>
    <w:basedOn w:val="Normal"/>
    <w:link w:val="HeaderChar"/>
    <w:uiPriority w:val="99"/>
    <w:unhideWhenUsed/>
    <w:rsid w:val="00C46D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6D32"/>
  </w:style>
  <w:style w:type="paragraph" w:styleId="Footer">
    <w:name w:val="footer"/>
    <w:basedOn w:val="Normal"/>
    <w:link w:val="FooterChar"/>
    <w:unhideWhenUsed/>
    <w:rsid w:val="00C46D32"/>
    <w:pPr>
      <w:tabs>
        <w:tab w:val="center" w:pos="4680"/>
        <w:tab w:val="right" w:pos="9360"/>
      </w:tabs>
      <w:spacing w:after="0" w:line="240" w:lineRule="auto"/>
    </w:pPr>
  </w:style>
  <w:style w:type="character" w:customStyle="1" w:styleId="FooterChar">
    <w:name w:val="Footer Char"/>
    <w:basedOn w:val="DefaultParagraphFont"/>
    <w:link w:val="Footer"/>
    <w:rsid w:val="00C46D32"/>
  </w:style>
  <w:style w:type="character" w:styleId="PageNumber">
    <w:name w:val="page number"/>
    <w:rsid w:val="00C46D3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550771">
      <w:bodyDiv w:val="1"/>
      <w:marLeft w:val="0"/>
      <w:marRight w:val="0"/>
      <w:marTop w:val="0"/>
      <w:marBottom w:val="0"/>
      <w:divBdr>
        <w:top w:val="none" w:sz="0" w:space="0" w:color="auto"/>
        <w:left w:val="none" w:sz="0" w:space="0" w:color="auto"/>
        <w:bottom w:val="none" w:sz="0" w:space="0" w:color="auto"/>
        <w:right w:val="none" w:sz="0" w:space="0" w:color="auto"/>
      </w:divBdr>
    </w:div>
    <w:div w:id="432673533">
      <w:bodyDiv w:val="1"/>
      <w:marLeft w:val="0"/>
      <w:marRight w:val="0"/>
      <w:marTop w:val="0"/>
      <w:marBottom w:val="0"/>
      <w:divBdr>
        <w:top w:val="none" w:sz="0" w:space="0" w:color="auto"/>
        <w:left w:val="none" w:sz="0" w:space="0" w:color="auto"/>
        <w:bottom w:val="none" w:sz="0" w:space="0" w:color="auto"/>
        <w:right w:val="none" w:sz="0" w:space="0" w:color="auto"/>
      </w:divBdr>
    </w:div>
    <w:div w:id="697511239">
      <w:bodyDiv w:val="1"/>
      <w:marLeft w:val="0"/>
      <w:marRight w:val="0"/>
      <w:marTop w:val="0"/>
      <w:marBottom w:val="0"/>
      <w:divBdr>
        <w:top w:val="none" w:sz="0" w:space="0" w:color="auto"/>
        <w:left w:val="none" w:sz="0" w:space="0" w:color="auto"/>
        <w:bottom w:val="none" w:sz="0" w:space="0" w:color="auto"/>
        <w:right w:val="none" w:sz="0" w:space="0" w:color="auto"/>
      </w:divBdr>
    </w:div>
    <w:div w:id="1501506005">
      <w:bodyDiv w:val="1"/>
      <w:marLeft w:val="0"/>
      <w:marRight w:val="0"/>
      <w:marTop w:val="0"/>
      <w:marBottom w:val="0"/>
      <w:divBdr>
        <w:top w:val="none" w:sz="0" w:space="0" w:color="auto"/>
        <w:left w:val="none" w:sz="0" w:space="0" w:color="auto"/>
        <w:bottom w:val="none" w:sz="0" w:space="0" w:color="auto"/>
        <w:right w:val="none" w:sz="0" w:space="0" w:color="auto"/>
      </w:divBdr>
    </w:div>
    <w:div w:id="195428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d.gov/sites/dfiles/OCHCO/documents/2024-38pihn.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ecfr.gov/current/title-24/subtitle-A/part-5/subpart-F/subject-group-ECFR174c6349abd095d/section-5.609"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888</Words>
  <Characters>5065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5942</CharactersWithSpaces>
  <SharedDoc>false</SharedDoc>
  <HLinks>
    <vt:vector size="18" baseType="variant">
      <vt:variant>
        <vt:i4>983068</vt:i4>
      </vt:variant>
      <vt:variant>
        <vt:i4>6</vt:i4>
      </vt:variant>
      <vt:variant>
        <vt:i4>0</vt:i4>
      </vt:variant>
      <vt:variant>
        <vt:i4>5</vt:i4>
      </vt:variant>
      <vt:variant>
        <vt:lpwstr>https://www.hud.gov/sites/dfiles/PIH/documents/PIH 2023-27 HOTMA.pdf</vt:lpwstr>
      </vt:variant>
      <vt:variant>
        <vt:lpwstr/>
      </vt:variant>
      <vt:variant>
        <vt:i4>327699</vt:i4>
      </vt:variant>
      <vt:variant>
        <vt:i4>3</vt:i4>
      </vt:variant>
      <vt:variant>
        <vt:i4>0</vt:i4>
      </vt:variant>
      <vt:variant>
        <vt:i4>5</vt:i4>
      </vt:variant>
      <vt:variant>
        <vt:lpwstr>https://www.ecfr.gov/current/title-24/subtitle-A/part-5/subpart-F/subject-group-ECFR174c6349abd095d/section-5.609</vt:lpwstr>
      </vt:variant>
      <vt:variant>
        <vt:lpwstr/>
      </vt:variant>
      <vt:variant>
        <vt:i4>8192071</vt:i4>
      </vt:variant>
      <vt:variant>
        <vt:i4>0</vt:i4>
      </vt:variant>
      <vt:variant>
        <vt:i4>0</vt:i4>
      </vt:variant>
      <vt:variant>
        <vt:i4>5</vt:i4>
      </vt:variant>
      <vt:variant>
        <vt:lpwstr>https://www.hud.gov/sites/dfiles/PIH/documents/PIH_2024-38.pdf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Sowards</dc:creator>
  <cp:keywords/>
  <dc:description/>
  <cp:lastModifiedBy>Kevin Stuart</cp:lastModifiedBy>
  <cp:revision>2</cp:revision>
  <cp:lastPrinted>2025-01-04T01:19:00Z</cp:lastPrinted>
  <dcterms:created xsi:type="dcterms:W3CDTF">2026-04-08T13:16:00Z</dcterms:created>
  <dcterms:modified xsi:type="dcterms:W3CDTF">2026-04-08T13:16:00Z</dcterms:modified>
</cp:coreProperties>
</file>