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73F2" w14:textId="7DC6DD9B" w:rsidR="001B4DC2" w:rsidRDefault="001B4DC2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1B4DC2">
        <w:rPr>
          <w:noProof/>
        </w:rPr>
        <w:drawing>
          <wp:inline distT="0" distB="0" distL="0" distR="0" wp14:anchorId="01A60826" wp14:editId="06D6E975">
            <wp:extent cx="5730240" cy="1310640"/>
            <wp:effectExtent l="0" t="0" r="0" b="0"/>
            <wp:docPr id="859011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3DAEC" w14:textId="764A54E9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AE2062" w:rsidRPr="00E57E07">
        <w:rPr>
          <w:rFonts w:ascii="Arial" w:hAnsi="Arial" w:cs="Arial"/>
          <w:sz w:val="28"/>
          <w:szCs w:val="28"/>
        </w:rPr>
        <w:t>4</w:t>
      </w:r>
      <w:r w:rsidR="00AE2062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835007" w:rsidRPr="00E57E07">
        <w:rPr>
          <w:rFonts w:ascii="Arial" w:hAnsi="Arial" w:cs="Arial"/>
          <w:sz w:val="28"/>
          <w:szCs w:val="28"/>
        </w:rPr>
        <w:t>p</w:t>
      </w:r>
      <w:r w:rsidR="00AE2062" w:rsidRPr="00E57E07">
        <w:rPr>
          <w:rFonts w:ascii="Arial" w:hAnsi="Arial" w:cs="Arial"/>
          <w:sz w:val="28"/>
          <w:szCs w:val="28"/>
        </w:rPr>
        <w:t>rocedures</w:t>
      </w:r>
    </w:p>
    <w:p w14:paraId="4D795D9F" w14:textId="03A7175E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CA08C9" w:rsidRPr="00E57E07">
        <w:rPr>
          <w:rFonts w:ascii="Arial" w:hAnsi="Arial" w:cs="Arial"/>
          <w:b/>
          <w:sz w:val="28"/>
          <w:szCs w:val="28"/>
        </w:rPr>
        <w:t>4.3</w:t>
      </w:r>
      <w:r w:rsidR="00AE2062" w:rsidRPr="00E57E07">
        <w:rPr>
          <w:rFonts w:ascii="Arial" w:hAnsi="Arial" w:cs="Arial"/>
          <w:b/>
          <w:sz w:val="28"/>
          <w:szCs w:val="28"/>
        </w:rPr>
        <w:tab/>
      </w:r>
      <w:r w:rsidR="00882F01" w:rsidRPr="00E57E07">
        <w:rPr>
          <w:rFonts w:ascii="Arial" w:hAnsi="Arial" w:cs="Arial"/>
          <w:b/>
          <w:sz w:val="28"/>
          <w:szCs w:val="28"/>
        </w:rPr>
        <w:t>Life-</w:t>
      </w:r>
      <w:r w:rsidR="00AE2062" w:rsidRPr="00E57E07">
        <w:rPr>
          <w:rFonts w:ascii="Arial" w:hAnsi="Arial" w:cs="Arial"/>
          <w:b/>
          <w:sz w:val="28"/>
          <w:szCs w:val="28"/>
        </w:rPr>
        <w:t xml:space="preserve">saving medication </w:t>
      </w:r>
      <w:r w:rsidR="0095607C" w:rsidRPr="00E57E07">
        <w:rPr>
          <w:rFonts w:ascii="Arial" w:hAnsi="Arial" w:cs="Arial"/>
          <w:b/>
          <w:sz w:val="28"/>
          <w:szCs w:val="28"/>
        </w:rPr>
        <w:t xml:space="preserve">and </w:t>
      </w:r>
      <w:r w:rsidR="00AE2062" w:rsidRPr="00E57E07">
        <w:rPr>
          <w:rFonts w:ascii="Arial" w:hAnsi="Arial" w:cs="Arial"/>
          <w:b/>
          <w:sz w:val="28"/>
          <w:szCs w:val="28"/>
        </w:rPr>
        <w:t>invasive treatment</w:t>
      </w:r>
      <w:r w:rsidR="00F76F34" w:rsidRPr="00E57E07">
        <w:rPr>
          <w:rFonts w:ascii="Arial" w:hAnsi="Arial" w:cs="Arial"/>
          <w:b/>
          <w:sz w:val="28"/>
          <w:szCs w:val="28"/>
        </w:rPr>
        <w:t>s</w:t>
      </w:r>
    </w:p>
    <w:p w14:paraId="16F2CA4C" w14:textId="3C381663" w:rsidR="00AE2062" w:rsidRPr="00B51B93" w:rsidRDefault="00882F01" w:rsidP="008A59E2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="00AE2062"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drenaline injections (</w:t>
      </w:r>
      <w:proofErr w:type="spellStart"/>
      <w:r w:rsidR="00AE2062" w:rsidRPr="00B51B93">
        <w:rPr>
          <w:rFonts w:ascii="Arial" w:hAnsi="Arial" w:cs="Arial"/>
          <w:snapToGrid w:val="0"/>
          <w:sz w:val="22"/>
          <w:szCs w:val="22"/>
        </w:rPr>
        <w:t>Epipens</w:t>
      </w:r>
      <w:proofErr w:type="spellEnd"/>
      <w:r w:rsidR="00AE2062" w:rsidRPr="00B51B93">
        <w:rPr>
          <w:rFonts w:ascii="Arial" w:hAnsi="Arial" w:cs="Arial"/>
          <w:snapToGrid w:val="0"/>
          <w:sz w:val="22"/>
          <w:szCs w:val="22"/>
        </w:rPr>
        <w:t>) for anaphylactic shock reactions (caused by allergies to nuts, eggs etc)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2186EDC" w14:textId="7777777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The key person</w:t>
      </w:r>
      <w:r w:rsidR="00920280"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0053B0" w:rsidRPr="00B51B93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</w:p>
    <w:p w14:paraId="0C8B49EC" w14:textId="0B68D36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B51B93">
        <w:rPr>
          <w:rFonts w:ascii="Arial" w:hAnsi="Arial" w:cs="Arial"/>
          <w:sz w:val="22"/>
          <w:szCs w:val="22"/>
        </w:rPr>
        <w:t>paramount</w:t>
      </w:r>
      <w:r w:rsidR="00FA0E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their</w:t>
      </w:r>
      <w:r w:rsidR="00F76F34"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 xml:space="preserve">e and personal care should </w:t>
      </w:r>
      <w:r w:rsidR="009834CF">
        <w:rPr>
          <w:rFonts w:ascii="Arial" w:hAnsi="Arial" w:cs="Arial"/>
          <w:sz w:val="22"/>
          <w:szCs w:val="22"/>
        </w:rPr>
        <w:t>b</w:t>
      </w:r>
      <w:r w:rsidR="00885D02">
        <w:rPr>
          <w:rFonts w:ascii="Arial" w:hAnsi="Arial" w:cs="Arial"/>
          <w:sz w:val="22"/>
          <w:szCs w:val="22"/>
        </w:rPr>
        <w:t>e</w:t>
      </w:r>
      <w:r w:rsidR="0098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positive. E</w:t>
      </w:r>
      <w:r w:rsidR="00F76F34"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B51B93">
        <w:rPr>
          <w:rFonts w:ascii="Arial" w:hAnsi="Arial" w:cs="Arial"/>
          <w:sz w:val="22"/>
          <w:szCs w:val="22"/>
        </w:rPr>
        <w:t>care is given gently and sensitively</w:t>
      </w:r>
      <w:r w:rsidR="009A4A6A">
        <w:rPr>
          <w:rFonts w:ascii="Arial" w:hAnsi="Arial" w:cs="Arial"/>
          <w:sz w:val="22"/>
          <w:szCs w:val="22"/>
        </w:rPr>
        <w:t>;</w:t>
      </w:r>
      <w:r w:rsidR="00F76F34"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B51B93">
        <w:rPr>
          <w:rFonts w:ascii="Arial" w:hAnsi="Arial" w:cs="Arial"/>
        </w:rPr>
        <w:t xml:space="preserve">. </w:t>
      </w:r>
    </w:p>
    <w:p w14:paraId="06EBDFA1" w14:textId="1729AE4F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="005771BF"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5771BF"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>
        <w:rPr>
          <w:rFonts w:ascii="Arial" w:hAnsi="Arial" w:cs="Arial"/>
          <w:sz w:val="22"/>
          <w:szCs w:val="22"/>
        </w:rPr>
        <w:t>.</w:t>
      </w:r>
    </w:p>
    <w:p w14:paraId="7CDE5840" w14:textId="510CC281" w:rsidR="00F76F34" w:rsidRPr="00B51B93" w:rsidRDefault="005771BF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C</w:t>
      </w:r>
      <w:r w:rsidR="00F76F34" w:rsidRPr="00B51B93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00B51B93">
        <w:rPr>
          <w:rFonts w:ascii="Arial" w:hAnsi="Arial" w:cs="Arial"/>
          <w:sz w:val="22"/>
          <w:szCs w:val="22"/>
        </w:rPr>
        <w:t>long-term</w:t>
      </w:r>
      <w:r w:rsidR="00F76F34" w:rsidRPr="00B51B93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>
        <w:rPr>
          <w:rFonts w:ascii="Arial" w:hAnsi="Arial" w:cs="Arial"/>
          <w:sz w:val="22"/>
          <w:szCs w:val="22"/>
        </w:rPr>
        <w:t xml:space="preserve"> (04.2a)</w:t>
      </w:r>
      <w:r w:rsidR="00F76F34" w:rsidRPr="00B51B93">
        <w:rPr>
          <w:rFonts w:ascii="Arial" w:hAnsi="Arial" w:cs="Arial"/>
          <w:sz w:val="22"/>
          <w:szCs w:val="22"/>
        </w:rPr>
        <w:t xml:space="preserve"> in place</w:t>
      </w:r>
      <w:r w:rsidR="00B51B93">
        <w:rPr>
          <w:rFonts w:ascii="Arial" w:hAnsi="Arial" w:cs="Arial"/>
          <w:sz w:val="22"/>
          <w:szCs w:val="22"/>
        </w:rPr>
        <w:t xml:space="preserve"> </w:t>
      </w:r>
      <w:r w:rsidR="00FA0E21">
        <w:rPr>
          <w:rFonts w:ascii="Arial" w:hAnsi="Arial" w:cs="Arial"/>
          <w:sz w:val="22"/>
          <w:szCs w:val="22"/>
        </w:rPr>
        <w:t>which</w:t>
      </w:r>
      <w:r w:rsidR="00882F01">
        <w:rPr>
          <w:rFonts w:ascii="Arial" w:hAnsi="Arial" w:cs="Arial"/>
          <w:sz w:val="22"/>
          <w:szCs w:val="22"/>
        </w:rPr>
        <w:t xml:space="preserve"> </w:t>
      </w:r>
      <w:r w:rsidR="00F76F34" w:rsidRPr="00B51B93">
        <w:rPr>
          <w:rFonts w:ascii="Arial" w:hAnsi="Arial" w:cs="Arial"/>
          <w:sz w:val="22"/>
          <w:szCs w:val="22"/>
        </w:rPr>
        <w:t>take</w:t>
      </w:r>
      <w:r w:rsidR="00882F01">
        <w:rPr>
          <w:rFonts w:ascii="Arial" w:hAnsi="Arial" w:cs="Arial"/>
          <w:sz w:val="22"/>
          <w:szCs w:val="22"/>
        </w:rPr>
        <w:t>s</w:t>
      </w:r>
      <w:r w:rsidR="00F76F34" w:rsidRPr="00B51B93">
        <w:rPr>
          <w:rFonts w:ascii="Arial" w:hAnsi="Arial" w:cs="Arial"/>
          <w:sz w:val="22"/>
          <w:szCs w:val="22"/>
        </w:rPr>
        <w:t xml:space="preserve"> into account the principles and best practice guidan</w:t>
      </w:r>
      <w:r w:rsidRPr="00B51B93">
        <w:rPr>
          <w:rFonts w:ascii="Arial" w:hAnsi="Arial" w:cs="Arial"/>
          <w:sz w:val="22"/>
          <w:szCs w:val="22"/>
        </w:rPr>
        <w:t>ce given here</w:t>
      </w:r>
      <w:r w:rsidR="00FA0E21">
        <w:rPr>
          <w:rFonts w:ascii="Arial" w:hAnsi="Arial" w:cs="Arial"/>
          <w:sz w:val="22"/>
          <w:szCs w:val="22"/>
        </w:rPr>
        <w:t>.</w:t>
      </w:r>
    </w:p>
    <w:p w14:paraId="0B764A61" w14:textId="50ACCDD9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 w:rsidR="008054F2"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8054F2">
        <w:rPr>
          <w:rFonts w:ascii="Arial" w:hAnsi="Arial" w:cs="Arial"/>
          <w:sz w:val="22"/>
          <w:szCs w:val="22"/>
        </w:rPr>
        <w:t>.</w:t>
      </w:r>
    </w:p>
    <w:p w14:paraId="7F3B3DDE" w14:textId="77777777" w:rsidR="006A221C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B51B93">
        <w:rPr>
          <w:rFonts w:ascii="Arial" w:hAnsi="Arial" w:cs="Arial"/>
          <w:snapToGrid w:val="0"/>
          <w:sz w:val="22"/>
          <w:szCs w:val="22"/>
        </w:rPr>
        <w:t>speak directly to the child, explaining what they are doing as appropriate to the child’s age and level of comprehension.</w:t>
      </w:r>
    </w:p>
    <w:p w14:paraId="07B245FC" w14:textId="714214A6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 xml:space="preserve">Children’s right to privacy and modesty is respected. Another </w:t>
      </w:r>
      <w:r w:rsidR="003D3150">
        <w:rPr>
          <w:rFonts w:ascii="Arial" w:hAnsi="Arial" w:cs="Arial"/>
          <w:snapToGrid w:val="0"/>
          <w:sz w:val="22"/>
          <w:szCs w:val="22"/>
        </w:rPr>
        <w:t>educato</w:t>
      </w:r>
      <w:r w:rsidRPr="00B51B93">
        <w:rPr>
          <w:rFonts w:ascii="Arial" w:hAnsi="Arial" w:cs="Arial"/>
          <w:snapToGrid w:val="0"/>
          <w:sz w:val="22"/>
          <w:szCs w:val="22"/>
        </w:rPr>
        <w:t>r is usually present during the process</w:t>
      </w:r>
      <w:r w:rsidR="00060DF9">
        <w:rPr>
          <w:rFonts w:ascii="Arial" w:hAnsi="Arial" w:cs="Arial"/>
          <w:snapToGrid w:val="0"/>
          <w:sz w:val="22"/>
          <w:szCs w:val="22"/>
        </w:rPr>
        <w:t>.</w:t>
      </w:r>
    </w:p>
    <w:p w14:paraId="08513BDA" w14:textId="11D2118B" w:rsidR="00AE69B6" w:rsidRDefault="00792DD2" w:rsidP="008A59E2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6DFB9E20" w14:textId="1061D4FA" w:rsidR="00AE2062" w:rsidRPr="00B51B93" w:rsidRDefault="00060DF9" w:rsidP="008A59E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0EA2275F" w14:textId="143437D1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626A7AD2" w14:textId="324DFADC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 allowing members of staff to administer medication</w:t>
      </w:r>
    </w:p>
    <w:p w14:paraId="7A5D1DE7" w14:textId="749D8AA8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65BCDB29" w:rsidR="00AE2062" w:rsidRPr="00903EA6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lastRenderedPageBreak/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  <w:r w:rsidR="00903EA6" w:rsidRPr="00903EA6">
        <w:rPr>
          <w:rFonts w:ascii="Arial" w:hAnsi="Arial" w:cs="Arial"/>
          <w:snapToGrid w:val="0"/>
          <w:sz w:val="22"/>
          <w:szCs w:val="22"/>
        </w:rPr>
        <w:t>(0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4.2a</w:t>
      </w:r>
      <w:r w:rsidR="00136DC7">
        <w:rPr>
          <w:rFonts w:ascii="Arial" w:hAnsi="Arial" w:cs="Arial"/>
          <w:snapToGrid w:val="0"/>
          <w:sz w:val="22"/>
          <w:szCs w:val="22"/>
        </w:rPr>
        <w:t>)</w:t>
      </w:r>
    </w:p>
    <w:p w14:paraId="3C37F7CC" w14:textId="2E9A46D2" w:rsidR="00792DD2" w:rsidRPr="00B51B93" w:rsidRDefault="001535FC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0EE0448A" w14:textId="77777777" w:rsidR="00965E1E" w:rsidRPr="00B51B93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Physiotherapy</w:t>
      </w:r>
    </w:p>
    <w:p w14:paraId="02C83B5C" w14:textId="77777777" w:rsidR="00965E1E" w:rsidRPr="00B51B93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5945B4D2" w:rsidR="00965E1E" w:rsidRPr="001535FC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</w:t>
      </w:r>
      <w:r w:rsidR="003D3150"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applying the technique in the first instance.</w:t>
      </w:r>
    </w:p>
    <w:p w14:paraId="582419DC" w14:textId="77777777" w:rsidR="00792DD2" w:rsidRPr="00B51B93" w:rsidRDefault="00792DD2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7868B630" w14:textId="6C252B76" w:rsidR="00792DD2" w:rsidRPr="00B51B93" w:rsidRDefault="003D3150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 xml:space="preserve">s recognise that children with SEND are particularly vulnerable to all types of abuse, therefore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4E871BC" w14:textId="751EB5D5" w:rsidR="00AE2062" w:rsidRPr="00361C62" w:rsidRDefault="00965E1E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 w:rsidR="00155512"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>designated person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for safeguarding and the relevant procedure is followed.</w:t>
      </w:r>
    </w:p>
    <w:p w14:paraId="49CCD20E" w14:textId="77777777" w:rsidR="006F29CF" w:rsidRDefault="00190E98" w:rsidP="006F29C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65548">
        <w:rPr>
          <w:rFonts w:ascii="Arial" w:hAnsi="Arial" w:cs="Arial"/>
          <w:b/>
          <w:bCs/>
          <w:sz w:val="22"/>
          <w:szCs w:val="22"/>
        </w:rPr>
        <w:t>.</w:t>
      </w:r>
      <w:r w:rsidR="006F29CF" w:rsidRPr="006F29CF">
        <w:rPr>
          <w:rFonts w:ascii="Arial" w:hAnsi="Arial" w:cs="Arial"/>
          <w:bCs/>
          <w:sz w:val="22"/>
          <w:szCs w:val="22"/>
        </w:rPr>
        <w:t xml:space="preserve"> </w:t>
      </w:r>
    </w:p>
    <w:p w14:paraId="40F12B8F" w14:textId="7B1E05AE" w:rsidR="006F29CF" w:rsidRDefault="006F29CF" w:rsidP="006F29C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7F20DA6C" w14:textId="7F6927E4" w:rsidR="006F29CF" w:rsidRDefault="006F29CF" w:rsidP="006F29C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C333D2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24353EE4" w14:textId="2A685A65" w:rsidR="00EE071B" w:rsidRDefault="00EE071B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1CB8C29D" w14:textId="77777777" w:rsidR="006F29CF" w:rsidRPr="00361C62" w:rsidRDefault="006F29CF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6F29CF" w:rsidRPr="00361C62" w:rsidSect="00090667"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8053" w14:textId="77777777" w:rsidR="005E5210" w:rsidRDefault="005E5210" w:rsidP="00831C42">
      <w:r>
        <w:separator/>
      </w:r>
    </w:p>
  </w:endnote>
  <w:endnote w:type="continuationSeparator" w:id="0">
    <w:p w14:paraId="22F84544" w14:textId="77777777" w:rsidR="005E5210" w:rsidRDefault="005E5210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7B3370FB" w:rsidR="00926416" w:rsidRPr="00754285" w:rsidRDefault="00754285" w:rsidP="00AF0716">
    <w:pPr>
      <w:pStyle w:val="Footer"/>
      <w:rPr>
        <w:rFonts w:ascii="Arial" w:hAnsi="Arial" w:cs="Arial"/>
        <w:sz w:val="20"/>
      </w:rPr>
    </w:pPr>
    <w:r w:rsidRPr="00BE6C27">
      <w:rPr>
        <w:rFonts w:ascii="Arial" w:hAnsi="Arial" w:cs="Arial"/>
        <w:i/>
        <w:iCs/>
        <w:sz w:val="20"/>
      </w:rPr>
      <w:t>Policies &amp; Procedures for the EYFS 2021</w:t>
    </w:r>
    <w:r w:rsidRPr="00BE6C27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6805" w14:textId="77777777" w:rsidR="005E5210" w:rsidRDefault="005E5210" w:rsidP="00831C42">
      <w:r>
        <w:separator/>
      </w:r>
    </w:p>
  </w:footnote>
  <w:footnote w:type="continuationSeparator" w:id="0">
    <w:p w14:paraId="2B0CEAF3" w14:textId="77777777" w:rsidR="005E5210" w:rsidRDefault="005E5210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6654935">
    <w:abstractNumId w:val="15"/>
  </w:num>
  <w:num w:numId="2" w16cid:durableId="1211527675">
    <w:abstractNumId w:val="28"/>
  </w:num>
  <w:num w:numId="3" w16cid:durableId="1198739703">
    <w:abstractNumId w:val="23"/>
  </w:num>
  <w:num w:numId="4" w16cid:durableId="859053312">
    <w:abstractNumId w:val="3"/>
  </w:num>
  <w:num w:numId="5" w16cid:durableId="355229055">
    <w:abstractNumId w:val="39"/>
  </w:num>
  <w:num w:numId="6" w16cid:durableId="1110860979">
    <w:abstractNumId w:val="0"/>
  </w:num>
  <w:num w:numId="7" w16cid:durableId="593905540">
    <w:abstractNumId w:val="27"/>
  </w:num>
  <w:num w:numId="8" w16cid:durableId="2979414">
    <w:abstractNumId w:val="24"/>
  </w:num>
  <w:num w:numId="9" w16cid:durableId="829636549">
    <w:abstractNumId w:val="29"/>
  </w:num>
  <w:num w:numId="10" w16cid:durableId="1868717749">
    <w:abstractNumId w:val="8"/>
  </w:num>
  <w:num w:numId="11" w16cid:durableId="1086537047">
    <w:abstractNumId w:val="19"/>
  </w:num>
  <w:num w:numId="12" w16cid:durableId="1393431310">
    <w:abstractNumId w:val="40"/>
  </w:num>
  <w:num w:numId="13" w16cid:durableId="1545679167">
    <w:abstractNumId w:val="6"/>
  </w:num>
  <w:num w:numId="14" w16cid:durableId="346491299">
    <w:abstractNumId w:val="34"/>
  </w:num>
  <w:num w:numId="15" w16cid:durableId="1163426804">
    <w:abstractNumId w:val="32"/>
  </w:num>
  <w:num w:numId="16" w16cid:durableId="615219081">
    <w:abstractNumId w:val="7"/>
  </w:num>
  <w:num w:numId="17" w16cid:durableId="1376082213">
    <w:abstractNumId w:val="12"/>
  </w:num>
  <w:num w:numId="18" w16cid:durableId="1116289096">
    <w:abstractNumId w:val="31"/>
  </w:num>
  <w:num w:numId="19" w16cid:durableId="865296142">
    <w:abstractNumId w:val="33"/>
  </w:num>
  <w:num w:numId="20" w16cid:durableId="492526229">
    <w:abstractNumId w:val="1"/>
  </w:num>
  <w:num w:numId="21" w16cid:durableId="406852754">
    <w:abstractNumId w:val="37"/>
  </w:num>
  <w:num w:numId="22" w16cid:durableId="1809282668">
    <w:abstractNumId w:val="2"/>
  </w:num>
  <w:num w:numId="23" w16cid:durableId="469906392">
    <w:abstractNumId w:val="22"/>
  </w:num>
  <w:num w:numId="24" w16cid:durableId="2047945694">
    <w:abstractNumId w:val="5"/>
  </w:num>
  <w:num w:numId="25" w16cid:durableId="1384061186">
    <w:abstractNumId w:val="10"/>
  </w:num>
  <w:num w:numId="26" w16cid:durableId="1430849881">
    <w:abstractNumId w:val="14"/>
  </w:num>
  <w:num w:numId="27" w16cid:durableId="556941154">
    <w:abstractNumId w:val="4"/>
  </w:num>
  <w:num w:numId="28" w16cid:durableId="1208031121">
    <w:abstractNumId w:val="20"/>
  </w:num>
  <w:num w:numId="29" w16cid:durableId="168645650">
    <w:abstractNumId w:val="17"/>
  </w:num>
  <w:num w:numId="30" w16cid:durableId="310642782">
    <w:abstractNumId w:val="9"/>
  </w:num>
  <w:num w:numId="31" w16cid:durableId="812648495">
    <w:abstractNumId w:val="43"/>
  </w:num>
  <w:num w:numId="32" w16cid:durableId="1852183945">
    <w:abstractNumId w:val="16"/>
  </w:num>
  <w:num w:numId="33" w16cid:durableId="1067455303">
    <w:abstractNumId w:val="41"/>
  </w:num>
  <w:num w:numId="34" w16cid:durableId="1386097976">
    <w:abstractNumId w:val="25"/>
  </w:num>
  <w:num w:numId="35" w16cid:durableId="1789736860">
    <w:abstractNumId w:val="42"/>
  </w:num>
  <w:num w:numId="36" w16cid:durableId="486819539">
    <w:abstractNumId w:val="36"/>
  </w:num>
  <w:num w:numId="37" w16cid:durableId="142434952">
    <w:abstractNumId w:val="21"/>
  </w:num>
  <w:num w:numId="38" w16cid:durableId="793257960">
    <w:abstractNumId w:val="26"/>
  </w:num>
  <w:num w:numId="39" w16cid:durableId="1695495500">
    <w:abstractNumId w:val="30"/>
  </w:num>
  <w:num w:numId="40" w16cid:durableId="1017269476">
    <w:abstractNumId w:val="13"/>
  </w:num>
  <w:num w:numId="41" w16cid:durableId="903023657">
    <w:abstractNumId w:val="35"/>
  </w:num>
  <w:num w:numId="42" w16cid:durableId="532613661">
    <w:abstractNumId w:val="38"/>
  </w:num>
  <w:num w:numId="43" w16cid:durableId="1459378278">
    <w:abstractNumId w:val="11"/>
  </w:num>
  <w:num w:numId="44" w16cid:durableId="40448637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6DC7"/>
    <w:rsid w:val="00137F64"/>
    <w:rsid w:val="00141505"/>
    <w:rsid w:val="001535FC"/>
    <w:rsid w:val="00155512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4DC2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46F26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315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E5210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9CF"/>
    <w:rsid w:val="006F2EF1"/>
    <w:rsid w:val="006F5EFA"/>
    <w:rsid w:val="007150B7"/>
    <w:rsid w:val="007152AD"/>
    <w:rsid w:val="00720ADE"/>
    <w:rsid w:val="00732838"/>
    <w:rsid w:val="00734164"/>
    <w:rsid w:val="007355F6"/>
    <w:rsid w:val="007517F7"/>
    <w:rsid w:val="00754285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6416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87C58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3D2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8FF51-3542-4340-963D-ED6A00401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Vicky Oliver</cp:lastModifiedBy>
  <cp:revision>2</cp:revision>
  <cp:lastPrinted>2011-08-21T10:18:00Z</cp:lastPrinted>
  <dcterms:created xsi:type="dcterms:W3CDTF">2025-03-16T12:15:00Z</dcterms:created>
  <dcterms:modified xsi:type="dcterms:W3CDTF">2025-03-16T12:15:00Z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