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452934" w:rsidRDefault="003E2FCC" w:rsidP="00452934">
      <w:pPr>
        <w:spacing w:after="0" w:line="240" w:lineRule="auto"/>
        <w:jc w:val="center"/>
        <w:rPr>
          <w:b/>
          <w:sz w:val="36"/>
        </w:rPr>
      </w:pPr>
      <w:r>
        <w:rPr>
          <w:b/>
          <w:sz w:val="36"/>
        </w:rPr>
        <w:t xml:space="preserve">Funding and Flexibility for </w:t>
      </w:r>
      <w:r w:rsidR="004A5575">
        <w:rPr>
          <w:b/>
          <w:sz w:val="36"/>
        </w:rPr>
        <w:t>At-Risk Students</w:t>
      </w:r>
      <w:r w:rsidR="00651A15">
        <w:rPr>
          <w:b/>
          <w:sz w:val="36"/>
        </w:rPr>
        <w:t xml:space="preserve">:  </w:t>
      </w:r>
    </w:p>
    <w:p w:rsidR="00651A15" w:rsidRPr="005D44AC" w:rsidRDefault="00651A15" w:rsidP="00452934">
      <w:pPr>
        <w:spacing w:after="0" w:line="240" w:lineRule="auto"/>
        <w:jc w:val="center"/>
        <w:rPr>
          <w:b/>
          <w:sz w:val="28"/>
        </w:rPr>
      </w:pPr>
      <w:r>
        <w:rPr>
          <w:b/>
          <w:sz w:val="36"/>
        </w:rPr>
        <w:t xml:space="preserve">A </w:t>
      </w:r>
      <w:r w:rsidR="003C71F2">
        <w:rPr>
          <w:b/>
          <w:sz w:val="36"/>
        </w:rPr>
        <w:t>20</w:t>
      </w:r>
      <w:r w:rsidR="00452934">
        <w:rPr>
          <w:b/>
          <w:sz w:val="36"/>
        </w:rPr>
        <w:t xml:space="preserve">17 </w:t>
      </w:r>
      <w:r>
        <w:rPr>
          <w:b/>
          <w:sz w:val="36"/>
        </w:rPr>
        <w:t>Legislative Priority</w:t>
      </w:r>
      <w:r w:rsidR="00D8250D">
        <w:rPr>
          <w:b/>
          <w:sz w:val="36"/>
        </w:rPr>
        <w:t xml:space="preserve"> </w:t>
      </w:r>
    </w:p>
    <w:p w:rsidR="00CE04E6" w:rsidRDefault="00D208D1" w:rsidP="00D32F52">
      <w:pPr>
        <w:widowControl w:val="0"/>
        <w:spacing w:before="240" w:after="240" w:line="240" w:lineRule="auto"/>
        <w:rPr>
          <w:rFonts w:ascii="Calibri" w:eastAsia="Calibri" w:hAnsi="Calibri" w:cs="Calibri"/>
          <w:sz w:val="24"/>
        </w:rPr>
      </w:pPr>
      <w:r>
        <w:rPr>
          <w:noProof/>
        </w:rPr>
        <w:drawing>
          <wp:anchor distT="0" distB="0" distL="114300" distR="114300" simplePos="0" relativeHeight="251658240" behindDoc="1" locked="0" layoutInCell="1" allowOverlap="1">
            <wp:simplePos x="0" y="0"/>
            <wp:positionH relativeFrom="margin">
              <wp:posOffset>3085465</wp:posOffset>
            </wp:positionH>
            <wp:positionV relativeFrom="paragraph">
              <wp:posOffset>897890</wp:posOffset>
            </wp:positionV>
            <wp:extent cx="3754120" cy="2053590"/>
            <wp:effectExtent l="0" t="0" r="0" b="3810"/>
            <wp:wrapTight wrapText="bothSides">
              <wp:wrapPolygon edited="0">
                <wp:start x="0" y="0"/>
                <wp:lineTo x="0" y="21440"/>
                <wp:lineTo x="21483" y="21440"/>
                <wp:lineTo x="2148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54120" cy="2053590"/>
                    </a:xfrm>
                    <a:prstGeom prst="rect">
                      <a:avLst/>
                    </a:prstGeom>
                  </pic:spPr>
                </pic:pic>
              </a:graphicData>
            </a:graphic>
            <wp14:sizeRelH relativeFrom="page">
              <wp14:pctWidth>0</wp14:pctWidth>
            </wp14:sizeRelH>
            <wp14:sizeRelV relativeFrom="page">
              <wp14:pctHeight>0</wp14:pctHeight>
            </wp14:sizeRelV>
          </wp:anchor>
        </w:drawing>
      </w:r>
      <w:r w:rsidR="00651A15" w:rsidRPr="0014231C">
        <w:rPr>
          <w:rFonts w:ascii="Calibri" w:eastAsia="Calibri" w:hAnsi="Calibri" w:cs="Calibri"/>
          <w:b/>
          <w:sz w:val="24"/>
        </w:rPr>
        <w:t>Background:</w:t>
      </w:r>
      <w:r w:rsidR="00651A15">
        <w:rPr>
          <w:rFonts w:ascii="Calibri" w:eastAsia="Calibri" w:hAnsi="Calibri" w:cs="Calibri"/>
          <w:sz w:val="24"/>
        </w:rPr>
        <w:t xml:space="preserve"> </w:t>
      </w:r>
      <w:r w:rsidR="004A5575">
        <w:rPr>
          <w:rFonts w:ascii="Calibri" w:eastAsia="Calibri" w:hAnsi="Calibri" w:cs="Calibri"/>
          <w:sz w:val="24"/>
        </w:rPr>
        <w:t xml:space="preserve">Iowa has traditionally been a homogenous state with relatively low rates of poverty compared to the rest of the nation.  </w:t>
      </w:r>
      <w:r w:rsidR="00D43093">
        <w:rPr>
          <w:rFonts w:ascii="Calibri" w:eastAsia="Calibri" w:hAnsi="Calibri" w:cs="Calibri"/>
          <w:sz w:val="24"/>
        </w:rPr>
        <w:t>As such, Iowa’s funding formula ha</w:t>
      </w:r>
      <w:r w:rsidR="00452934">
        <w:rPr>
          <w:rFonts w:ascii="Calibri" w:eastAsia="Calibri" w:hAnsi="Calibri" w:cs="Calibri"/>
          <w:sz w:val="24"/>
        </w:rPr>
        <w:t>d</w:t>
      </w:r>
      <w:r w:rsidR="00D43093">
        <w:rPr>
          <w:rFonts w:ascii="Calibri" w:eastAsia="Calibri" w:hAnsi="Calibri" w:cs="Calibri"/>
          <w:sz w:val="24"/>
        </w:rPr>
        <w:t xml:space="preserve"> little recognition of low income as a driver of at-risk student funding or programing.  </w:t>
      </w:r>
      <w:r w:rsidR="00D8250D">
        <w:rPr>
          <w:rFonts w:ascii="Calibri" w:eastAsia="Calibri" w:hAnsi="Calibri" w:cs="Calibri"/>
          <w:sz w:val="24"/>
        </w:rPr>
        <w:t xml:space="preserve">In 2001, about 28% of students were eligible for Free and Reduced Lunch, with the lowest district percentage of eligibility at 4.2%.  </w:t>
      </w:r>
      <w:r w:rsidR="00D43093">
        <w:rPr>
          <w:rFonts w:ascii="Calibri" w:eastAsia="Calibri" w:hAnsi="Calibri" w:cs="Calibri"/>
          <w:sz w:val="24"/>
        </w:rPr>
        <w:t xml:space="preserve">Dropout Prevention funding is based on total enrollment count, </w:t>
      </w:r>
      <w:r w:rsidR="003420EB">
        <w:rPr>
          <w:rFonts w:ascii="Calibri" w:eastAsia="Calibri" w:hAnsi="Calibri" w:cs="Calibri"/>
          <w:sz w:val="24"/>
        </w:rPr>
        <w:t xml:space="preserve">not the percentage of students at-risk.  </w:t>
      </w:r>
      <w:proofErr w:type="spellStart"/>
      <w:r w:rsidR="003420EB">
        <w:rPr>
          <w:rFonts w:ascii="Calibri" w:eastAsia="Calibri" w:hAnsi="Calibri" w:cs="Calibri"/>
          <w:sz w:val="24"/>
        </w:rPr>
        <w:t>DoP</w:t>
      </w:r>
      <w:proofErr w:type="spellEnd"/>
      <w:r w:rsidR="003420EB">
        <w:rPr>
          <w:rFonts w:ascii="Calibri" w:eastAsia="Calibri" w:hAnsi="Calibri" w:cs="Calibri"/>
          <w:sz w:val="24"/>
        </w:rPr>
        <w:t xml:space="preserve"> funding is limited to</w:t>
      </w:r>
      <w:r w:rsidR="00D43093">
        <w:rPr>
          <w:rFonts w:ascii="Calibri" w:eastAsia="Calibri" w:hAnsi="Calibri" w:cs="Calibri"/>
          <w:sz w:val="24"/>
        </w:rPr>
        <w:t xml:space="preserve"> 2.5% of the total regular program district cost or up to 5% of regular program district cost based on historical practice.  </w:t>
      </w:r>
      <w:r w:rsidR="00F00114">
        <w:rPr>
          <w:rFonts w:ascii="Calibri" w:eastAsia="Calibri" w:hAnsi="Calibri" w:cs="Calibri"/>
          <w:sz w:val="24"/>
        </w:rPr>
        <w:t xml:space="preserve">  </w:t>
      </w:r>
    </w:p>
    <w:p w:rsidR="00D43093" w:rsidRDefault="00F00114" w:rsidP="00790A5F">
      <w:pPr>
        <w:widowControl w:val="0"/>
        <w:spacing w:after="240" w:line="240" w:lineRule="auto"/>
        <w:rPr>
          <w:rFonts w:ascii="Calibri" w:eastAsia="Calibri" w:hAnsi="Calibri" w:cs="Calibri"/>
          <w:sz w:val="24"/>
        </w:rPr>
      </w:pPr>
      <w:r w:rsidRPr="00F00114">
        <w:rPr>
          <w:rFonts w:ascii="Calibri" w:eastAsia="Calibri" w:hAnsi="Calibri" w:cs="Calibri"/>
          <w:b/>
          <w:sz w:val="24"/>
        </w:rPr>
        <w:t>Curren</w:t>
      </w:r>
      <w:r w:rsidR="002A5125" w:rsidRPr="00F00114">
        <w:rPr>
          <w:rFonts w:ascii="Calibri" w:eastAsia="Calibri" w:hAnsi="Calibri" w:cs="Calibri"/>
          <w:b/>
          <w:sz w:val="24"/>
        </w:rPr>
        <w:t>t</w:t>
      </w:r>
      <w:r w:rsidR="002A5125" w:rsidRPr="002A5125">
        <w:rPr>
          <w:rFonts w:ascii="Calibri" w:eastAsia="Calibri" w:hAnsi="Calibri" w:cs="Calibri"/>
          <w:b/>
          <w:sz w:val="24"/>
        </w:rPr>
        <w:t xml:space="preserve"> Reality:</w:t>
      </w:r>
      <w:r w:rsidR="002A5125">
        <w:rPr>
          <w:rFonts w:ascii="Calibri" w:eastAsia="Calibri" w:hAnsi="Calibri" w:cs="Calibri"/>
          <w:sz w:val="24"/>
        </w:rPr>
        <w:t xml:space="preserve">  </w:t>
      </w:r>
      <w:r w:rsidR="00452934">
        <w:rPr>
          <w:rFonts w:ascii="Calibri" w:eastAsia="Calibri" w:hAnsi="Calibri" w:cs="Calibri"/>
          <w:sz w:val="24"/>
        </w:rPr>
        <w:t>In FY 2016, 41.8% of student</w:t>
      </w:r>
      <w:r w:rsidR="00D8250D">
        <w:rPr>
          <w:rFonts w:ascii="Calibri" w:eastAsia="Calibri" w:hAnsi="Calibri" w:cs="Calibri"/>
          <w:sz w:val="24"/>
        </w:rPr>
        <w:t>s</w:t>
      </w:r>
      <w:r w:rsidR="00452934">
        <w:rPr>
          <w:rFonts w:ascii="Calibri" w:eastAsia="Calibri" w:hAnsi="Calibri" w:cs="Calibri"/>
          <w:sz w:val="24"/>
        </w:rPr>
        <w:t xml:space="preserve"> enrolled were eligible for </w:t>
      </w:r>
      <w:r w:rsidR="00D43093">
        <w:rPr>
          <w:rFonts w:ascii="Calibri" w:eastAsia="Calibri" w:hAnsi="Calibri" w:cs="Calibri"/>
          <w:sz w:val="24"/>
        </w:rPr>
        <w:t xml:space="preserve">Free and Reduced </w:t>
      </w:r>
      <w:r w:rsidR="00452934">
        <w:rPr>
          <w:rFonts w:ascii="Calibri" w:eastAsia="Calibri" w:hAnsi="Calibri" w:cs="Calibri"/>
          <w:sz w:val="24"/>
        </w:rPr>
        <w:t xml:space="preserve">Price </w:t>
      </w:r>
      <w:r w:rsidR="00D43093">
        <w:rPr>
          <w:rFonts w:ascii="Calibri" w:eastAsia="Calibri" w:hAnsi="Calibri" w:cs="Calibri"/>
          <w:sz w:val="24"/>
        </w:rPr>
        <w:t>Lunch.</w:t>
      </w:r>
      <w:r w:rsidR="00452934">
        <w:rPr>
          <w:rFonts w:ascii="Calibri" w:eastAsia="Calibri" w:hAnsi="Calibri" w:cs="Calibri"/>
          <w:sz w:val="24"/>
        </w:rPr>
        <w:t xml:space="preserve"> </w:t>
      </w:r>
      <w:r w:rsidR="00452934" w:rsidRPr="00452934">
        <w:rPr>
          <w:rFonts w:ascii="Calibri" w:eastAsia="Calibri" w:hAnsi="Calibri" w:cs="Calibri"/>
          <w:sz w:val="18"/>
        </w:rPr>
        <w:t>(Iowa DE web site, 2015-16 Iowa Public School K-12 Students Eligible for Free and Reduced-price Lunch B by District)</w:t>
      </w:r>
    </w:p>
    <w:p w:rsidR="00D43093" w:rsidRDefault="00D43093" w:rsidP="003C71F2">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Poverty is no</w:t>
      </w:r>
      <w:r w:rsidR="0069100F">
        <w:rPr>
          <w:rFonts w:ascii="Calibri" w:eastAsia="Calibri" w:hAnsi="Calibri" w:cs="Calibri"/>
          <w:sz w:val="24"/>
        </w:rPr>
        <w:t xml:space="preserve"> longer</w:t>
      </w:r>
      <w:r>
        <w:rPr>
          <w:rFonts w:ascii="Calibri" w:eastAsia="Calibri" w:hAnsi="Calibri" w:cs="Calibri"/>
          <w:sz w:val="24"/>
        </w:rPr>
        <w:t xml:space="preserve"> concentrated in Iowa’s urban centers but found throughout the state.  Of the </w:t>
      </w:r>
      <w:r w:rsidR="00452934">
        <w:rPr>
          <w:rFonts w:ascii="Calibri" w:eastAsia="Calibri" w:hAnsi="Calibri" w:cs="Calibri"/>
          <w:sz w:val="24"/>
        </w:rPr>
        <w:t>63</w:t>
      </w:r>
      <w:r>
        <w:rPr>
          <w:rFonts w:ascii="Calibri" w:eastAsia="Calibri" w:hAnsi="Calibri" w:cs="Calibri"/>
          <w:sz w:val="24"/>
        </w:rPr>
        <w:t xml:space="preserve"> school districts in FY 201</w:t>
      </w:r>
      <w:r w:rsidR="00452934">
        <w:rPr>
          <w:rFonts w:ascii="Calibri" w:eastAsia="Calibri" w:hAnsi="Calibri" w:cs="Calibri"/>
          <w:sz w:val="24"/>
        </w:rPr>
        <w:t>5</w:t>
      </w:r>
      <w:r>
        <w:rPr>
          <w:rFonts w:ascii="Calibri" w:eastAsia="Calibri" w:hAnsi="Calibri" w:cs="Calibri"/>
          <w:sz w:val="24"/>
        </w:rPr>
        <w:t xml:space="preserve"> with more than half of their students eligible for Free and Reduced </w:t>
      </w:r>
      <w:r w:rsidR="0069100F">
        <w:rPr>
          <w:rFonts w:ascii="Calibri" w:eastAsia="Calibri" w:hAnsi="Calibri" w:cs="Calibri"/>
          <w:sz w:val="24"/>
        </w:rPr>
        <w:t xml:space="preserve">price </w:t>
      </w:r>
      <w:r>
        <w:rPr>
          <w:rFonts w:ascii="Calibri" w:eastAsia="Calibri" w:hAnsi="Calibri" w:cs="Calibri"/>
          <w:sz w:val="24"/>
        </w:rPr>
        <w:t xml:space="preserve">lunch, </w:t>
      </w:r>
      <w:r w:rsidR="00452934">
        <w:rPr>
          <w:rFonts w:ascii="Calibri" w:eastAsia="Calibri" w:hAnsi="Calibri" w:cs="Calibri"/>
          <w:sz w:val="24"/>
        </w:rPr>
        <w:t>49</w:t>
      </w:r>
      <w:r>
        <w:rPr>
          <w:rFonts w:ascii="Calibri" w:eastAsia="Calibri" w:hAnsi="Calibri" w:cs="Calibri"/>
          <w:sz w:val="24"/>
        </w:rPr>
        <w:t xml:space="preserve"> are rural school districts. </w:t>
      </w:r>
      <w:r w:rsidR="00452934">
        <w:rPr>
          <w:rFonts w:ascii="Calibri" w:eastAsia="Calibri" w:hAnsi="Calibri" w:cs="Calibri"/>
          <w:sz w:val="24"/>
        </w:rPr>
        <w:t>In Iowa’s smallest enrollment category, districts below 300 enrolled, there were 47.2% eligible</w:t>
      </w:r>
      <w:r w:rsidR="00D208D1">
        <w:rPr>
          <w:rFonts w:ascii="Calibri" w:eastAsia="Calibri" w:hAnsi="Calibri" w:cs="Calibri"/>
          <w:sz w:val="24"/>
        </w:rPr>
        <w:t xml:space="preserve"> </w:t>
      </w:r>
      <w:r w:rsidR="00D208D1" w:rsidRPr="00D208D1">
        <w:rPr>
          <w:rFonts w:ascii="Calibri" w:eastAsia="Calibri" w:hAnsi="Calibri" w:cs="Calibri"/>
          <w:sz w:val="20"/>
        </w:rPr>
        <w:t>(Iowa Condition of Education Report, Jan. 2016)</w:t>
      </w:r>
      <w:r w:rsidR="00452934" w:rsidRPr="00D208D1">
        <w:rPr>
          <w:rFonts w:ascii="Calibri" w:eastAsia="Calibri" w:hAnsi="Calibri" w:cs="Calibri"/>
          <w:sz w:val="20"/>
        </w:rPr>
        <w:t xml:space="preserve"> </w:t>
      </w:r>
    </w:p>
    <w:p w:rsidR="00F00114" w:rsidRPr="00D41F0C" w:rsidRDefault="00D43093" w:rsidP="00B75FC4">
      <w:pPr>
        <w:pStyle w:val="ListParagraph"/>
        <w:widowControl w:val="0"/>
        <w:numPr>
          <w:ilvl w:val="0"/>
          <w:numId w:val="5"/>
        </w:numPr>
        <w:spacing w:after="480" w:line="240" w:lineRule="auto"/>
        <w:rPr>
          <w:rFonts w:ascii="Calibri" w:eastAsia="Calibri" w:hAnsi="Calibri" w:cs="Calibri"/>
          <w:sz w:val="24"/>
        </w:rPr>
      </w:pPr>
      <w:r w:rsidRPr="00D41F0C">
        <w:rPr>
          <w:rFonts w:ascii="Calibri" w:eastAsia="Calibri" w:hAnsi="Calibri" w:cs="Calibri"/>
          <w:sz w:val="24"/>
        </w:rPr>
        <w:t xml:space="preserve">Iowa’s funding for at-risk students and dropout prevention resources, combined with targeted grant funds for high-needs schools, translates into a 9.8% additional funding commitment for these students. </w:t>
      </w:r>
      <w:r w:rsidR="00D41F0C" w:rsidRPr="00D41F0C">
        <w:rPr>
          <w:rFonts w:ascii="Calibri" w:eastAsia="Calibri" w:hAnsi="Calibri" w:cs="Calibri"/>
          <w:sz w:val="24"/>
        </w:rPr>
        <w:t xml:space="preserve">This falls short of </w:t>
      </w:r>
      <w:r w:rsidR="00D41F0C">
        <w:rPr>
          <w:rFonts w:ascii="Calibri" w:eastAsia="Calibri" w:hAnsi="Calibri" w:cs="Calibri"/>
          <w:sz w:val="24"/>
        </w:rPr>
        <w:t>t</w:t>
      </w:r>
      <w:r w:rsidRPr="00D41F0C">
        <w:rPr>
          <w:rFonts w:ascii="Calibri" w:eastAsia="Calibri" w:hAnsi="Calibri" w:cs="Calibri"/>
          <w:sz w:val="24"/>
        </w:rPr>
        <w:t>he national average investment</w:t>
      </w:r>
      <w:r w:rsidR="00D41F0C">
        <w:rPr>
          <w:rFonts w:ascii="Calibri" w:eastAsia="Calibri" w:hAnsi="Calibri" w:cs="Calibri"/>
          <w:sz w:val="24"/>
        </w:rPr>
        <w:t>, which</w:t>
      </w:r>
      <w:r w:rsidRPr="00D41F0C">
        <w:rPr>
          <w:rFonts w:ascii="Calibri" w:eastAsia="Calibri" w:hAnsi="Calibri" w:cs="Calibri"/>
          <w:sz w:val="24"/>
        </w:rPr>
        <w:t xml:space="preserve"> is an additional 29% funding beyond the base for low-income students. </w:t>
      </w:r>
      <w:r w:rsidR="00D208D1" w:rsidRPr="00D41F0C">
        <w:rPr>
          <w:rFonts w:ascii="Calibri" w:eastAsia="Calibri" w:hAnsi="Calibri" w:cs="Calibri"/>
          <w:sz w:val="18"/>
        </w:rPr>
        <w:t>(American Institute for Research, Stud</w:t>
      </w:r>
      <w:r w:rsidR="00D8250D" w:rsidRPr="00D41F0C">
        <w:rPr>
          <w:rFonts w:ascii="Calibri" w:eastAsia="Calibri" w:hAnsi="Calibri" w:cs="Calibri"/>
          <w:sz w:val="18"/>
        </w:rPr>
        <w:t>y</w:t>
      </w:r>
      <w:r w:rsidR="00D208D1" w:rsidRPr="00D41F0C">
        <w:rPr>
          <w:rFonts w:ascii="Calibri" w:eastAsia="Calibri" w:hAnsi="Calibri" w:cs="Calibri"/>
          <w:sz w:val="18"/>
        </w:rPr>
        <w:t xml:space="preserve"> of a new Method of Funding for Public Schools in Nevada, Sept. 2012)</w:t>
      </w:r>
    </w:p>
    <w:p w:rsidR="00D43093" w:rsidRDefault="00D43093" w:rsidP="003C71F2">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 xml:space="preserve">Students from low income families are more likely to </w:t>
      </w:r>
      <w:r w:rsidR="00435F1B">
        <w:rPr>
          <w:rFonts w:ascii="Calibri" w:eastAsia="Calibri" w:hAnsi="Calibri" w:cs="Calibri"/>
          <w:sz w:val="24"/>
        </w:rPr>
        <w:t>begin school</w:t>
      </w:r>
      <w:r>
        <w:rPr>
          <w:rFonts w:ascii="Calibri" w:eastAsia="Calibri" w:hAnsi="Calibri" w:cs="Calibri"/>
          <w:sz w:val="24"/>
        </w:rPr>
        <w:t xml:space="preserve"> behind </w:t>
      </w:r>
      <w:r w:rsidR="00435F1B">
        <w:rPr>
          <w:rFonts w:ascii="Calibri" w:eastAsia="Calibri" w:hAnsi="Calibri" w:cs="Calibri"/>
          <w:sz w:val="24"/>
        </w:rPr>
        <w:t>their peers</w:t>
      </w:r>
      <w:r w:rsidR="0069100F">
        <w:rPr>
          <w:rFonts w:ascii="Calibri" w:eastAsia="Calibri" w:hAnsi="Calibri" w:cs="Calibri"/>
          <w:sz w:val="24"/>
        </w:rPr>
        <w:t xml:space="preserve"> academically</w:t>
      </w:r>
      <w:r>
        <w:rPr>
          <w:rFonts w:ascii="Calibri" w:eastAsia="Calibri" w:hAnsi="Calibri" w:cs="Calibri"/>
          <w:sz w:val="24"/>
        </w:rPr>
        <w:t xml:space="preserve">, </w:t>
      </w:r>
      <w:r w:rsidR="00435F1B">
        <w:rPr>
          <w:rFonts w:ascii="Calibri" w:eastAsia="Calibri" w:hAnsi="Calibri" w:cs="Calibri"/>
          <w:sz w:val="24"/>
        </w:rPr>
        <w:t xml:space="preserve">exhibit </w:t>
      </w:r>
      <w:proofErr w:type="spellStart"/>
      <w:r w:rsidR="00435F1B">
        <w:rPr>
          <w:rFonts w:ascii="Calibri" w:eastAsia="Calibri" w:hAnsi="Calibri" w:cs="Calibri"/>
          <w:sz w:val="24"/>
        </w:rPr>
        <w:t>nonproficient</w:t>
      </w:r>
      <w:proofErr w:type="spellEnd"/>
      <w:r w:rsidR="00435F1B">
        <w:rPr>
          <w:rFonts w:ascii="Calibri" w:eastAsia="Calibri" w:hAnsi="Calibri" w:cs="Calibri"/>
          <w:sz w:val="24"/>
        </w:rPr>
        <w:t xml:space="preserve"> literacy skills, </w:t>
      </w:r>
      <w:r>
        <w:rPr>
          <w:rFonts w:ascii="Calibri" w:eastAsia="Calibri" w:hAnsi="Calibri" w:cs="Calibri"/>
          <w:sz w:val="24"/>
        </w:rPr>
        <w:t xml:space="preserve">especially in early elementary grades, </w:t>
      </w:r>
      <w:r w:rsidR="00435F1B">
        <w:rPr>
          <w:rFonts w:ascii="Calibri" w:eastAsia="Calibri" w:hAnsi="Calibri" w:cs="Calibri"/>
          <w:sz w:val="24"/>
        </w:rPr>
        <w:t>a</w:t>
      </w:r>
      <w:r w:rsidR="0069100F">
        <w:rPr>
          <w:rFonts w:ascii="Calibri" w:eastAsia="Calibri" w:hAnsi="Calibri" w:cs="Calibri"/>
          <w:sz w:val="24"/>
        </w:rPr>
        <w:t>nd</w:t>
      </w:r>
      <w:r w:rsidR="00435F1B">
        <w:rPr>
          <w:rFonts w:ascii="Calibri" w:eastAsia="Calibri" w:hAnsi="Calibri" w:cs="Calibri"/>
          <w:sz w:val="24"/>
        </w:rPr>
        <w:t xml:space="preserve"> </w:t>
      </w:r>
      <w:r>
        <w:rPr>
          <w:rFonts w:ascii="Calibri" w:eastAsia="Calibri" w:hAnsi="Calibri" w:cs="Calibri"/>
          <w:sz w:val="24"/>
        </w:rPr>
        <w:t>to fall further behind over summer</w:t>
      </w:r>
      <w:r w:rsidR="00435F1B">
        <w:rPr>
          <w:rFonts w:ascii="Calibri" w:eastAsia="Calibri" w:hAnsi="Calibri" w:cs="Calibri"/>
          <w:sz w:val="24"/>
        </w:rPr>
        <w:t xml:space="preserve"> breaks, unless schools have the resources, staff and programs to meet their needs</w:t>
      </w:r>
      <w:r w:rsidR="0069100F">
        <w:rPr>
          <w:rFonts w:ascii="Calibri" w:eastAsia="Calibri" w:hAnsi="Calibri" w:cs="Calibri"/>
          <w:sz w:val="24"/>
        </w:rPr>
        <w:t xml:space="preserve">. </w:t>
      </w:r>
    </w:p>
    <w:p w:rsidR="0069100F" w:rsidRDefault="0069100F" w:rsidP="003C71F2">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 xml:space="preserve">Current requirements for dropout prevention </w:t>
      </w:r>
      <w:r w:rsidR="00D8250D">
        <w:rPr>
          <w:rFonts w:ascii="Calibri" w:eastAsia="Calibri" w:hAnsi="Calibri" w:cs="Calibri"/>
          <w:sz w:val="24"/>
        </w:rPr>
        <w:t xml:space="preserve">and at-risk </w:t>
      </w:r>
      <w:r>
        <w:rPr>
          <w:rFonts w:ascii="Calibri" w:eastAsia="Calibri" w:hAnsi="Calibri" w:cs="Calibri"/>
          <w:sz w:val="24"/>
        </w:rPr>
        <w:t xml:space="preserve">expenditures are </w:t>
      </w:r>
      <w:r w:rsidR="00D8250D">
        <w:rPr>
          <w:rFonts w:ascii="Calibri" w:eastAsia="Calibri" w:hAnsi="Calibri" w:cs="Calibri"/>
          <w:sz w:val="24"/>
        </w:rPr>
        <w:t>still</w:t>
      </w:r>
      <w:r w:rsidR="00452934">
        <w:rPr>
          <w:rFonts w:ascii="Calibri" w:eastAsia="Calibri" w:hAnsi="Calibri" w:cs="Calibri"/>
          <w:sz w:val="24"/>
        </w:rPr>
        <w:t xml:space="preserve"> regulated by the state</w:t>
      </w:r>
      <w:r>
        <w:rPr>
          <w:rFonts w:ascii="Calibri" w:eastAsia="Calibri" w:hAnsi="Calibri" w:cs="Calibri"/>
          <w:sz w:val="24"/>
        </w:rPr>
        <w:t xml:space="preserve">, not allowing school districts to truly engage in prevention </w:t>
      </w:r>
      <w:bookmarkStart w:id="0" w:name="_GoBack"/>
      <w:bookmarkEnd w:id="0"/>
      <w:r>
        <w:rPr>
          <w:rFonts w:ascii="Calibri" w:eastAsia="Calibri" w:hAnsi="Calibri" w:cs="Calibri"/>
          <w:sz w:val="24"/>
        </w:rPr>
        <w:t>for younger students at-risk of early and subsequent failure</w:t>
      </w:r>
      <w:r w:rsidR="00D8250D">
        <w:rPr>
          <w:rFonts w:ascii="Calibri" w:eastAsia="Calibri" w:hAnsi="Calibri" w:cs="Calibri"/>
          <w:sz w:val="24"/>
        </w:rPr>
        <w:t xml:space="preserve"> without significant state oversight</w:t>
      </w:r>
      <w:r>
        <w:rPr>
          <w:rFonts w:ascii="Calibri" w:eastAsia="Calibri" w:hAnsi="Calibri" w:cs="Calibri"/>
          <w:sz w:val="24"/>
        </w:rPr>
        <w:t>.</w:t>
      </w:r>
    </w:p>
    <w:p w:rsidR="003F50FE" w:rsidRDefault="003F50FE" w:rsidP="003C71F2">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Quality teaching is critical for success of low-income students, yet teacher shortages and lack of funding for sparsity creates additional challenges for rural schools in hiring and supporting teachers.</w:t>
      </w:r>
    </w:p>
    <w:p w:rsidR="00651A15" w:rsidRPr="00790A5F" w:rsidRDefault="003C71F2" w:rsidP="00790A5F">
      <w:pPr>
        <w:spacing w:after="240" w:line="240" w:lineRule="auto"/>
        <w:rPr>
          <w:rFonts w:eastAsia="Calibri" w:cstheme="minorHAnsi"/>
          <w:color w:val="000000" w:themeColor="text1"/>
          <w:sz w:val="24"/>
          <w:szCs w:val="24"/>
        </w:rPr>
      </w:pPr>
      <w:r w:rsidRPr="00790A5F">
        <w:rPr>
          <w:rFonts w:eastAsia="Calibri" w:cstheme="minorHAnsi"/>
          <w:sz w:val="24"/>
          <w:szCs w:val="24"/>
        </w:rPr>
        <w:t xml:space="preserve">RSAI calls on the Iowa Legislature to address the issue of </w:t>
      </w:r>
      <w:r w:rsidR="00790A5F" w:rsidRPr="00790A5F">
        <w:rPr>
          <w:rFonts w:eastAsia="Calibri" w:cstheme="minorHAnsi"/>
          <w:b/>
          <w:color w:val="000000" w:themeColor="text1"/>
          <w:sz w:val="24"/>
          <w:szCs w:val="24"/>
        </w:rPr>
        <w:t xml:space="preserve">Funding and Flexibility for At-risk Students:  </w:t>
      </w:r>
      <w:r w:rsidR="00790A5F" w:rsidRPr="00790A5F">
        <w:rPr>
          <w:rFonts w:eastAsia="Calibri" w:cstheme="minorHAnsi"/>
          <w:color w:val="000000" w:themeColor="text1"/>
          <w:sz w:val="24"/>
          <w:szCs w:val="24"/>
        </w:rPr>
        <w:t xml:space="preserve">Resources for serving at-risk students should be based on need, such as the number/percentage of students eligible for Free and Reduced Price Lunch, in addition to enrollment of the district. The current disparity in dropout prevention capacity ceiling, with some districts held to 2.5% and others allowed to access up to 5% of regular program district cost is unfair, arbitrary, and based on old history no longer relevant to supporting student needs.  Districts should be given flexibility in determining the expenditure of at-risk resources to support students to graduate college/career ready for success. </w:t>
      </w:r>
    </w:p>
    <w:sectPr w:rsidR="00651A15" w:rsidRPr="00790A5F" w:rsidSect="00790A5F">
      <w:headerReference w:type="default" r:id="rId8"/>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59" w:rsidRDefault="00AB2759" w:rsidP="00636F64">
      <w:pPr>
        <w:spacing w:after="0" w:line="240" w:lineRule="auto"/>
      </w:pPr>
      <w:r>
        <w:separator/>
      </w:r>
    </w:p>
  </w:endnote>
  <w:endnote w:type="continuationSeparator" w:id="0">
    <w:p w:rsidR="00AB2759" w:rsidRDefault="00AB2759"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59" w:rsidRDefault="00AB2759" w:rsidP="00636F64">
      <w:pPr>
        <w:spacing w:after="0" w:line="240" w:lineRule="auto"/>
      </w:pPr>
      <w:r>
        <w:separator/>
      </w:r>
    </w:p>
  </w:footnote>
  <w:footnote w:type="continuationSeparator" w:id="0">
    <w:p w:rsidR="00AB2759" w:rsidRDefault="00AB2759"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E4"/>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2481"/>
    <w:rsid w:val="001022AC"/>
    <w:rsid w:val="001026E8"/>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B46E2"/>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87501"/>
    <w:rsid w:val="00290F1D"/>
    <w:rsid w:val="00295CD0"/>
    <w:rsid w:val="002A305A"/>
    <w:rsid w:val="002A5125"/>
    <w:rsid w:val="002C55E6"/>
    <w:rsid w:val="002C7044"/>
    <w:rsid w:val="002D0F2B"/>
    <w:rsid w:val="002D2BD2"/>
    <w:rsid w:val="002D3D46"/>
    <w:rsid w:val="002D43B3"/>
    <w:rsid w:val="002E304C"/>
    <w:rsid w:val="0030077D"/>
    <w:rsid w:val="00301F15"/>
    <w:rsid w:val="003107B3"/>
    <w:rsid w:val="00311CE6"/>
    <w:rsid w:val="00316CFF"/>
    <w:rsid w:val="00322B0A"/>
    <w:rsid w:val="003420EB"/>
    <w:rsid w:val="0034576D"/>
    <w:rsid w:val="00361A1E"/>
    <w:rsid w:val="003640C6"/>
    <w:rsid w:val="0036770C"/>
    <w:rsid w:val="00382EE6"/>
    <w:rsid w:val="003854F6"/>
    <w:rsid w:val="00390B9F"/>
    <w:rsid w:val="003924BE"/>
    <w:rsid w:val="00394B76"/>
    <w:rsid w:val="003A32A9"/>
    <w:rsid w:val="003A35B2"/>
    <w:rsid w:val="003A5D3F"/>
    <w:rsid w:val="003B29EE"/>
    <w:rsid w:val="003B58BF"/>
    <w:rsid w:val="003C35FE"/>
    <w:rsid w:val="003C71F2"/>
    <w:rsid w:val="003E0459"/>
    <w:rsid w:val="003E2FCC"/>
    <w:rsid w:val="003E68B2"/>
    <w:rsid w:val="003F0098"/>
    <w:rsid w:val="003F20F0"/>
    <w:rsid w:val="003F3273"/>
    <w:rsid w:val="003F50FE"/>
    <w:rsid w:val="00416D91"/>
    <w:rsid w:val="00420F80"/>
    <w:rsid w:val="00435F1B"/>
    <w:rsid w:val="00452934"/>
    <w:rsid w:val="00496686"/>
    <w:rsid w:val="004A1675"/>
    <w:rsid w:val="004A5575"/>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100F"/>
    <w:rsid w:val="006A6E66"/>
    <w:rsid w:val="006A7DD0"/>
    <w:rsid w:val="006C6201"/>
    <w:rsid w:val="006D63CE"/>
    <w:rsid w:val="007004E2"/>
    <w:rsid w:val="007126E9"/>
    <w:rsid w:val="007535F1"/>
    <w:rsid w:val="0075465F"/>
    <w:rsid w:val="0075723A"/>
    <w:rsid w:val="00764D14"/>
    <w:rsid w:val="00772FAD"/>
    <w:rsid w:val="0077341D"/>
    <w:rsid w:val="00790A5F"/>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95D8F"/>
    <w:rsid w:val="008A2A31"/>
    <w:rsid w:val="008B4AA4"/>
    <w:rsid w:val="008F3693"/>
    <w:rsid w:val="00900395"/>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B3BD8"/>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B00C7"/>
    <w:rsid w:val="00AB2759"/>
    <w:rsid w:val="00AB3D72"/>
    <w:rsid w:val="00AB69A5"/>
    <w:rsid w:val="00AD5A52"/>
    <w:rsid w:val="00AD6787"/>
    <w:rsid w:val="00AE2330"/>
    <w:rsid w:val="00AE45F6"/>
    <w:rsid w:val="00AE489C"/>
    <w:rsid w:val="00AF53F6"/>
    <w:rsid w:val="00B12727"/>
    <w:rsid w:val="00B33B1B"/>
    <w:rsid w:val="00B41697"/>
    <w:rsid w:val="00B42148"/>
    <w:rsid w:val="00B52F96"/>
    <w:rsid w:val="00B57830"/>
    <w:rsid w:val="00B604F8"/>
    <w:rsid w:val="00B7440E"/>
    <w:rsid w:val="00B74A45"/>
    <w:rsid w:val="00B77BA6"/>
    <w:rsid w:val="00B803E8"/>
    <w:rsid w:val="00B8296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2CBF"/>
    <w:rsid w:val="00CE04E6"/>
    <w:rsid w:val="00CE7951"/>
    <w:rsid w:val="00D208D1"/>
    <w:rsid w:val="00D20D41"/>
    <w:rsid w:val="00D23F70"/>
    <w:rsid w:val="00D32F52"/>
    <w:rsid w:val="00D34B7D"/>
    <w:rsid w:val="00D375F8"/>
    <w:rsid w:val="00D41F0C"/>
    <w:rsid w:val="00D43093"/>
    <w:rsid w:val="00D46008"/>
    <w:rsid w:val="00D47AA9"/>
    <w:rsid w:val="00D558AC"/>
    <w:rsid w:val="00D67DBB"/>
    <w:rsid w:val="00D77EC5"/>
    <w:rsid w:val="00D8250D"/>
    <w:rsid w:val="00D84846"/>
    <w:rsid w:val="00D9379A"/>
    <w:rsid w:val="00DA1EAA"/>
    <w:rsid w:val="00DD08EC"/>
    <w:rsid w:val="00DD335F"/>
    <w:rsid w:val="00DD69CC"/>
    <w:rsid w:val="00DE4D9F"/>
    <w:rsid w:val="00DE6EE9"/>
    <w:rsid w:val="00DF0DD8"/>
    <w:rsid w:val="00E00707"/>
    <w:rsid w:val="00E0448B"/>
    <w:rsid w:val="00E07A45"/>
    <w:rsid w:val="00E1125C"/>
    <w:rsid w:val="00E310A1"/>
    <w:rsid w:val="00E40FED"/>
    <w:rsid w:val="00E67A71"/>
    <w:rsid w:val="00E7538C"/>
    <w:rsid w:val="00E92AE9"/>
    <w:rsid w:val="00E94834"/>
    <w:rsid w:val="00E964DB"/>
    <w:rsid w:val="00EA41DB"/>
    <w:rsid w:val="00EB56C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C628"/>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11</cp:revision>
  <cp:lastPrinted>2014-07-07T14:16:00Z</cp:lastPrinted>
  <dcterms:created xsi:type="dcterms:W3CDTF">2014-10-24T19:13:00Z</dcterms:created>
  <dcterms:modified xsi:type="dcterms:W3CDTF">2016-11-14T18:57:00Z</dcterms:modified>
</cp:coreProperties>
</file>