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857B"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The legislature wrapped up its third week of short session on Thursday. The House and Senate changed things up this week in their Thursday schedules. The House has not been in town the last few Thursdays for votes, while the Senate has been. This week, the chambers reversed roles with the House staying in town for an early afternoon vote on a few local bills. Both chambers announced intentions to have voting sessions next week as well. </w:t>
      </w:r>
    </w:p>
    <w:p w14:paraId="65D581C5"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4AE04459"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It has been a busy few weeks - </w:t>
      </w:r>
      <w:hyperlink r:id="rId4" w:tgtFrame="_blank" w:tooltip="https://roboro.us22.list-manage.com/track/click?u=a2d7965e7216ab9a81d3c6d06&amp;id=b96830d1d4&amp;e=9f07a2d4b7" w:history="1">
        <w:r w:rsidRPr="0004773C">
          <w:rPr>
            <w:rFonts w:ascii="Aptos" w:eastAsia="Times New Roman" w:hAnsi="Aptos" w:cs="Times New Roman"/>
            <w:kern w:val="0"/>
            <w14:ligatures w14:val="none"/>
          </w:rPr>
          <w:t>514 bills have been filed</w:t>
        </w:r>
      </w:hyperlink>
      <w:r w:rsidRPr="0004773C">
        <w:rPr>
          <w:rFonts w:ascii="Aptos" w:eastAsia="Times New Roman" w:hAnsi="Aptos" w:cs="Times New Roman"/>
          <w:color w:val="212121"/>
          <w:kern w:val="0"/>
          <w14:ligatures w14:val="none"/>
        </w:rPr>
        <w:t> (213 House Bills and 301 Senate Bills) since session began on Tuesday, April 21. The bulk of that filing came on the bill filing deadline for public bills last Wednesday, April 30 (198 bills, or 39% of all bills filed this session). 22 new bills were filed this week, with the filing deadline for local bills on Tuesday, May 5. </w:t>
      </w:r>
      <w:hyperlink r:id="rId5" w:tgtFrame="_blank" w:tooltip="https://roboro.us22.list-manage.com/track/click?u=a2d7965e7216ab9a81d3c6d06&amp;id=4d57e223c6&amp;e=9f07a2d4b7" w:history="1">
        <w:r w:rsidRPr="0004773C">
          <w:rPr>
            <w:rFonts w:ascii="Aptos" w:eastAsia="Times New Roman" w:hAnsi="Aptos" w:cs="Times New Roman"/>
            <w:kern w:val="0"/>
            <w14:ligatures w14:val="none"/>
          </w:rPr>
          <w:t>Per the latest adjournment resolution</w:t>
        </w:r>
      </w:hyperlink>
      <w:r w:rsidRPr="0004773C">
        <w:rPr>
          <w:rFonts w:ascii="Aptos" w:eastAsia="Times New Roman" w:hAnsi="Aptos" w:cs="Times New Roman"/>
          <w:color w:val="212121"/>
          <w:kern w:val="0"/>
          <w14:ligatures w14:val="none"/>
        </w:rPr>
        <w:t>, there are certain categories of bills (like matters relating to election laws or redistricting) that can be filed at any time. </w:t>
      </w:r>
    </w:p>
    <w:p w14:paraId="18AAE5BF"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6F3C9AF0"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xml:space="preserve">As the legislative week </w:t>
      </w:r>
      <w:proofErr w:type="gramStart"/>
      <w:r w:rsidRPr="0004773C">
        <w:rPr>
          <w:rFonts w:ascii="Aptos" w:eastAsia="Times New Roman" w:hAnsi="Aptos" w:cs="Times New Roman"/>
          <w:color w:val="212121"/>
          <w:kern w:val="0"/>
          <w14:ligatures w14:val="none"/>
        </w:rPr>
        <w:t>drew to a close</w:t>
      </w:r>
      <w:proofErr w:type="gramEnd"/>
      <w:r w:rsidRPr="0004773C">
        <w:rPr>
          <w:rFonts w:ascii="Aptos" w:eastAsia="Times New Roman" w:hAnsi="Aptos" w:cs="Times New Roman"/>
          <w:color w:val="212121"/>
          <w:kern w:val="0"/>
          <w14:ligatures w14:val="none"/>
        </w:rPr>
        <w:t>, committees noticed meetings for the week of May 11 that seem to have more substantive bills for vote and for discussion. Thus far committee meetings and votes in committee meetings have been scarce. </w:t>
      </w:r>
    </w:p>
    <w:p w14:paraId="0310DF21"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394CA4B8"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Regarding the state budget bill, negotiations between the House and Senate leadership continue to take place, but no agreement has been reached. </w:t>
      </w:r>
    </w:p>
    <w:p w14:paraId="4C57F55F"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656D15C6"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The House and Senate adjourned on Thursday and will reconvene on Monday, May 11, 2026.</w:t>
      </w:r>
    </w:p>
    <w:p w14:paraId="24E94C16"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2518A4D6"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b/>
          <w:bCs/>
          <w:color w:val="212121"/>
          <w:kern w:val="0"/>
          <w14:ligatures w14:val="none"/>
        </w:rPr>
        <w:t>Bill Status</w:t>
      </w:r>
    </w:p>
    <w:p w14:paraId="3D786C1A"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b/>
          <w:bCs/>
          <w:color w:val="212121"/>
          <w:kern w:val="0"/>
          <w14:ligatures w14:val="none"/>
        </w:rPr>
        <w:t> </w:t>
      </w:r>
    </w:p>
    <w:p w14:paraId="4FD7EA6D" w14:textId="77777777" w:rsidR="0004773C" w:rsidRPr="0004773C" w:rsidRDefault="0004773C" w:rsidP="0004773C">
      <w:pPr>
        <w:spacing w:after="0" w:line="240" w:lineRule="auto"/>
        <w:rPr>
          <w:rFonts w:ascii="Aptos" w:eastAsia="Times New Roman" w:hAnsi="Aptos" w:cs="Times New Roman"/>
          <w:color w:val="212121"/>
          <w:kern w:val="0"/>
          <w14:ligatures w14:val="none"/>
        </w:rPr>
      </w:pPr>
      <w:hyperlink r:id="rId6" w:tooltip="https://www.ncleg.gov/BillLookUp/2025/H921" w:history="1">
        <w:r w:rsidRPr="0004773C">
          <w:rPr>
            <w:rFonts w:ascii="Aptos" w:eastAsia="Times New Roman" w:hAnsi="Aptos" w:cs="Times New Roman"/>
            <w:b/>
            <w:bCs/>
            <w:kern w:val="0"/>
            <w:u w:val="single"/>
            <w14:ligatures w14:val="none"/>
          </w:rPr>
          <w:t>House Bill 921: ABC &amp; Gaming Omnibus Bill,</w:t>
        </w:r>
        <w:r w:rsidRPr="0004773C">
          <w:rPr>
            <w:rFonts w:ascii="Aptos" w:eastAsia="Times New Roman" w:hAnsi="Aptos" w:cs="Times New Roman"/>
            <w:kern w:val="0"/>
            <w:u w:val="single"/>
            <w14:ligatures w14:val="none"/>
          </w:rPr>
          <w:t> </w:t>
        </w:r>
      </w:hyperlink>
      <w:r w:rsidRPr="0004773C">
        <w:rPr>
          <w:rFonts w:ascii="Aptos" w:eastAsia="Times New Roman" w:hAnsi="Aptos" w:cs="Times New Roman"/>
          <w:color w:val="212121"/>
          <w:kern w:val="0"/>
          <w14:ligatures w14:val="none"/>
        </w:rPr>
        <w:t>will be considered in the House ABC Committee on Tuesday, for discussion only – no vote is expected. </w:t>
      </w:r>
    </w:p>
    <w:p w14:paraId="29492E4B"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7781ACCA"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p w14:paraId="44CEAE67" w14:textId="77777777" w:rsidR="0004773C" w:rsidRPr="0004773C" w:rsidRDefault="0004773C" w:rsidP="0004773C">
      <w:pPr>
        <w:spacing w:after="0" w:line="240" w:lineRule="auto"/>
        <w:rPr>
          <w:rFonts w:ascii="Aptos" w:eastAsia="Times New Roman" w:hAnsi="Aptos" w:cs="Times New Roman"/>
          <w:color w:val="212121"/>
          <w:kern w:val="0"/>
          <w14:ligatures w14:val="none"/>
        </w:rPr>
      </w:pPr>
      <w:r w:rsidRPr="0004773C">
        <w:rPr>
          <w:rFonts w:ascii="Aptos" w:eastAsia="Times New Roman" w:hAnsi="Aptos" w:cs="Times New Roman"/>
          <w:color w:val="212121"/>
          <w:kern w:val="0"/>
          <w14:ligatures w14:val="none"/>
        </w:rPr>
        <w:t> </w:t>
      </w:r>
    </w:p>
    <w:tbl>
      <w:tblPr>
        <w:tblW w:w="5000" w:type="pct"/>
        <w:tblCellMar>
          <w:left w:w="0" w:type="dxa"/>
          <w:right w:w="0" w:type="dxa"/>
        </w:tblCellMar>
        <w:tblLook w:val="04A0" w:firstRow="1" w:lastRow="0" w:firstColumn="1" w:lastColumn="0" w:noHBand="0" w:noVBand="1"/>
      </w:tblPr>
      <w:tblGrid>
        <w:gridCol w:w="9360"/>
      </w:tblGrid>
      <w:tr w:rsidR="0004773C" w:rsidRPr="0004773C" w14:paraId="09942ED2" w14:textId="77777777">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04773C" w:rsidRPr="0004773C" w14:paraId="24A3FD56" w14:textId="77777777">
              <w:tc>
                <w:tcPr>
                  <w:tcW w:w="0" w:type="auto"/>
                  <w:hideMark/>
                </w:tcPr>
                <w:tbl>
                  <w:tblPr>
                    <w:tblW w:w="0" w:type="auto"/>
                    <w:tblCellMar>
                      <w:left w:w="0" w:type="dxa"/>
                      <w:right w:w="0" w:type="dxa"/>
                    </w:tblCellMar>
                    <w:tblLook w:val="04A0" w:firstRow="1" w:lastRow="0" w:firstColumn="1" w:lastColumn="0" w:noHBand="0" w:noVBand="1"/>
                  </w:tblPr>
                  <w:tblGrid>
                    <w:gridCol w:w="2909"/>
                    <w:gridCol w:w="6"/>
                  </w:tblGrid>
                  <w:tr w:rsidR="0004773C" w:rsidRPr="0004773C" w14:paraId="6E0C6983" w14:textId="77777777">
                    <w:tc>
                      <w:tcPr>
                        <w:tcW w:w="0" w:type="auto"/>
                        <w:hideMark/>
                      </w:tcPr>
                      <w:p w14:paraId="48058A59"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b/>
                            <w:bCs/>
                            <w:color w:val="58878F"/>
                            <w:kern w:val="0"/>
                            <w:sz w:val="20"/>
                            <w:szCs w:val="20"/>
                            <w14:ligatures w14:val="none"/>
                          </w:rPr>
                          <w:t>David P. Ferrell</w:t>
                        </w:r>
                      </w:p>
                    </w:tc>
                    <w:tc>
                      <w:tcPr>
                        <w:tcW w:w="0" w:type="auto"/>
                        <w:vAlign w:val="center"/>
                        <w:hideMark/>
                      </w:tcPr>
                      <w:p w14:paraId="17994583"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remialcxesans" w:eastAsia="Times New Roman" w:hAnsi="remialcxesans" w:cs="Times New Roman"/>
                            <w:b/>
                            <w:bCs/>
                            <w:color w:val="FFFFFF"/>
                            <w:kern w:val="0"/>
                            <w:sz w:val="2"/>
                            <w:szCs w:val="2"/>
                            <w14:ligatures w14:val="none"/>
                          </w:rPr>
                          <w:t>​</w:t>
                        </w:r>
                        <w:r w:rsidRPr="0004773C">
                          <w:rPr>
                            <w:rFonts w:ascii="template-DwSerzdfEfGO8wANOh1UgA" w:eastAsia="Times New Roman" w:hAnsi="template-DwSerzdfEfGO8wANOh1UgA" w:cs="Times New Roman"/>
                            <w:b/>
                            <w:bCs/>
                            <w:color w:val="FFFFFF"/>
                            <w:kern w:val="0"/>
                            <w:sz w:val="2"/>
                            <w:szCs w:val="2"/>
                            <w14:ligatures w14:val="none"/>
                          </w:rPr>
                          <w:t>​</w:t>
                        </w:r>
                        <w:r w:rsidRPr="0004773C">
                          <w:rPr>
                            <w:rFonts w:ascii="zone-1" w:eastAsia="Times New Roman" w:hAnsi="zone-1" w:cs="Times New Roman"/>
                            <w:b/>
                            <w:bCs/>
                            <w:color w:val="FFFFFF"/>
                            <w:kern w:val="0"/>
                            <w:sz w:val="2"/>
                            <w:szCs w:val="2"/>
                            <w14:ligatures w14:val="none"/>
                          </w:rPr>
                          <w:t>​</w:t>
                        </w:r>
                        <w:r w:rsidRPr="0004773C">
                          <w:rPr>
                            <w:rFonts w:ascii="zones-AQ" w:eastAsia="Times New Roman" w:hAnsi="zones-AQ" w:cs="Times New Roman"/>
                            <w:b/>
                            <w:bCs/>
                            <w:color w:val="FFFFFF"/>
                            <w:kern w:val="0"/>
                            <w:sz w:val="2"/>
                            <w:szCs w:val="2"/>
                            <w14:ligatures w14:val="none"/>
                          </w:rPr>
                          <w:t>​</w:t>
                        </w:r>
                      </w:p>
                    </w:tc>
                  </w:tr>
                  <w:tr w:rsidR="0004773C" w:rsidRPr="0004773C" w14:paraId="7965B5A1" w14:textId="77777777">
                    <w:tc>
                      <w:tcPr>
                        <w:tcW w:w="0" w:type="auto"/>
                        <w:hideMark/>
                      </w:tcPr>
                      <w:tbl>
                        <w:tblPr>
                          <w:tblW w:w="0" w:type="auto"/>
                          <w:tblCellMar>
                            <w:left w:w="0" w:type="dxa"/>
                            <w:right w:w="0" w:type="dxa"/>
                          </w:tblCellMar>
                          <w:tblLook w:val="04A0" w:firstRow="1" w:lastRow="0" w:firstColumn="1" w:lastColumn="0" w:noHBand="0" w:noVBand="1"/>
                        </w:tblPr>
                        <w:tblGrid>
                          <w:gridCol w:w="981"/>
                          <w:gridCol w:w="147"/>
                          <w:gridCol w:w="1781"/>
                        </w:tblGrid>
                        <w:tr w:rsidR="0004773C" w:rsidRPr="0004773C" w14:paraId="090E0C6D" w14:textId="77777777">
                          <w:tc>
                            <w:tcPr>
                              <w:tcW w:w="0" w:type="auto"/>
                              <w:hideMark/>
                            </w:tcPr>
                            <w:p w14:paraId="6D38A5E5"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Shareholder</w:t>
                              </w:r>
                            </w:p>
                          </w:tc>
                          <w:tc>
                            <w:tcPr>
                              <w:tcW w:w="0" w:type="auto"/>
                              <w:hideMark/>
                            </w:tcPr>
                            <w:p w14:paraId="31414431"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 | </w:t>
                              </w:r>
                            </w:p>
                          </w:tc>
                          <w:tc>
                            <w:tcPr>
                              <w:tcW w:w="0" w:type="auto"/>
                              <w:hideMark/>
                            </w:tcPr>
                            <w:p w14:paraId="2FE1EB56"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Government Solutions</w:t>
                              </w:r>
                            </w:p>
                          </w:tc>
                        </w:tr>
                      </w:tbl>
                      <w:p w14:paraId="7AFF5E54"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c>
                      <w:tcPr>
                        <w:tcW w:w="0" w:type="auto"/>
                        <w:vAlign w:val="center"/>
                        <w:hideMark/>
                      </w:tcPr>
                      <w:p w14:paraId="31D2A737" w14:textId="77777777" w:rsidR="0004773C" w:rsidRPr="0004773C" w:rsidRDefault="0004773C" w:rsidP="0004773C">
                        <w:pPr>
                          <w:spacing w:after="0" w:line="240" w:lineRule="auto"/>
                          <w:rPr>
                            <w:rFonts w:ascii="Times New Roman" w:eastAsia="Times New Roman" w:hAnsi="Times New Roman" w:cs="Times New Roman"/>
                            <w:kern w:val="0"/>
                            <w:sz w:val="20"/>
                            <w:szCs w:val="20"/>
                            <w14:ligatures w14:val="none"/>
                          </w:rPr>
                        </w:pPr>
                      </w:p>
                    </w:tc>
                  </w:tr>
                  <w:tr w:rsidR="0004773C" w:rsidRPr="0004773C" w14:paraId="721189E2" w14:textId="77777777">
                    <w:tc>
                      <w:tcPr>
                        <w:tcW w:w="0" w:type="auto"/>
                        <w:hideMark/>
                      </w:tcPr>
                      <w:tbl>
                        <w:tblPr>
                          <w:tblW w:w="0" w:type="auto"/>
                          <w:tblCellMar>
                            <w:left w:w="0" w:type="dxa"/>
                            <w:right w:w="0" w:type="dxa"/>
                          </w:tblCellMar>
                          <w:tblLook w:val="04A0" w:firstRow="1" w:lastRow="0" w:firstColumn="1" w:lastColumn="0" w:noHBand="0" w:noVBand="1"/>
                        </w:tblPr>
                        <w:tblGrid>
                          <w:gridCol w:w="1501"/>
                        </w:tblGrid>
                        <w:tr w:rsidR="0004773C" w:rsidRPr="0004773C" w14:paraId="6BD4C0FF" w14:textId="77777777">
                          <w:tc>
                            <w:tcPr>
                              <w:tcW w:w="0" w:type="auto"/>
                              <w:hideMark/>
                            </w:tcPr>
                            <w:p w14:paraId="4DF5DAB9"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58878F"/>
                                  <w:kern w:val="0"/>
                                  <w:sz w:val="18"/>
                                  <w:szCs w:val="18"/>
                                  <w14:ligatures w14:val="none"/>
                                </w:rPr>
                                <w:t>P: (919) 573</w:t>
                              </w:r>
                              <w:r w:rsidRPr="0004773C">
                                <w:rPr>
                                  <w:rFonts w:ascii="Arial" w:eastAsia="Times New Roman" w:hAnsi="Arial" w:cs="Arial"/>
                                  <w:color w:val="58878F"/>
                                  <w:kern w:val="0"/>
                                  <w:sz w:val="18"/>
                                  <w:szCs w:val="18"/>
                                  <w14:ligatures w14:val="none"/>
                                </w:rPr>
                                <w:noBreakHyphen/>
                                <w:t>7421 </w:t>
                              </w:r>
                            </w:p>
                          </w:tc>
                        </w:tr>
                      </w:tbl>
                      <w:p w14:paraId="5BFCF603"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c>
                      <w:tcPr>
                        <w:tcW w:w="0" w:type="auto"/>
                        <w:vAlign w:val="center"/>
                        <w:hideMark/>
                      </w:tcPr>
                      <w:p w14:paraId="1276C934" w14:textId="77777777" w:rsidR="0004773C" w:rsidRPr="0004773C" w:rsidRDefault="0004773C" w:rsidP="0004773C">
                        <w:pPr>
                          <w:spacing w:after="0" w:line="240" w:lineRule="auto"/>
                          <w:rPr>
                            <w:rFonts w:ascii="Times New Roman" w:eastAsia="Times New Roman" w:hAnsi="Times New Roman" w:cs="Times New Roman"/>
                            <w:kern w:val="0"/>
                            <w:sz w:val="20"/>
                            <w:szCs w:val="20"/>
                            <w14:ligatures w14:val="none"/>
                          </w:rPr>
                        </w:pPr>
                      </w:p>
                    </w:tc>
                  </w:tr>
                  <w:tr w:rsidR="0004773C" w:rsidRPr="0004773C" w14:paraId="19FCA818" w14:textId="77777777">
                    <w:tc>
                      <w:tcPr>
                        <w:tcW w:w="0" w:type="auto"/>
                        <w:hideMark/>
                      </w:tcPr>
                      <w:tbl>
                        <w:tblPr>
                          <w:tblW w:w="0" w:type="auto"/>
                          <w:tblCellMar>
                            <w:left w:w="0" w:type="dxa"/>
                            <w:right w:w="0" w:type="dxa"/>
                          </w:tblCellMar>
                          <w:tblLook w:val="04A0" w:firstRow="1" w:lastRow="0" w:firstColumn="1" w:lastColumn="0" w:noHBand="0" w:noVBand="1"/>
                        </w:tblPr>
                        <w:tblGrid>
                          <w:gridCol w:w="2494"/>
                        </w:tblGrid>
                        <w:tr w:rsidR="0004773C" w:rsidRPr="0004773C" w14:paraId="26A1143E" w14:textId="77777777">
                          <w:tc>
                            <w:tcPr>
                              <w:tcW w:w="0" w:type="auto"/>
                              <w:hideMark/>
                            </w:tcPr>
                            <w:p w14:paraId="25E39392" w14:textId="77777777" w:rsidR="0004773C" w:rsidRPr="0004773C" w:rsidRDefault="0004773C" w:rsidP="0004773C">
                              <w:pPr>
                                <w:spacing w:after="0" w:line="240" w:lineRule="auto"/>
                                <w:rPr>
                                  <w:rFonts w:ascii="Aptos" w:eastAsia="Times New Roman" w:hAnsi="Aptos" w:cs="Times New Roman"/>
                                  <w:kern w:val="0"/>
                                  <w14:ligatures w14:val="none"/>
                                </w:rPr>
                              </w:pPr>
                              <w:hyperlink r:id="rId7" w:tgtFrame="_blank" w:tooltip="mailto:DFerrell@maynardnexsen.com" w:history="1">
                                <w:r w:rsidRPr="0004773C">
                                  <w:rPr>
                                    <w:rFonts w:ascii="Arial" w:eastAsia="Times New Roman" w:hAnsi="Arial" w:cs="Arial"/>
                                    <w:color w:val="A7A9AC"/>
                                    <w:kern w:val="0"/>
                                    <w:sz w:val="18"/>
                                    <w:szCs w:val="18"/>
                                    <w14:ligatures w14:val="none"/>
                                  </w:rPr>
                                  <w:t>DFerrell@maynardnexsen.com</w:t>
                                </w:r>
                              </w:hyperlink>
                            </w:p>
                          </w:tc>
                        </w:tr>
                      </w:tbl>
                      <w:p w14:paraId="0C925DF3"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c>
                      <w:tcPr>
                        <w:tcW w:w="0" w:type="auto"/>
                        <w:vAlign w:val="center"/>
                        <w:hideMark/>
                      </w:tcPr>
                      <w:p w14:paraId="662AFB6E" w14:textId="77777777" w:rsidR="0004773C" w:rsidRPr="0004773C" w:rsidRDefault="0004773C" w:rsidP="0004773C">
                        <w:pPr>
                          <w:spacing w:after="0" w:line="240" w:lineRule="auto"/>
                          <w:rPr>
                            <w:rFonts w:ascii="Times New Roman" w:eastAsia="Times New Roman" w:hAnsi="Times New Roman" w:cs="Times New Roman"/>
                            <w:kern w:val="0"/>
                            <w:sz w:val="20"/>
                            <w:szCs w:val="20"/>
                            <w14:ligatures w14:val="none"/>
                          </w:rPr>
                        </w:pPr>
                      </w:p>
                    </w:tc>
                  </w:tr>
                </w:tbl>
                <w:p w14:paraId="0CC9613C"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r>
            <w:tr w:rsidR="0004773C" w:rsidRPr="0004773C" w14:paraId="5AF773DB" w14:textId="77777777">
              <w:tc>
                <w:tcPr>
                  <w:tcW w:w="0" w:type="auto"/>
                  <w:hideMark/>
                </w:tcPr>
                <w:p w14:paraId="423A8B1B" w14:textId="77777777" w:rsidR="0004773C" w:rsidRPr="0004773C" w:rsidRDefault="0004773C" w:rsidP="0004773C">
                  <w:pPr>
                    <w:spacing w:after="0" w:line="240" w:lineRule="auto"/>
                    <w:rPr>
                      <w:rFonts w:ascii="Times New Roman" w:eastAsia="Times New Roman" w:hAnsi="Times New Roman" w:cs="Times New Roman"/>
                      <w:kern w:val="0"/>
                      <w:sz w:val="20"/>
                      <w:szCs w:val="20"/>
                      <w14:ligatures w14:val="none"/>
                    </w:rPr>
                  </w:pPr>
                </w:p>
              </w:tc>
            </w:tr>
            <w:tr w:rsidR="0004773C" w:rsidRPr="0004773C" w14:paraId="678C6B54"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425"/>
                  </w:tblGrid>
                  <w:tr w:rsidR="0004773C" w:rsidRPr="0004773C" w14:paraId="2F111904" w14:textId="77777777">
                    <w:tc>
                      <w:tcPr>
                        <w:tcW w:w="0" w:type="auto"/>
                        <w:hideMark/>
                      </w:tcPr>
                      <w:p w14:paraId="62248BB9"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4141 </w:t>
                        </w:r>
                        <w:proofErr w:type="spellStart"/>
                        <w:r w:rsidRPr="0004773C">
                          <w:rPr>
                            <w:rFonts w:ascii="Arial" w:eastAsia="Times New Roman" w:hAnsi="Arial" w:cs="Arial"/>
                            <w:color w:val="A7A9AC"/>
                            <w:kern w:val="0"/>
                            <w:sz w:val="18"/>
                            <w:szCs w:val="18"/>
                            <w14:ligatures w14:val="none"/>
                          </w:rPr>
                          <w:t>Parklake</w:t>
                        </w:r>
                        <w:proofErr w:type="spellEnd"/>
                        <w:r w:rsidRPr="0004773C">
                          <w:rPr>
                            <w:rFonts w:ascii="Arial" w:eastAsia="Times New Roman" w:hAnsi="Arial" w:cs="Arial"/>
                            <w:color w:val="A7A9AC"/>
                            <w:kern w:val="0"/>
                            <w:sz w:val="18"/>
                            <w:szCs w:val="18"/>
                            <w14:ligatures w14:val="none"/>
                          </w:rPr>
                          <w:t> Avenue </w:t>
                        </w:r>
                        <w:r w:rsidRPr="0004773C">
                          <w:rPr>
                            <w:rFonts w:ascii="Arial" w:eastAsia="Times New Roman" w:hAnsi="Arial" w:cs="Arial"/>
                            <w:color w:val="A7A9AC"/>
                            <w:kern w:val="0"/>
                            <w:sz w:val="18"/>
                            <w:szCs w:val="18"/>
                            <w14:ligatures w14:val="none"/>
                          </w:rPr>
                          <w:br/>
                          <w:t>Suite 200</w:t>
                        </w:r>
                      </w:p>
                    </w:tc>
                  </w:tr>
                  <w:tr w:rsidR="0004773C" w:rsidRPr="0004773C" w14:paraId="02ECB92C" w14:textId="77777777">
                    <w:tc>
                      <w:tcPr>
                        <w:tcW w:w="0" w:type="auto"/>
                        <w:hideMark/>
                      </w:tcPr>
                      <w:tbl>
                        <w:tblPr>
                          <w:tblW w:w="0" w:type="auto"/>
                          <w:tblCellMar>
                            <w:left w:w="0" w:type="dxa"/>
                            <w:right w:w="0" w:type="dxa"/>
                          </w:tblCellMar>
                          <w:tblLook w:val="04A0" w:firstRow="1" w:lastRow="0" w:firstColumn="1" w:lastColumn="0" w:noHBand="0" w:noVBand="1"/>
                        </w:tblPr>
                        <w:tblGrid>
                          <w:gridCol w:w="611"/>
                          <w:gridCol w:w="101"/>
                          <w:gridCol w:w="1161"/>
                          <w:gridCol w:w="51"/>
                          <w:gridCol w:w="501"/>
                        </w:tblGrid>
                        <w:tr w:rsidR="0004773C" w:rsidRPr="0004773C" w14:paraId="49ED59C8" w14:textId="77777777">
                          <w:tc>
                            <w:tcPr>
                              <w:tcW w:w="0" w:type="auto"/>
                              <w:hideMark/>
                            </w:tcPr>
                            <w:p w14:paraId="3DF97C01"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Raleigh</w:t>
                              </w:r>
                            </w:p>
                          </w:tc>
                          <w:tc>
                            <w:tcPr>
                              <w:tcW w:w="0" w:type="auto"/>
                              <w:hideMark/>
                            </w:tcPr>
                            <w:p w14:paraId="27170C21"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 </w:t>
                              </w:r>
                            </w:p>
                          </w:tc>
                          <w:tc>
                            <w:tcPr>
                              <w:tcW w:w="0" w:type="auto"/>
                              <w:hideMark/>
                            </w:tcPr>
                            <w:p w14:paraId="3A3918B1"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North Carolina</w:t>
                              </w:r>
                            </w:p>
                          </w:tc>
                          <w:tc>
                            <w:tcPr>
                              <w:tcW w:w="0" w:type="auto"/>
                              <w:hideMark/>
                            </w:tcPr>
                            <w:p w14:paraId="3B751BD0"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 </w:t>
                              </w:r>
                            </w:p>
                          </w:tc>
                          <w:tc>
                            <w:tcPr>
                              <w:tcW w:w="0" w:type="auto"/>
                              <w:hideMark/>
                            </w:tcPr>
                            <w:p w14:paraId="16B8C86A"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18"/>
                                  <w:szCs w:val="18"/>
                                  <w14:ligatures w14:val="none"/>
                                </w:rPr>
                                <w:t>27612</w:t>
                              </w:r>
                            </w:p>
                          </w:tc>
                        </w:tr>
                      </w:tbl>
                      <w:p w14:paraId="319A2E3D"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r>
                </w:tbl>
                <w:p w14:paraId="4E888CBF"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r>
            <w:tr w:rsidR="0004773C" w:rsidRPr="0004773C" w14:paraId="0CCBC775" w14:textId="77777777">
              <w:tc>
                <w:tcPr>
                  <w:tcW w:w="0" w:type="auto"/>
                  <w:tcMar>
                    <w:top w:w="195" w:type="dxa"/>
                    <w:left w:w="0" w:type="dxa"/>
                    <w:bottom w:w="0" w:type="dxa"/>
                    <w:right w:w="0" w:type="dxa"/>
                  </w:tcMar>
                  <w:hideMark/>
                </w:tcPr>
                <w:p w14:paraId="10FE7499" w14:textId="7DCBABD3"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ptos" w:eastAsia="Times New Roman" w:hAnsi="Aptos" w:cs="Times New Roman"/>
                      <w:noProof/>
                      <w:color w:val="0000FF"/>
                      <w:kern w:val="0"/>
                      <w:sz w:val="2"/>
                      <w:szCs w:val="2"/>
                      <w14:ligatures w14:val="none"/>
                    </w:rPr>
                    <w:drawing>
                      <wp:inline distT="0" distB="0" distL="0" distR="0" wp14:anchorId="31F815C9" wp14:editId="331312F9">
                        <wp:extent cx="2514600" cy="838200"/>
                        <wp:effectExtent l="0" t="0" r="0" b="0"/>
                        <wp:docPr id="1661831670" name="Picture 1" descr="Image">
                          <a:hlinkClick xmlns:a="http://schemas.openxmlformats.org/drawingml/2006/main" r:id="rId8"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25129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04773C" w:rsidRPr="0004773C" w14:paraId="6C4C9526" w14:textId="77777777">
              <w:tc>
                <w:tcPr>
                  <w:tcW w:w="0" w:type="auto"/>
                  <w:tcMar>
                    <w:top w:w="120" w:type="dxa"/>
                    <w:left w:w="0" w:type="dxa"/>
                    <w:bottom w:w="0" w:type="dxa"/>
                    <w:right w:w="0" w:type="dxa"/>
                  </w:tcMar>
                  <w:hideMark/>
                </w:tcPr>
                <w:p w14:paraId="00AF9DFD"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rial" w:eastAsia="Times New Roman" w:hAnsi="Arial" w:cs="Arial"/>
                      <w:color w:val="A7A9AC"/>
                      <w:kern w:val="0"/>
                      <w:sz w:val="2"/>
                      <w:szCs w:val="2"/>
                      <w14:ligatures w14:val="none"/>
                    </w:rPr>
                    <w:br/>
                    <w:t> </w:t>
                  </w:r>
                </w:p>
              </w:tc>
            </w:tr>
            <w:tr w:rsidR="0004773C" w:rsidRPr="0004773C" w14:paraId="7474304A" w14:textId="77777777">
              <w:tc>
                <w:tcPr>
                  <w:tcW w:w="0" w:type="auto"/>
                  <w:vAlign w:val="center"/>
                  <w:hideMark/>
                </w:tcPr>
                <w:p w14:paraId="5102D362" w14:textId="77777777" w:rsidR="0004773C" w:rsidRPr="0004773C" w:rsidRDefault="0004773C" w:rsidP="0004773C">
                  <w:pPr>
                    <w:spacing w:after="0" w:line="240" w:lineRule="auto"/>
                    <w:rPr>
                      <w:rFonts w:ascii="Aptos" w:eastAsia="Times New Roman" w:hAnsi="Aptos" w:cs="Times New Roman"/>
                      <w:kern w:val="0"/>
                      <w14:ligatures w14:val="none"/>
                    </w:rPr>
                  </w:pPr>
                  <w:r w:rsidRPr="0004773C">
                    <w:rPr>
                      <w:rFonts w:ascii="Aptos" w:eastAsia="Times New Roman" w:hAnsi="Aptos" w:cs="Times New Roman"/>
                      <w:kern w:val="0"/>
                      <w:sz w:val="2"/>
                      <w:szCs w:val="2"/>
                      <w14:ligatures w14:val="none"/>
                    </w:rPr>
                    <w:t> </w:t>
                  </w:r>
                </w:p>
              </w:tc>
            </w:tr>
          </w:tbl>
          <w:p w14:paraId="286D70FC" w14:textId="77777777" w:rsidR="0004773C" w:rsidRPr="0004773C" w:rsidRDefault="0004773C" w:rsidP="0004773C">
            <w:pPr>
              <w:spacing w:after="0" w:line="240" w:lineRule="auto"/>
              <w:rPr>
                <w:rFonts w:ascii="Times New Roman" w:eastAsia="Times New Roman" w:hAnsi="Times New Roman" w:cs="Times New Roman"/>
                <w:kern w:val="0"/>
                <w14:ligatures w14:val="none"/>
              </w:rPr>
            </w:pPr>
          </w:p>
        </w:tc>
      </w:tr>
    </w:tbl>
    <w:p w14:paraId="3372ED73" w14:textId="77777777" w:rsidR="0004773C" w:rsidRDefault="0004773C"/>
    <w:sectPr w:rsidR="00047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mialcxesans">
    <w:altName w:val="Cambria"/>
    <w:panose1 w:val="020B0604020202020204"/>
    <w:charset w:val="00"/>
    <w:family w:val="roman"/>
    <w:notTrueType/>
    <w:pitch w:val="default"/>
  </w:font>
  <w:font w:name="template-DwSerzdfEfGO8wANOh1UgA">
    <w:altName w:val="Cambria"/>
    <w:panose1 w:val="020B0604020202020204"/>
    <w:charset w:val="00"/>
    <w:family w:val="roman"/>
    <w:notTrueType/>
    <w:pitch w:val="default"/>
  </w:font>
  <w:font w:name="zone-1">
    <w:altName w:val="Cambria"/>
    <w:panose1 w:val="020B0604020202020204"/>
    <w:charset w:val="00"/>
    <w:family w:val="roman"/>
    <w:notTrueType/>
    <w:pitch w:val="default"/>
  </w:font>
  <w:font w:name="zones-AQ">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C"/>
    <w:rsid w:val="0004773C"/>
    <w:rsid w:val="0017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15FF3"/>
  <w15:chartTrackingRefBased/>
  <w15:docId w15:val="{E4BAC930-4E6D-304D-AD2D-CF72F35D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3C"/>
    <w:rPr>
      <w:rFonts w:eastAsiaTheme="majorEastAsia" w:cstheme="majorBidi"/>
      <w:color w:val="272727" w:themeColor="text1" w:themeTint="D8"/>
    </w:rPr>
  </w:style>
  <w:style w:type="paragraph" w:styleId="Title">
    <w:name w:val="Title"/>
    <w:basedOn w:val="Normal"/>
    <w:next w:val="Normal"/>
    <w:link w:val="TitleChar"/>
    <w:uiPriority w:val="10"/>
    <w:qFormat/>
    <w:rsid w:val="00047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3C"/>
    <w:pPr>
      <w:spacing w:before="160"/>
      <w:jc w:val="center"/>
    </w:pPr>
    <w:rPr>
      <w:i/>
      <w:iCs/>
      <w:color w:val="404040" w:themeColor="text1" w:themeTint="BF"/>
    </w:rPr>
  </w:style>
  <w:style w:type="character" w:customStyle="1" w:styleId="QuoteChar">
    <w:name w:val="Quote Char"/>
    <w:basedOn w:val="DefaultParagraphFont"/>
    <w:link w:val="Quote"/>
    <w:uiPriority w:val="29"/>
    <w:rsid w:val="0004773C"/>
    <w:rPr>
      <w:i/>
      <w:iCs/>
      <w:color w:val="404040" w:themeColor="text1" w:themeTint="BF"/>
    </w:rPr>
  </w:style>
  <w:style w:type="paragraph" w:styleId="ListParagraph">
    <w:name w:val="List Paragraph"/>
    <w:basedOn w:val="Normal"/>
    <w:uiPriority w:val="34"/>
    <w:qFormat/>
    <w:rsid w:val="0004773C"/>
    <w:pPr>
      <w:ind w:left="720"/>
      <w:contextualSpacing/>
    </w:pPr>
  </w:style>
  <w:style w:type="character" w:styleId="IntenseEmphasis">
    <w:name w:val="Intense Emphasis"/>
    <w:basedOn w:val="DefaultParagraphFont"/>
    <w:uiPriority w:val="21"/>
    <w:qFormat/>
    <w:rsid w:val="0004773C"/>
    <w:rPr>
      <w:i/>
      <w:iCs/>
      <w:color w:val="0F4761" w:themeColor="accent1" w:themeShade="BF"/>
    </w:rPr>
  </w:style>
  <w:style w:type="paragraph" w:styleId="IntenseQuote">
    <w:name w:val="Intense Quote"/>
    <w:basedOn w:val="Normal"/>
    <w:next w:val="Normal"/>
    <w:link w:val="IntenseQuoteChar"/>
    <w:uiPriority w:val="30"/>
    <w:qFormat/>
    <w:rsid w:val="00047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73C"/>
    <w:rPr>
      <w:i/>
      <w:iCs/>
      <w:color w:val="0F4761" w:themeColor="accent1" w:themeShade="BF"/>
    </w:rPr>
  </w:style>
  <w:style w:type="character" w:styleId="IntenseReference">
    <w:name w:val="Intense Reference"/>
    <w:basedOn w:val="DefaultParagraphFont"/>
    <w:uiPriority w:val="32"/>
    <w:qFormat/>
    <w:rsid w:val="0004773C"/>
    <w:rPr>
      <w:b/>
      <w:bCs/>
      <w:smallCaps/>
      <w:color w:val="0F4761" w:themeColor="accent1" w:themeShade="BF"/>
      <w:spacing w:val="5"/>
    </w:rPr>
  </w:style>
  <w:style w:type="character" w:customStyle="1" w:styleId="apple-converted-space">
    <w:name w:val="apple-converted-space"/>
    <w:basedOn w:val="DefaultParagraphFont"/>
    <w:rsid w:val="0004773C"/>
  </w:style>
  <w:style w:type="character" w:styleId="Hyperlink">
    <w:name w:val="Hyperlink"/>
    <w:basedOn w:val="DefaultParagraphFont"/>
    <w:uiPriority w:val="99"/>
    <w:semiHidden/>
    <w:unhideWhenUsed/>
    <w:rsid w:val="00047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nardnexsen.com/" TargetMode="External"/><Relationship Id="rId3" Type="http://schemas.openxmlformats.org/officeDocument/2006/relationships/webSettings" Target="webSettings.xml"/><Relationship Id="rId7" Type="http://schemas.openxmlformats.org/officeDocument/2006/relationships/hyperlink" Target="mailto:DFerrell@maynardnexs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leg.gov/BillLookUp/2025/H921" TargetMode="External"/><Relationship Id="rId11" Type="http://schemas.openxmlformats.org/officeDocument/2006/relationships/theme" Target="theme/theme1.xml"/><Relationship Id="rId5" Type="http://schemas.openxmlformats.org/officeDocument/2006/relationships/hyperlink" Target="https://roboro.us22.list-manage.com/track/click?u=a2d7965e7216ab9a81d3c6d06&amp;id=4d57e223c6&amp;e=9f07a2d4b7" TargetMode="External"/><Relationship Id="rId10" Type="http://schemas.openxmlformats.org/officeDocument/2006/relationships/fontTable" Target="fontTable.xml"/><Relationship Id="rId4" Type="http://schemas.openxmlformats.org/officeDocument/2006/relationships/hyperlink" Target="https://roboro.us22.list-manage.com/track/click?u=a2d7965e7216ab9a81d3c6d06&amp;id=b96830d1d4&amp;e=9f07a2d4b7"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1475</Characters>
  <Application>Microsoft Office Word</Application>
  <DocSecurity>0</DocSecurity>
  <Lines>60</Lines>
  <Paragraphs>18</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2026-05-11T17:58:00Z</dcterms:created>
  <dcterms:modified xsi:type="dcterms:W3CDTF">2026-05-11T17:58:00Z</dcterms:modified>
</cp:coreProperties>
</file>