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15" w:rsidRPr="009F7876" w:rsidRDefault="009F7876" w:rsidP="009F7876">
      <w:pPr>
        <w:spacing w:before="480" w:after="0" w:line="240" w:lineRule="auto"/>
        <w:jc w:val="center"/>
        <w:rPr>
          <w:b/>
          <w:sz w:val="36"/>
          <w:szCs w:val="36"/>
        </w:rPr>
      </w:pPr>
      <w:r w:rsidRPr="009C5C7A">
        <w:rPr>
          <w:rFonts w:eastAsia="Arial"/>
          <w:b/>
          <w:sz w:val="36"/>
        </w:rPr>
        <w:t xml:space="preserve">RSAI </w:t>
      </w:r>
      <w:r>
        <w:rPr>
          <w:rFonts w:eastAsia="Arial"/>
          <w:b/>
          <w:sz w:val="36"/>
        </w:rPr>
        <w:t>202</w:t>
      </w:r>
      <w:r w:rsidR="00175D09">
        <w:rPr>
          <w:rFonts w:eastAsia="Arial"/>
          <w:b/>
          <w:sz w:val="36"/>
        </w:rPr>
        <w:t>2</w:t>
      </w:r>
      <w:r>
        <w:rPr>
          <w:rFonts w:eastAsia="Arial"/>
          <w:b/>
          <w:sz w:val="36"/>
        </w:rPr>
        <w:t xml:space="preserve"> Legisl</w:t>
      </w:r>
      <w:bookmarkStart w:id="0" w:name="_GoBack"/>
      <w:bookmarkEnd w:id="0"/>
      <w:r>
        <w:rPr>
          <w:rFonts w:eastAsia="Arial"/>
          <w:b/>
          <w:sz w:val="36"/>
        </w:rPr>
        <w:t>ative Priority</w:t>
      </w:r>
      <w:r w:rsidRPr="009C5C7A">
        <w:rPr>
          <w:rFonts w:eastAsia="Arial"/>
          <w:b/>
          <w:sz w:val="36"/>
        </w:rPr>
        <w:t xml:space="preserve">: </w:t>
      </w:r>
      <w:r>
        <w:rPr>
          <w:rFonts w:eastAsia="Arial"/>
          <w:b/>
          <w:sz w:val="36"/>
        </w:rPr>
        <w:br/>
      </w:r>
      <w:r w:rsidR="00875723">
        <w:rPr>
          <w:b/>
          <w:sz w:val="36"/>
          <w:szCs w:val="36"/>
        </w:rPr>
        <w:t>Broadband Internet Access</w:t>
      </w:r>
    </w:p>
    <w:p w:rsidR="00796A2E" w:rsidRPr="00356C1C" w:rsidRDefault="00796A2E" w:rsidP="00796A2E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811F8F" w:rsidRPr="00520466" w:rsidRDefault="00796A2E" w:rsidP="00520466">
      <w:pPr>
        <w:widowControl w:val="0"/>
        <w:spacing w:after="120" w:line="240" w:lineRule="auto"/>
        <w:rPr>
          <w:rFonts w:eastAsia="Calibri" w:cstheme="minorHAnsi"/>
        </w:rPr>
      </w:pPr>
      <w:r w:rsidRPr="00520466">
        <w:rPr>
          <w:rFonts w:eastAsia="Times New Roman" w:cstheme="minorHAnsi"/>
          <w:b/>
          <w:bCs/>
          <w:color w:val="222222"/>
        </w:rPr>
        <w:t xml:space="preserve">Background: </w:t>
      </w:r>
      <w:r w:rsidR="00875723" w:rsidRPr="00520466">
        <w:rPr>
          <w:rFonts w:eastAsia="Calibri" w:cstheme="minorHAnsi"/>
        </w:rPr>
        <w:t xml:space="preserve">The </w:t>
      </w:r>
      <w:hyperlink r:id="rId7" w:history="1">
        <w:r w:rsidR="00875723" w:rsidRPr="00520466">
          <w:rPr>
            <w:rStyle w:val="Hyperlink"/>
            <w:rFonts w:eastAsia="Calibri" w:cstheme="minorHAnsi"/>
          </w:rPr>
          <w:t>Iowa Capit</w:t>
        </w:r>
        <w:r w:rsidR="00277C0F" w:rsidRPr="00520466">
          <w:rPr>
            <w:rStyle w:val="Hyperlink"/>
            <w:rFonts w:eastAsia="Calibri" w:cstheme="minorHAnsi"/>
          </w:rPr>
          <w:t>a</w:t>
        </w:r>
        <w:r w:rsidR="00875723" w:rsidRPr="00520466">
          <w:rPr>
            <w:rStyle w:val="Hyperlink"/>
            <w:rFonts w:eastAsia="Calibri" w:cstheme="minorHAnsi"/>
          </w:rPr>
          <w:t>l Dispatch April 20</w:t>
        </w:r>
        <w:r w:rsidR="00277C0F" w:rsidRPr="00520466">
          <w:rPr>
            <w:rStyle w:val="Hyperlink"/>
            <w:rFonts w:eastAsia="Calibri" w:cstheme="minorHAnsi"/>
          </w:rPr>
          <w:t>20</w:t>
        </w:r>
      </w:hyperlink>
      <w:r w:rsidR="00875723" w:rsidRPr="00520466">
        <w:rPr>
          <w:rFonts w:eastAsia="Calibri" w:cstheme="minorHAnsi"/>
        </w:rPr>
        <w:t xml:space="preserve"> reported Iowa as among the ten worst states for access to and affordability of high-speed Internet.</w:t>
      </w:r>
      <w:r w:rsidR="00DA04FF">
        <w:rPr>
          <w:rFonts w:eastAsia="Calibri" w:cstheme="minorHAnsi"/>
        </w:rPr>
        <w:t xml:space="preserve"> </w:t>
      </w:r>
      <w:r w:rsidR="00AE4079" w:rsidRPr="00520466">
        <w:rPr>
          <w:rFonts w:eastAsia="Calibri" w:cstheme="minorHAnsi"/>
        </w:rPr>
        <w:t xml:space="preserve">Since the onset of the pandemic, </w:t>
      </w:r>
      <w:r w:rsidR="00277C0F" w:rsidRPr="00520466">
        <w:rPr>
          <w:rFonts w:eastAsia="Calibri" w:cstheme="minorHAnsi"/>
        </w:rPr>
        <w:t xml:space="preserve">inequitable </w:t>
      </w:r>
      <w:r w:rsidR="00AE4079" w:rsidRPr="00520466">
        <w:rPr>
          <w:rFonts w:eastAsia="Calibri" w:cstheme="minorHAnsi"/>
        </w:rPr>
        <w:t xml:space="preserve">access to high-speed broadband service </w:t>
      </w:r>
      <w:r w:rsidR="00277C0F" w:rsidRPr="00520466">
        <w:rPr>
          <w:rFonts w:eastAsia="Calibri" w:cstheme="minorHAnsi"/>
        </w:rPr>
        <w:t>has become obvious for students, parents and school staff as learning moved online</w:t>
      </w:r>
      <w:r w:rsidR="00AE4079" w:rsidRPr="00520466">
        <w:rPr>
          <w:rFonts w:eastAsia="Calibri" w:cstheme="minorHAnsi"/>
        </w:rPr>
        <w:t>.</w:t>
      </w:r>
      <w:r w:rsidR="00DA04FF">
        <w:rPr>
          <w:rFonts w:eastAsia="Calibri" w:cstheme="minorHAnsi"/>
        </w:rPr>
        <w:t xml:space="preserve"> </w:t>
      </w:r>
      <w:r w:rsidR="00277C0F" w:rsidRPr="00520466">
        <w:rPr>
          <w:rFonts w:eastAsia="Calibri" w:cstheme="minorHAnsi"/>
        </w:rPr>
        <w:t>What was once known as the “homework gap” was now about access to education.</w:t>
      </w:r>
      <w:r w:rsidR="00DA04FF">
        <w:rPr>
          <w:rFonts w:eastAsia="Calibri" w:cstheme="minorHAnsi"/>
        </w:rPr>
        <w:t xml:space="preserve"> </w:t>
      </w:r>
      <w:r w:rsidR="00811F8F" w:rsidRPr="00520466">
        <w:rPr>
          <w:rFonts w:eastAsia="Calibri" w:cstheme="minorHAnsi"/>
        </w:rPr>
        <w:t>Although necessary for schools, Internet connections are critical for a rural quality of life.</w:t>
      </w:r>
      <w:r w:rsidR="00DA04FF">
        <w:rPr>
          <w:rFonts w:eastAsia="Calibri" w:cstheme="minorHAnsi"/>
        </w:rPr>
        <w:t xml:space="preserve"> </w:t>
      </w:r>
      <w:r w:rsidR="00811F8F" w:rsidRPr="00520466">
        <w:rPr>
          <w:rFonts w:eastAsia="Calibri" w:cstheme="minorHAnsi"/>
        </w:rPr>
        <w:t>As the Dispatch article stated, “Since the onset of the pandemic, access to high-speed broadband service has become essential as jobs and schools have shifted online, health care providers deliver remote care, people shop online and civic and social life goes virtual.”</w:t>
      </w:r>
    </w:p>
    <w:p w:rsidR="00795842" w:rsidRPr="00520466" w:rsidRDefault="00277C0F" w:rsidP="00520466">
      <w:pPr>
        <w:widowControl w:val="0"/>
        <w:spacing w:after="120" w:line="240" w:lineRule="auto"/>
        <w:rPr>
          <w:rFonts w:eastAsia="Calibri" w:cstheme="minorHAnsi"/>
        </w:rPr>
      </w:pPr>
      <w:r w:rsidRPr="00520466">
        <w:rPr>
          <w:rFonts w:eastAsia="Calibri" w:cstheme="minorHAnsi"/>
        </w:rPr>
        <w:t xml:space="preserve">The article quoted a </w:t>
      </w:r>
      <w:hyperlink r:id="rId8" w:history="1">
        <w:r w:rsidRPr="00520466">
          <w:rPr>
            <w:rStyle w:val="Hyperlink"/>
            <w:rFonts w:eastAsia="Calibri" w:cstheme="minorHAnsi"/>
          </w:rPr>
          <w:t>report</w:t>
        </w:r>
      </w:hyperlink>
      <w:r w:rsidR="00F84DA0">
        <w:rPr>
          <w:rFonts w:eastAsia="Calibri" w:cstheme="minorHAnsi"/>
        </w:rPr>
        <w:t xml:space="preserve"> </w:t>
      </w:r>
      <w:r w:rsidRPr="00520466">
        <w:rPr>
          <w:rFonts w:eastAsia="Calibri" w:cstheme="minorHAnsi"/>
        </w:rPr>
        <w:t xml:space="preserve">by </w:t>
      </w:r>
      <w:proofErr w:type="spellStart"/>
      <w:r w:rsidRPr="00520466">
        <w:rPr>
          <w:rFonts w:eastAsia="Calibri" w:cstheme="minorHAnsi"/>
        </w:rPr>
        <w:t>BroadbandNow</w:t>
      </w:r>
      <w:proofErr w:type="spellEnd"/>
      <w:r w:rsidRPr="00520466">
        <w:rPr>
          <w:rFonts w:eastAsia="Calibri" w:cstheme="minorHAnsi"/>
        </w:rPr>
        <w:t xml:space="preserve"> Research.</w:t>
      </w:r>
      <w:r w:rsidR="00DA04FF">
        <w:rPr>
          <w:rFonts w:eastAsia="Calibri" w:cstheme="minorHAnsi"/>
        </w:rPr>
        <w:t xml:space="preserve"> </w:t>
      </w:r>
      <w:r w:rsidR="00AC6E7D" w:rsidRPr="00520466">
        <w:rPr>
          <w:rFonts w:eastAsia="Calibri" w:cstheme="minorHAnsi"/>
        </w:rPr>
        <w:t>Although the initial report from 2019 showed Iowa as #45 in the nation, the state has made strong gains.</w:t>
      </w:r>
      <w:r w:rsidR="00DA04FF">
        <w:rPr>
          <w:rFonts w:eastAsia="Calibri" w:cstheme="minorHAnsi"/>
        </w:rPr>
        <w:t xml:space="preserve"> </w:t>
      </w:r>
      <w:r w:rsidR="00811F8F" w:rsidRPr="00520466">
        <w:rPr>
          <w:rFonts w:eastAsia="Calibri" w:cstheme="minorHAnsi"/>
        </w:rPr>
        <w:t>Iowa moved up from 45</w:t>
      </w:r>
      <w:r w:rsidR="00811F8F" w:rsidRPr="00520466">
        <w:rPr>
          <w:rFonts w:eastAsia="Calibri" w:cstheme="minorHAnsi"/>
          <w:vertAlign w:val="superscript"/>
        </w:rPr>
        <w:t>th</w:t>
      </w:r>
      <w:r w:rsidR="00811F8F" w:rsidRPr="00520466">
        <w:rPr>
          <w:rFonts w:eastAsia="Calibri" w:cstheme="minorHAnsi"/>
        </w:rPr>
        <w:t xml:space="preserve"> to now, 36</w:t>
      </w:r>
      <w:r w:rsidR="00811F8F" w:rsidRPr="00520466">
        <w:rPr>
          <w:rFonts w:eastAsia="Calibri" w:cstheme="minorHAnsi"/>
          <w:vertAlign w:val="superscript"/>
        </w:rPr>
        <w:t>th</w:t>
      </w:r>
      <w:r w:rsidR="00811F8F" w:rsidRPr="00520466">
        <w:rPr>
          <w:rFonts w:eastAsia="Calibri" w:cstheme="minorHAnsi"/>
        </w:rPr>
        <w:t xml:space="preserve"> in the nation</w:t>
      </w:r>
      <w:r w:rsidR="008E18F8">
        <w:rPr>
          <w:rFonts w:eastAsia="Calibri" w:cstheme="minorHAnsi"/>
        </w:rPr>
        <w:t>,</w:t>
      </w:r>
      <w:r w:rsidR="00811F8F" w:rsidRPr="00520466">
        <w:rPr>
          <w:rFonts w:eastAsia="Calibri" w:cstheme="minorHAnsi"/>
        </w:rPr>
        <w:t xml:space="preserve"> according to the 2021 Report.</w:t>
      </w:r>
      <w:r w:rsidR="00DA04FF">
        <w:rPr>
          <w:rFonts w:eastAsia="Calibri" w:cstheme="minorHAnsi"/>
        </w:rPr>
        <w:t xml:space="preserve"> </w:t>
      </w:r>
      <w:r w:rsidR="00795842" w:rsidRPr="00520466">
        <w:rPr>
          <w:rFonts w:eastAsia="Calibri" w:cstheme="minorHAnsi"/>
        </w:rPr>
        <w:t>Improvements in coverage and price are noticeable.</w:t>
      </w:r>
      <w:r w:rsidR="00DA04FF">
        <w:rPr>
          <w:rFonts w:eastAsia="Calibri" w:cstheme="minorHAnsi"/>
        </w:rPr>
        <w:t xml:space="preserve"> </w:t>
      </w:r>
      <w:r w:rsidR="00795842" w:rsidRPr="00520466">
        <w:rPr>
          <w:rFonts w:eastAsia="Calibri" w:cstheme="minorHAnsi"/>
        </w:rPr>
        <w:t xml:space="preserve">However, </w:t>
      </w:r>
      <w:r w:rsidR="00811F8F" w:rsidRPr="00520466">
        <w:rPr>
          <w:rFonts w:eastAsia="Calibri" w:cstheme="minorHAnsi"/>
        </w:rPr>
        <w:t xml:space="preserve">Iowa </w:t>
      </w:r>
      <w:r w:rsidR="00795842" w:rsidRPr="00520466">
        <w:rPr>
          <w:rFonts w:eastAsia="Calibri" w:cstheme="minorHAnsi"/>
        </w:rPr>
        <w:t>still rank</w:t>
      </w:r>
      <w:r w:rsidR="00811F8F" w:rsidRPr="00520466">
        <w:rPr>
          <w:rFonts w:eastAsia="Calibri" w:cstheme="minorHAnsi"/>
        </w:rPr>
        <w:t>s</w:t>
      </w:r>
      <w:r w:rsidR="00795842" w:rsidRPr="00520466">
        <w:rPr>
          <w:rFonts w:eastAsia="Calibri" w:cstheme="minorHAnsi"/>
        </w:rPr>
        <w:t xml:space="preserve"> 49</w:t>
      </w:r>
      <w:r w:rsidR="00795842" w:rsidRPr="00520466">
        <w:rPr>
          <w:rFonts w:eastAsia="Calibri" w:cstheme="minorHAnsi"/>
          <w:vertAlign w:val="superscript"/>
        </w:rPr>
        <w:t>th</w:t>
      </w:r>
      <w:r w:rsidR="00795842" w:rsidRPr="00520466">
        <w:rPr>
          <w:rFonts w:eastAsia="Calibri" w:cstheme="minorHAnsi"/>
        </w:rPr>
        <w:t xml:space="preserve"> in download speeds. </w:t>
      </w:r>
      <w:r w:rsidR="00AC6E7D" w:rsidRPr="00520466">
        <w:rPr>
          <w:rFonts w:eastAsia="Calibri" w:cstheme="minorHAnsi"/>
        </w:rPr>
        <w:t xml:space="preserve">See the </w:t>
      </w:r>
      <w:r w:rsidR="00520466" w:rsidRPr="00520466">
        <w:rPr>
          <w:rFonts w:eastAsia="Calibri" w:cstheme="minorHAnsi"/>
        </w:rPr>
        <w:t>progress</w:t>
      </w:r>
      <w:r w:rsidR="00AC6E7D" w:rsidRPr="00520466">
        <w:rPr>
          <w:rFonts w:eastAsia="Calibri" w:cstheme="minorHAnsi"/>
        </w:rPr>
        <w:t xml:space="preserve"> in the graphics below: </w:t>
      </w:r>
    </w:p>
    <w:p w:rsidR="00FE3C02" w:rsidRPr="00520466" w:rsidRDefault="00FE3C02" w:rsidP="00520466">
      <w:pPr>
        <w:widowControl w:val="0"/>
        <w:spacing w:after="120" w:line="240" w:lineRule="auto"/>
        <w:rPr>
          <w:noProof/>
          <w:sz w:val="2"/>
        </w:rPr>
      </w:pPr>
      <w:r w:rsidRPr="00AC6E7D">
        <w:rPr>
          <w:noProof/>
        </w:rPr>
        <w:drawing>
          <wp:anchor distT="0" distB="0" distL="114300" distR="114300" simplePos="0" relativeHeight="251660288" behindDoc="1" locked="0" layoutInCell="1" allowOverlap="1" wp14:anchorId="40A3EB28">
            <wp:simplePos x="0" y="0"/>
            <wp:positionH relativeFrom="column">
              <wp:posOffset>5154930</wp:posOffset>
            </wp:positionH>
            <wp:positionV relativeFrom="paragraph">
              <wp:posOffset>451485</wp:posOffset>
            </wp:positionV>
            <wp:extent cx="838200" cy="864870"/>
            <wp:effectExtent l="0" t="0" r="0" b="0"/>
            <wp:wrapTight wrapText="bothSides">
              <wp:wrapPolygon edited="0">
                <wp:start x="0" y="0"/>
                <wp:lineTo x="0" y="20934"/>
                <wp:lineTo x="21109" y="20934"/>
                <wp:lineTo x="2110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7D">
        <w:rPr>
          <w:rFonts w:eastAsia="Calibri" w:cstheme="minorHAnsi"/>
          <w:noProof/>
        </w:rPr>
        <w:drawing>
          <wp:anchor distT="0" distB="0" distL="114300" distR="114300" simplePos="0" relativeHeight="251659264" behindDoc="1" locked="0" layoutInCell="1" allowOverlap="1" wp14:anchorId="49746167">
            <wp:simplePos x="0" y="0"/>
            <wp:positionH relativeFrom="column">
              <wp:posOffset>-91440</wp:posOffset>
            </wp:positionH>
            <wp:positionV relativeFrom="paragraph">
              <wp:posOffset>390525</wp:posOffset>
            </wp:positionV>
            <wp:extent cx="902970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4FF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3267"/>
        <w:gridCol w:w="1498"/>
      </w:tblGrid>
      <w:tr w:rsidR="00FE3C02" w:rsidTr="00520466">
        <w:trPr>
          <w:trHeight w:val="144"/>
        </w:trPr>
        <w:tc>
          <w:tcPr>
            <w:tcW w:w="1678" w:type="dxa"/>
          </w:tcPr>
          <w:p w:rsid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2019</w:t>
            </w:r>
          </w:p>
        </w:tc>
        <w:tc>
          <w:tcPr>
            <w:tcW w:w="3267" w:type="dxa"/>
          </w:tcPr>
          <w:p w:rsidR="00FE3C02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</w:rPr>
            </w:pPr>
          </w:p>
        </w:tc>
        <w:tc>
          <w:tcPr>
            <w:tcW w:w="1498" w:type="dxa"/>
          </w:tcPr>
          <w:p w:rsidR="00FE3C02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2021</w:t>
            </w:r>
          </w:p>
        </w:tc>
      </w:tr>
      <w:tr w:rsidR="00FE3C02" w:rsidTr="00520466">
        <w:trPr>
          <w:trHeight w:val="424"/>
        </w:trPr>
        <w:tc>
          <w:tcPr>
            <w:tcW w:w="167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81.3%</w:t>
            </w:r>
          </w:p>
        </w:tc>
        <w:tc>
          <w:tcPr>
            <w:tcW w:w="3267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noProof/>
                <w:sz w:val="18"/>
              </w:rPr>
              <w:drawing>
                <wp:inline distT="0" distB="0" distL="0" distR="0" wp14:anchorId="2513F5EE" wp14:editId="4E39820E">
                  <wp:extent cx="228620" cy="20956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0" cy="20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0466">
              <w:rPr>
                <w:rFonts w:eastAsia="Calibri" w:cstheme="minorHAnsi"/>
                <w:sz w:val="18"/>
              </w:rPr>
              <w:t>Terrestrial Broadband Access</w:t>
            </w:r>
          </w:p>
        </w:tc>
        <w:tc>
          <w:tcPr>
            <w:tcW w:w="149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88.8%</w:t>
            </w:r>
          </w:p>
        </w:tc>
      </w:tr>
      <w:tr w:rsidR="00FE3C02" w:rsidTr="00520466">
        <w:tc>
          <w:tcPr>
            <w:tcW w:w="167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18.5%</w:t>
            </w:r>
          </w:p>
        </w:tc>
        <w:tc>
          <w:tcPr>
            <w:tcW w:w="3267" w:type="dxa"/>
            <w:vAlign w:val="bottom"/>
          </w:tcPr>
          <w:p w:rsidR="00FE3C02" w:rsidRPr="00520466" w:rsidRDefault="00E07A06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>
              <w:rPr>
                <w:sz w:val="18"/>
              </w:rPr>
              <w:pict>
                <v:shape id="Picture 21" o:spid="_x0000_i1028" type="#_x0000_t75" style="width:13.5pt;height:15pt;visibility:visible;mso-wrap-style:square">
                  <v:imagedata r:id="rId12" o:title=""/>
                </v:shape>
              </w:pict>
            </w:r>
            <w:r w:rsidR="00FE3C02" w:rsidRPr="00520466">
              <w:rPr>
                <w:rFonts w:eastAsia="Calibri" w:cstheme="minorHAnsi"/>
                <w:sz w:val="18"/>
              </w:rPr>
              <w:t xml:space="preserve"> Wired Low-Priced Plan Access</w:t>
            </w:r>
          </w:p>
        </w:tc>
        <w:tc>
          <w:tcPr>
            <w:tcW w:w="149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79.7%</w:t>
            </w:r>
          </w:p>
        </w:tc>
      </w:tr>
      <w:tr w:rsidR="00FE3C02" w:rsidTr="00520466">
        <w:tc>
          <w:tcPr>
            <w:tcW w:w="1678" w:type="dxa"/>
            <w:vAlign w:val="bottom"/>
          </w:tcPr>
          <w:p w:rsidR="00FE3C02" w:rsidRPr="00520466" w:rsidRDefault="00FE3C02" w:rsidP="00520466">
            <w:pPr>
              <w:pStyle w:val="ListParagraph"/>
              <w:widowControl w:val="0"/>
              <w:numPr>
                <w:ilvl w:val="1"/>
                <w:numId w:val="18"/>
              </w:numPr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Mbps</w:t>
            </w:r>
          </w:p>
        </w:tc>
        <w:tc>
          <w:tcPr>
            <w:tcW w:w="3267" w:type="dxa"/>
            <w:vAlign w:val="bottom"/>
          </w:tcPr>
          <w:p w:rsidR="00FE3C02" w:rsidRPr="00520466" w:rsidRDefault="00E07A06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>
              <w:rPr>
                <w:noProof/>
                <w:sz w:val="18"/>
              </w:rPr>
              <w:pict>
                <v:shape id="Picture 25" o:spid="_x0000_i1029" type="#_x0000_t75" style="width:13.5pt;height:12.6pt;visibility:visible;mso-wrap-style:square" o:bullet="t">
                  <v:imagedata r:id="rId13" o:title=""/>
                </v:shape>
              </w:pict>
            </w:r>
            <w:r w:rsidR="00FE3C02" w:rsidRPr="00520466">
              <w:rPr>
                <w:rFonts w:eastAsia="Calibri" w:cstheme="minorHAnsi"/>
                <w:sz w:val="18"/>
              </w:rPr>
              <w:t>Average Speed Test</w:t>
            </w:r>
          </w:p>
        </w:tc>
        <w:tc>
          <w:tcPr>
            <w:tcW w:w="149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193.9 Mbps</w:t>
            </w:r>
          </w:p>
        </w:tc>
      </w:tr>
      <w:tr w:rsidR="00FE3C02" w:rsidTr="00520466">
        <w:tc>
          <w:tcPr>
            <w:tcW w:w="167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Not reported</w:t>
            </w:r>
          </w:p>
        </w:tc>
        <w:tc>
          <w:tcPr>
            <w:tcW w:w="3267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noProof/>
                <w:sz w:val="18"/>
              </w:rPr>
              <w:drawing>
                <wp:inline distT="0" distB="0" distL="0" distR="0" wp14:anchorId="76DBBBD5" wp14:editId="352AC077">
                  <wp:extent cx="190517" cy="217189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7" cy="21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0466">
              <w:rPr>
                <w:rFonts w:eastAsia="Calibri" w:cstheme="minorHAnsi"/>
                <w:sz w:val="18"/>
              </w:rPr>
              <w:t>Internet Providers in Iowa</w:t>
            </w:r>
          </w:p>
        </w:tc>
        <w:tc>
          <w:tcPr>
            <w:tcW w:w="1498" w:type="dxa"/>
            <w:vAlign w:val="bottom"/>
          </w:tcPr>
          <w:p w:rsidR="00FE3C02" w:rsidRPr="00520466" w:rsidRDefault="00FE3C02" w:rsidP="00520466">
            <w:pPr>
              <w:widowControl w:val="0"/>
              <w:spacing w:after="120"/>
              <w:jc w:val="center"/>
              <w:rPr>
                <w:rFonts w:eastAsia="Calibri" w:cstheme="minorHAnsi"/>
                <w:sz w:val="18"/>
              </w:rPr>
            </w:pPr>
            <w:r w:rsidRPr="00520466">
              <w:rPr>
                <w:rFonts w:eastAsia="Calibri" w:cstheme="minorHAnsi"/>
                <w:sz w:val="18"/>
              </w:rPr>
              <w:t>449</w:t>
            </w:r>
          </w:p>
        </w:tc>
      </w:tr>
    </w:tbl>
    <w:p w:rsidR="00A21E69" w:rsidRPr="00811F8F" w:rsidRDefault="00811F8F" w:rsidP="00520466">
      <w:pPr>
        <w:pStyle w:val="Header"/>
        <w:widowControl w:val="0"/>
        <w:spacing w:before="240" w:after="120"/>
        <w:rPr>
          <w:rFonts w:eastAsia="Calibri" w:cstheme="minorHAnsi"/>
        </w:rPr>
      </w:pPr>
      <w:r w:rsidRPr="00811F8F">
        <w:rPr>
          <w:rFonts w:eastAsia="Calibri" w:cstheme="minorHAnsi"/>
        </w:rPr>
        <w:t xml:space="preserve">RSAI sends kudos to Iowa’s Legislature and the Governor for their </w:t>
      </w:r>
      <w:r w:rsidR="00875723" w:rsidRPr="00811F8F">
        <w:rPr>
          <w:rFonts w:eastAsia="Calibri" w:cstheme="minorHAnsi"/>
        </w:rPr>
        <w:t xml:space="preserve">2020 broadband investment and expansion structure in </w:t>
      </w:r>
      <w:r w:rsidR="00875723" w:rsidRPr="00811F8F">
        <w:rPr>
          <w:rFonts w:cstheme="minorHAnsi"/>
          <w:bCs/>
        </w:rPr>
        <w:t>SF 2400</w:t>
      </w:r>
      <w:r w:rsidR="00875723" w:rsidRPr="00811F8F">
        <w:rPr>
          <w:rFonts w:eastAsia="Calibri" w:cstheme="minorHAnsi"/>
        </w:rPr>
        <w:t>, which determine</w:t>
      </w:r>
      <w:r w:rsidRPr="00811F8F">
        <w:rPr>
          <w:rFonts w:eastAsia="Calibri" w:cstheme="minorHAnsi"/>
        </w:rPr>
        <w:t>d</w:t>
      </w:r>
      <w:r w:rsidR="00875723" w:rsidRPr="00811F8F">
        <w:rPr>
          <w:rFonts w:eastAsia="Calibri" w:cstheme="minorHAnsi"/>
        </w:rPr>
        <w:t xml:space="preserve"> areas in Iowa needing high</w:t>
      </w:r>
      <w:r w:rsidR="008E18F8">
        <w:rPr>
          <w:rFonts w:eastAsia="Calibri" w:cstheme="minorHAnsi"/>
        </w:rPr>
        <w:t>-</w:t>
      </w:r>
      <w:r w:rsidR="00875723" w:rsidRPr="00811F8F">
        <w:rPr>
          <w:rFonts w:eastAsia="Calibri" w:cstheme="minorHAnsi"/>
        </w:rPr>
        <w:t xml:space="preserve">speed Internet and set up a process for providing federal and potentially other resources and incentives to expand services. </w:t>
      </w:r>
      <w:r w:rsidRPr="00811F8F">
        <w:rPr>
          <w:rFonts w:eastAsia="Calibri" w:cstheme="minorHAnsi"/>
        </w:rPr>
        <w:t xml:space="preserve">Iowa leaders in 2021 continued the priority, with </w:t>
      </w:r>
      <w:hyperlink r:id="rId15" w:history="1">
        <w:r w:rsidR="00795842" w:rsidRPr="00811F8F">
          <w:rPr>
            <w:rStyle w:val="Hyperlink"/>
            <w:rFonts w:eastAsia="Calibri" w:cstheme="minorHAnsi"/>
            <w:b/>
            <w:bCs/>
          </w:rPr>
          <w:t>HF 848</w:t>
        </w:r>
      </w:hyperlink>
      <w:r w:rsidR="00795842" w:rsidRPr="00811F8F">
        <w:rPr>
          <w:rFonts w:eastAsia="Calibri" w:cstheme="minorHAnsi"/>
          <w:b/>
          <w:bCs/>
        </w:rPr>
        <w:t xml:space="preserve"> Broadband Grants</w:t>
      </w:r>
      <w:r w:rsidR="00520466" w:rsidRPr="00520466">
        <w:rPr>
          <w:rFonts w:eastAsia="Calibri" w:cstheme="minorHAnsi"/>
          <w:bCs/>
        </w:rPr>
        <w:t>, requiring</w:t>
      </w:r>
      <w:r w:rsidR="00AE4079" w:rsidRPr="00811F8F">
        <w:rPr>
          <w:rFonts w:eastAsia="Calibri" w:cstheme="minorHAnsi"/>
        </w:rPr>
        <w:t xml:space="preserve"> 20% of grants to be in hard-to-serve areas with no high</w:t>
      </w:r>
      <w:r w:rsidR="008E18F8">
        <w:rPr>
          <w:rFonts w:eastAsia="Calibri" w:cstheme="minorHAnsi"/>
        </w:rPr>
        <w:t>-</w:t>
      </w:r>
      <w:r w:rsidR="00AE4079" w:rsidRPr="00811F8F">
        <w:rPr>
          <w:rFonts w:eastAsia="Calibri" w:cstheme="minorHAnsi"/>
        </w:rPr>
        <w:t xml:space="preserve">speed providers and to meet speed criteria. </w:t>
      </w:r>
      <w:r w:rsidRPr="00811F8F">
        <w:rPr>
          <w:rFonts w:eastAsia="Calibri" w:cstheme="minorHAnsi"/>
        </w:rPr>
        <w:t>This bill was passed unanimously.</w:t>
      </w:r>
      <w:r w:rsidR="00DA04FF">
        <w:rPr>
          <w:rFonts w:eastAsia="Calibri" w:cstheme="minorHAnsi"/>
        </w:rPr>
        <w:t xml:space="preserve"> </w:t>
      </w:r>
      <w:r w:rsidRPr="00811F8F">
        <w:rPr>
          <w:rFonts w:eastAsia="Calibri" w:cstheme="minorHAnsi"/>
        </w:rPr>
        <w:t xml:space="preserve">Additionally, </w:t>
      </w:r>
      <w:hyperlink r:id="rId16" w:history="1">
        <w:r w:rsidR="00AE4079" w:rsidRPr="00811F8F">
          <w:rPr>
            <w:rStyle w:val="Hyperlink"/>
            <w:rFonts w:eastAsia="Calibri" w:cstheme="minorHAnsi"/>
            <w:b/>
            <w:bCs/>
          </w:rPr>
          <w:t>HF 867</w:t>
        </w:r>
      </w:hyperlink>
      <w:r w:rsidR="00AE4079" w:rsidRPr="00811F8F">
        <w:rPr>
          <w:rFonts w:eastAsia="Calibri" w:cstheme="minorHAnsi"/>
          <w:b/>
          <w:bCs/>
        </w:rPr>
        <w:t xml:space="preserve"> </w:t>
      </w:r>
      <w:r w:rsidR="00520466">
        <w:rPr>
          <w:rFonts w:eastAsia="Calibri" w:cstheme="minorHAnsi"/>
        </w:rPr>
        <w:t>appropriated</w:t>
      </w:r>
      <w:r w:rsidR="00AE4079" w:rsidRPr="00811F8F">
        <w:rPr>
          <w:rFonts w:eastAsia="Calibri" w:cstheme="minorHAnsi"/>
        </w:rPr>
        <w:t xml:space="preserve"> $100 million to the Empower Rural Iowa Broadband Grant Fund.</w:t>
      </w:r>
      <w:r w:rsidR="00DA04FF">
        <w:rPr>
          <w:rFonts w:eastAsia="Calibri" w:cstheme="minorHAnsi"/>
        </w:rPr>
        <w:t xml:space="preserve"> </w:t>
      </w:r>
      <w:r w:rsidR="00AE4079" w:rsidRPr="00811F8F">
        <w:rPr>
          <w:rFonts w:eastAsia="Calibri" w:cstheme="minorHAnsi"/>
        </w:rPr>
        <w:t>Due to the overwhelming need and interest in the program – OCIO received 178 applications requesting a total of $300 million</w:t>
      </w:r>
      <w:r w:rsidR="00520466">
        <w:rPr>
          <w:rFonts w:eastAsia="Calibri" w:cstheme="minorHAnsi"/>
        </w:rPr>
        <w:t xml:space="preserve"> in October, so the Governor directed</w:t>
      </w:r>
      <w:r w:rsidR="00AE4079" w:rsidRPr="00811F8F">
        <w:rPr>
          <w:rFonts w:eastAsia="Calibri" w:cstheme="minorHAnsi"/>
        </w:rPr>
        <w:t xml:space="preserve"> $200 million in federal funds to build </w:t>
      </w:r>
      <w:r>
        <w:rPr>
          <w:rFonts w:eastAsia="Calibri" w:cstheme="minorHAnsi"/>
        </w:rPr>
        <w:t>on the state</w:t>
      </w:r>
      <w:r w:rsidR="008E18F8">
        <w:rPr>
          <w:rFonts w:eastAsia="Calibri" w:cstheme="minorHAnsi"/>
        </w:rPr>
        <w:t>-</w:t>
      </w:r>
      <w:r>
        <w:rPr>
          <w:rFonts w:eastAsia="Calibri" w:cstheme="minorHAnsi"/>
        </w:rPr>
        <w:t>invested dollars.</w:t>
      </w:r>
      <w:r w:rsidR="00DA04FF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The</w:t>
      </w:r>
      <w:r w:rsidR="0052046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federal Infrastructure Act</w:t>
      </w:r>
      <w:r w:rsidR="00520466">
        <w:rPr>
          <w:rFonts w:eastAsia="Calibri" w:cstheme="minorHAnsi"/>
        </w:rPr>
        <w:t xml:space="preserve">, November 2021, </w:t>
      </w:r>
      <w:r>
        <w:rPr>
          <w:rFonts w:eastAsia="Calibri" w:cstheme="minorHAnsi"/>
        </w:rPr>
        <w:t>provided another influx of $500 million for broadband expansion to Iowa.</w:t>
      </w:r>
      <w:r w:rsidR="00F84DA0">
        <w:rPr>
          <w:rFonts w:eastAsia="Calibri" w:cstheme="minorHAnsi"/>
        </w:rPr>
        <w:t xml:space="preserve"> </w:t>
      </w:r>
    </w:p>
    <w:p w:rsidR="00875723" w:rsidRPr="00875723" w:rsidRDefault="00811F8F" w:rsidP="00520466">
      <w:pPr>
        <w:pStyle w:val="Header"/>
        <w:widowControl w:val="0"/>
        <w:spacing w:after="120"/>
        <w:rPr>
          <w:rFonts w:eastAsia="Calibri" w:cstheme="minorHAnsi"/>
        </w:rPr>
      </w:pPr>
      <w:r>
        <w:rPr>
          <w:rFonts w:eastAsia="Calibri" w:cstheme="minorHAnsi"/>
        </w:rPr>
        <w:t>RSAI is encouraged by the energy and investment at both the state and federal level to connect all Iowans to high-speed, affordable Internet.</w:t>
      </w:r>
      <w:r w:rsidR="00DA04FF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RSAI members at the annual meeting, Oct. 26, 2021, affirmed a continued priority of access high-speed Internet</w:t>
      </w:r>
      <w:r w:rsidR="00277C0F">
        <w:rPr>
          <w:rFonts w:eastAsia="Calibri" w:cstheme="minorHAnsi"/>
        </w:rPr>
        <w:t xml:space="preserve"> that is affordable, to support education for students, connections and continuous learning for staff, and connect rural Iowans to health and workforce services necessary for our quality of life.</w:t>
      </w:r>
      <w:r w:rsidR="00DA04FF">
        <w:rPr>
          <w:rFonts w:eastAsia="Calibri" w:cstheme="minorHAnsi"/>
        </w:rPr>
        <w:t xml:space="preserve"> </w:t>
      </w:r>
    </w:p>
    <w:p w:rsidR="003B6AE5" w:rsidRPr="00875723" w:rsidRDefault="003B6AE5" w:rsidP="00875723">
      <w:pPr>
        <w:tabs>
          <w:tab w:val="left" w:pos="912"/>
        </w:tabs>
        <w:spacing w:after="0" w:line="240" w:lineRule="auto"/>
        <w:rPr>
          <w:rFonts w:eastAsia="Calibri" w:cstheme="minorHAnsi"/>
          <w:b/>
          <w:color w:val="000000" w:themeColor="text1"/>
        </w:rPr>
      </w:pPr>
    </w:p>
    <w:p w:rsidR="00875723" w:rsidRPr="00520466" w:rsidRDefault="00875723" w:rsidP="0087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eastAsia="Times New Roman" w:cstheme="minorHAnsi"/>
          <w:color w:val="000000"/>
        </w:rPr>
      </w:pPr>
      <w:r w:rsidRPr="00520466">
        <w:rPr>
          <w:rFonts w:eastAsia="Times New Roman" w:cstheme="minorHAnsi"/>
          <w:b/>
          <w:color w:val="000000"/>
        </w:rPr>
        <w:t>Internet Connectivity and Access:</w:t>
      </w:r>
      <w:r w:rsidRPr="00520466">
        <w:rPr>
          <w:rFonts w:eastAsia="Times New Roman" w:cstheme="minorHAnsi"/>
          <w:color w:val="000000"/>
        </w:rPr>
        <w:t xml:space="preserve"> expanded access to high-speed Internet for all Iowans including incentives, investments, and creative solutions to close the technology gap for students, businesses and community members in rural Iowa. Low income should not be a barrier to internet access.</w:t>
      </w:r>
    </w:p>
    <w:p w:rsidR="00545867" w:rsidRPr="00175D09" w:rsidRDefault="00545867" w:rsidP="00F47E66">
      <w:pPr>
        <w:spacing w:after="120" w:line="240" w:lineRule="auto"/>
        <w:contextualSpacing/>
        <w:rPr>
          <w:rFonts w:cstheme="minorHAnsi"/>
          <w:sz w:val="32"/>
          <w:szCs w:val="24"/>
        </w:rPr>
      </w:pPr>
    </w:p>
    <w:sectPr w:rsidR="00545867" w:rsidRPr="00175D09" w:rsidSect="00DA04FF">
      <w:headerReference w:type="default" r:id="rId17"/>
      <w:headerReference w:type="first" r:id="rId18"/>
      <w:footerReference w:type="first" r:id="rId19"/>
      <w:type w:val="continuous"/>
      <w:pgSz w:w="12240" w:h="15840" w:code="1"/>
      <w:pgMar w:top="1267" w:right="1080" w:bottom="720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06" w:rsidRDefault="00E07A06" w:rsidP="00636F64">
      <w:pPr>
        <w:spacing w:after="0" w:line="240" w:lineRule="auto"/>
      </w:pPr>
      <w:r>
        <w:separator/>
      </w:r>
    </w:p>
  </w:endnote>
  <w:endnote w:type="continuationSeparator" w:id="0">
    <w:p w:rsidR="00E07A06" w:rsidRDefault="00E07A06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4FF" w:rsidRPr="00DA04FF" w:rsidRDefault="00DA04FF" w:rsidP="00DA04FF">
        <w:pPr>
          <w:pStyle w:val="Footer"/>
          <w:jc w:val="center"/>
          <w:rPr>
            <w:sz w:val="20"/>
            <w:szCs w:val="20"/>
          </w:rPr>
        </w:pPr>
        <w:r w:rsidRPr="006E7B2E">
          <w:rPr>
            <w:sz w:val="20"/>
            <w:szCs w:val="20"/>
          </w:rPr>
          <w:t>RSAI | 1201 63</w:t>
        </w:r>
        <w:r w:rsidRPr="006E7B2E">
          <w:rPr>
            <w:sz w:val="20"/>
            <w:szCs w:val="20"/>
            <w:vertAlign w:val="superscript"/>
          </w:rPr>
          <w:t>rd</w:t>
        </w:r>
        <w:r w:rsidRPr="006E7B2E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6E7B2E">
            <w:rPr>
              <w:rStyle w:val="Hyperlink"/>
              <w:sz w:val="20"/>
              <w:szCs w:val="20"/>
            </w:rPr>
            <w:t>www.rsaia.org</w:t>
          </w:r>
        </w:hyperlink>
        <w:r w:rsidRPr="006E7B2E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6E7B2E">
            <w:rPr>
              <w:rStyle w:val="Hyperlink"/>
              <w:sz w:val="20"/>
              <w:szCs w:val="20"/>
            </w:rPr>
            <w:t>margaret.buckton@rsaia.org</w:t>
          </w:r>
        </w:hyperlink>
        <w:r w:rsidRPr="006E7B2E"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06" w:rsidRDefault="00E07A06" w:rsidP="00636F64">
      <w:pPr>
        <w:spacing w:after="0" w:line="240" w:lineRule="auto"/>
      </w:pPr>
      <w:r>
        <w:separator/>
      </w:r>
    </w:p>
  </w:footnote>
  <w:footnote w:type="continuationSeparator" w:id="0">
    <w:p w:rsidR="00E07A06" w:rsidRDefault="00E07A06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E5" w:rsidRPr="00C11EA4" w:rsidRDefault="003B6AE5" w:rsidP="003B6AE5">
    <w:pPr>
      <w:pStyle w:val="Header"/>
      <w:tabs>
        <w:tab w:val="clear" w:pos="9360"/>
        <w:tab w:val="right" w:pos="9900"/>
      </w:tabs>
      <w:rPr>
        <w:i/>
        <w:sz w:val="20"/>
        <w:szCs w:val="20"/>
      </w:rPr>
    </w:pPr>
    <w:r w:rsidRPr="00C11EA4">
      <w:rPr>
        <w:i/>
        <w:sz w:val="20"/>
        <w:szCs w:val="20"/>
      </w:rPr>
      <w:t>RSAI</w:t>
    </w:r>
    <w:r>
      <w:rPr>
        <w:i/>
        <w:sz w:val="20"/>
        <w:szCs w:val="20"/>
      </w:rPr>
      <w:t xml:space="preserve"> 202</w:t>
    </w:r>
    <w:r w:rsidR="00965E1D">
      <w:rPr>
        <w:i/>
        <w:sz w:val="20"/>
        <w:szCs w:val="20"/>
      </w:rPr>
      <w:t>2</w:t>
    </w:r>
    <w:r>
      <w:rPr>
        <w:i/>
        <w:sz w:val="20"/>
        <w:szCs w:val="20"/>
      </w:rPr>
      <w:t xml:space="preserve"> Legislative Priority:</w:t>
    </w:r>
    <w:r>
      <w:rPr>
        <w:i/>
        <w:sz w:val="20"/>
        <w:szCs w:val="20"/>
      </w:rPr>
      <w:tab/>
    </w:r>
    <w:r w:rsidRPr="00C11EA4">
      <w:rPr>
        <w:i/>
        <w:sz w:val="20"/>
        <w:szCs w:val="20"/>
      </w:rPr>
      <w:tab/>
      <w:t>Page</w:t>
    </w:r>
    <w:r w:rsidR="008A360C">
      <w:rPr>
        <w:i/>
        <w:sz w:val="20"/>
        <w:szCs w:val="20"/>
      </w:rPr>
      <w:t xml:space="preserve"> </w:t>
    </w:r>
    <w:sdt>
      <w:sdtPr>
        <w:rPr>
          <w:i/>
          <w:sz w:val="20"/>
          <w:szCs w:val="20"/>
        </w:rPr>
        <w:id w:val="-12493475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11EA4">
          <w:rPr>
            <w:i/>
            <w:sz w:val="20"/>
            <w:szCs w:val="20"/>
          </w:rPr>
          <w:fldChar w:fldCharType="begin"/>
        </w:r>
        <w:r w:rsidRPr="00C11EA4">
          <w:rPr>
            <w:i/>
            <w:sz w:val="20"/>
            <w:szCs w:val="20"/>
          </w:rPr>
          <w:instrText xml:space="preserve"> PAGE   \* MERGEFORMAT </w:instrText>
        </w:r>
        <w:r w:rsidRPr="00C11EA4">
          <w:rPr>
            <w:i/>
            <w:sz w:val="20"/>
            <w:szCs w:val="20"/>
          </w:rPr>
          <w:fldChar w:fldCharType="separate"/>
        </w:r>
        <w:r w:rsidR="00DA04FF">
          <w:rPr>
            <w:i/>
            <w:noProof/>
            <w:sz w:val="20"/>
            <w:szCs w:val="20"/>
          </w:rPr>
          <w:t>2</w:t>
        </w:r>
        <w:r w:rsidRPr="00C11EA4">
          <w:rPr>
            <w:i/>
            <w:noProof/>
            <w:sz w:val="20"/>
            <w:szCs w:val="20"/>
          </w:rPr>
          <w:fldChar w:fldCharType="end"/>
        </w:r>
        <w:r>
          <w:rPr>
            <w:i/>
            <w:noProof/>
            <w:sz w:val="20"/>
            <w:szCs w:val="20"/>
          </w:rPr>
          <w:br/>
        </w:r>
        <w:r w:rsidR="00520466">
          <w:rPr>
            <w:i/>
            <w:sz w:val="20"/>
            <w:szCs w:val="20"/>
          </w:rPr>
          <w:t>Broadband Internet Access</w:t>
        </w:r>
      </w:sdtContent>
    </w:sdt>
  </w:p>
  <w:p w:rsidR="003B6AE5" w:rsidRDefault="003B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FF" w:rsidRDefault="00DA04FF" w:rsidP="00DA04FF">
    <w:r>
      <w:rPr>
        <w:noProof/>
      </w:rPr>
      <w:drawing>
        <wp:anchor distT="0" distB="0" distL="114300" distR="114300" simplePos="0" relativeHeight="251659264" behindDoc="1" locked="0" layoutInCell="1" allowOverlap="1" wp14:anchorId="24A10F20" wp14:editId="51CE111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73AB93" wp14:editId="158A1406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04FF" w:rsidRPr="00F754DF" w:rsidRDefault="00DA04FF" w:rsidP="00DA04FF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73AB93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DA04FF" w:rsidRPr="00F754DF" w:rsidRDefault="00DA04FF" w:rsidP="00DA04FF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2EFA0D" wp14:editId="3E3BB6B0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5782E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C626B" wp14:editId="08B86C9B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80D75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2B1F99" wp14:editId="5F67E747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04FF" w:rsidRDefault="00DA04FF" w:rsidP="00DA04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B1F99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DA04FF" w:rsidRDefault="00DA04FF" w:rsidP="00DA04F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DA04FF" w:rsidRPr="00DA04FF" w:rsidRDefault="00DA04FF" w:rsidP="00DA0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5pt;height:15pt;visibility:visible;mso-wrap-style:square" o:bullet="t">
        <v:imagedata r:id="rId1" o:title=""/>
      </v:shape>
    </w:pict>
  </w:numPicBullet>
  <w:numPicBullet w:numPicBulletId="1">
    <w:pict>
      <v:shape id="_x0000_i1039" type="#_x0000_t75" style="width:18pt;height:12.6pt;visibility:visible;mso-wrap-style:square" o:bullet="t">
        <v:imagedata r:id="rId2" o:title=""/>
      </v:shape>
    </w:pict>
  </w:numPicBullet>
  <w:numPicBullet w:numPicBulletId="2">
    <w:pict>
      <v:shape id="_x0000_i1040" type="#_x0000_t75" style="width:13.5pt;height:12.6pt;visibility:visible;mso-wrap-style:square" o:bullet="t">
        <v:imagedata r:id="rId3" o:title=""/>
      </v:shape>
    </w:pict>
  </w:numPicBullet>
  <w:abstractNum w:abstractNumId="0" w15:restartNumberingAfterBreak="0">
    <w:nsid w:val="00D46A2E"/>
    <w:multiLevelType w:val="hybridMultilevel"/>
    <w:tmpl w:val="85A0C714"/>
    <w:lvl w:ilvl="0" w:tplc="C44E9714">
      <w:start w:val="2021"/>
      <w:numFmt w:val="decimal"/>
      <w:lvlText w:val="%1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813"/>
    <w:multiLevelType w:val="hybridMultilevel"/>
    <w:tmpl w:val="993AC60C"/>
    <w:lvl w:ilvl="0" w:tplc="5DD082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EC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A6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2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A2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6D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AB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06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2AB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7707"/>
    <w:multiLevelType w:val="hybridMultilevel"/>
    <w:tmpl w:val="41909280"/>
    <w:lvl w:ilvl="0" w:tplc="E5627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01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A8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4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60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E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8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C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39BC"/>
    <w:multiLevelType w:val="hybridMultilevel"/>
    <w:tmpl w:val="588ED92C"/>
    <w:lvl w:ilvl="0" w:tplc="FC40B22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4BA10D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4CE9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F8A206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0A8F5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2D645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32AAD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026778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A603DA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B687FE1"/>
    <w:multiLevelType w:val="hybridMultilevel"/>
    <w:tmpl w:val="44BC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16A56"/>
    <w:multiLevelType w:val="multilevel"/>
    <w:tmpl w:val="7E6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F7559"/>
    <w:multiLevelType w:val="hybridMultilevel"/>
    <w:tmpl w:val="584838B4"/>
    <w:lvl w:ilvl="0" w:tplc="B54242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2A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6C2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6C9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4C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0E5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6CA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29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8EE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E502F0"/>
    <w:multiLevelType w:val="hybridMultilevel"/>
    <w:tmpl w:val="B01461CA"/>
    <w:lvl w:ilvl="0" w:tplc="1A0C9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68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E73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4B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0B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548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48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45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6FB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75480D"/>
    <w:multiLevelType w:val="hybridMultilevel"/>
    <w:tmpl w:val="DBAAB31C"/>
    <w:lvl w:ilvl="0" w:tplc="E17E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EB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44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A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CF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44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A3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E6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20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A22BFD"/>
    <w:multiLevelType w:val="hybridMultilevel"/>
    <w:tmpl w:val="ABF0A986"/>
    <w:lvl w:ilvl="0" w:tplc="F8883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EBE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2E9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C0D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AC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82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C61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C277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8E2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34D1"/>
    <w:multiLevelType w:val="multilevel"/>
    <w:tmpl w:val="DA244DDA"/>
    <w:lvl w:ilvl="0">
      <w:start w:val="7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591880"/>
    <w:multiLevelType w:val="hybridMultilevel"/>
    <w:tmpl w:val="85742C62"/>
    <w:lvl w:ilvl="0" w:tplc="8442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E9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1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A6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0D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E6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4C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A0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3544"/>
    <w:multiLevelType w:val="hybridMultilevel"/>
    <w:tmpl w:val="4AE6A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9526C"/>
    <w:multiLevelType w:val="hybridMultilevel"/>
    <w:tmpl w:val="637AA698"/>
    <w:lvl w:ilvl="0" w:tplc="AB5C8A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04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AC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F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24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D29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41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C7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E04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5"/>
  </w:num>
  <w:num w:numId="9">
    <w:abstractNumId w:val="6"/>
  </w:num>
  <w:num w:numId="10">
    <w:abstractNumId w:val="17"/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  <w:num w:numId="15">
    <w:abstractNumId w:val="0"/>
  </w:num>
  <w:num w:numId="16">
    <w:abstractNumId w:val="10"/>
  </w:num>
  <w:num w:numId="17">
    <w:abstractNumId w:val="1"/>
  </w:num>
  <w:num w:numId="18">
    <w:abstractNumId w:val="14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MrM0sDA2MrGwNDVW0lEKTi0uzszPAykwqQUAcRqVECwAAAA="/>
  </w:docVars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361F"/>
    <w:rsid w:val="000445D4"/>
    <w:rsid w:val="00050738"/>
    <w:rsid w:val="0005379B"/>
    <w:rsid w:val="00055926"/>
    <w:rsid w:val="00055C76"/>
    <w:rsid w:val="00056991"/>
    <w:rsid w:val="00061C17"/>
    <w:rsid w:val="0006224E"/>
    <w:rsid w:val="0008079F"/>
    <w:rsid w:val="00082E61"/>
    <w:rsid w:val="00084388"/>
    <w:rsid w:val="000A6FD3"/>
    <w:rsid w:val="000C1879"/>
    <w:rsid w:val="000C58C0"/>
    <w:rsid w:val="000C617F"/>
    <w:rsid w:val="000D3E7F"/>
    <w:rsid w:val="000D48D2"/>
    <w:rsid w:val="000E0BA1"/>
    <w:rsid w:val="000E2481"/>
    <w:rsid w:val="000E5BAE"/>
    <w:rsid w:val="000F5482"/>
    <w:rsid w:val="000F7490"/>
    <w:rsid w:val="001022AC"/>
    <w:rsid w:val="001026E8"/>
    <w:rsid w:val="001068E1"/>
    <w:rsid w:val="0010744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75D09"/>
    <w:rsid w:val="00187146"/>
    <w:rsid w:val="001A5DD9"/>
    <w:rsid w:val="001B46E2"/>
    <w:rsid w:val="001C69A5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23D7"/>
    <w:rsid w:val="00256E48"/>
    <w:rsid w:val="00256EA4"/>
    <w:rsid w:val="00271073"/>
    <w:rsid w:val="002764DB"/>
    <w:rsid w:val="00277C0F"/>
    <w:rsid w:val="00282ADF"/>
    <w:rsid w:val="00290F1D"/>
    <w:rsid w:val="00295CD0"/>
    <w:rsid w:val="002A305A"/>
    <w:rsid w:val="002A5125"/>
    <w:rsid w:val="002A732B"/>
    <w:rsid w:val="002C7044"/>
    <w:rsid w:val="002D0F2B"/>
    <w:rsid w:val="002D2BD2"/>
    <w:rsid w:val="002D3D46"/>
    <w:rsid w:val="002D43B3"/>
    <w:rsid w:val="002D6BF4"/>
    <w:rsid w:val="002E304C"/>
    <w:rsid w:val="002F30ED"/>
    <w:rsid w:val="0030077D"/>
    <w:rsid w:val="00301F15"/>
    <w:rsid w:val="00305A4F"/>
    <w:rsid w:val="003107B3"/>
    <w:rsid w:val="00311CE6"/>
    <w:rsid w:val="00316CFF"/>
    <w:rsid w:val="00322B0A"/>
    <w:rsid w:val="00342409"/>
    <w:rsid w:val="0034576D"/>
    <w:rsid w:val="00356C1C"/>
    <w:rsid w:val="00361A1E"/>
    <w:rsid w:val="003640C6"/>
    <w:rsid w:val="00382EE6"/>
    <w:rsid w:val="00386905"/>
    <w:rsid w:val="00390B9F"/>
    <w:rsid w:val="003924BE"/>
    <w:rsid w:val="00394B76"/>
    <w:rsid w:val="003A32A9"/>
    <w:rsid w:val="003A35B2"/>
    <w:rsid w:val="003A5D3F"/>
    <w:rsid w:val="003B29EE"/>
    <w:rsid w:val="003B58BF"/>
    <w:rsid w:val="003B673D"/>
    <w:rsid w:val="003B6AE5"/>
    <w:rsid w:val="003C35FE"/>
    <w:rsid w:val="003C71F2"/>
    <w:rsid w:val="003D627C"/>
    <w:rsid w:val="003E0459"/>
    <w:rsid w:val="003E68B2"/>
    <w:rsid w:val="003F0098"/>
    <w:rsid w:val="003F20F0"/>
    <w:rsid w:val="003F3273"/>
    <w:rsid w:val="003F7F6C"/>
    <w:rsid w:val="00416B4C"/>
    <w:rsid w:val="00416D91"/>
    <w:rsid w:val="00420F80"/>
    <w:rsid w:val="00464D28"/>
    <w:rsid w:val="00496686"/>
    <w:rsid w:val="004A1675"/>
    <w:rsid w:val="004A66E6"/>
    <w:rsid w:val="004B1289"/>
    <w:rsid w:val="004B787E"/>
    <w:rsid w:val="004C1220"/>
    <w:rsid w:val="004C254D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20466"/>
    <w:rsid w:val="00527BA5"/>
    <w:rsid w:val="0053222E"/>
    <w:rsid w:val="00540BF8"/>
    <w:rsid w:val="00545867"/>
    <w:rsid w:val="00547F26"/>
    <w:rsid w:val="00552D8E"/>
    <w:rsid w:val="00554CF5"/>
    <w:rsid w:val="0056309F"/>
    <w:rsid w:val="005637F7"/>
    <w:rsid w:val="005770C4"/>
    <w:rsid w:val="00585C8E"/>
    <w:rsid w:val="00587800"/>
    <w:rsid w:val="00597130"/>
    <w:rsid w:val="005A069E"/>
    <w:rsid w:val="005A584A"/>
    <w:rsid w:val="005B6429"/>
    <w:rsid w:val="005C0800"/>
    <w:rsid w:val="005C6EE0"/>
    <w:rsid w:val="005D1953"/>
    <w:rsid w:val="005D44AC"/>
    <w:rsid w:val="005E1478"/>
    <w:rsid w:val="005E4650"/>
    <w:rsid w:val="005E4EA2"/>
    <w:rsid w:val="005E6B19"/>
    <w:rsid w:val="00604404"/>
    <w:rsid w:val="00614EF5"/>
    <w:rsid w:val="00615F2C"/>
    <w:rsid w:val="006214DE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9339D"/>
    <w:rsid w:val="006A6E66"/>
    <w:rsid w:val="006A7DD0"/>
    <w:rsid w:val="006C6201"/>
    <w:rsid w:val="006D63CE"/>
    <w:rsid w:val="007004E2"/>
    <w:rsid w:val="007126E9"/>
    <w:rsid w:val="007535F1"/>
    <w:rsid w:val="0075465F"/>
    <w:rsid w:val="0075723A"/>
    <w:rsid w:val="00764D14"/>
    <w:rsid w:val="00772FAD"/>
    <w:rsid w:val="0077341D"/>
    <w:rsid w:val="0077666B"/>
    <w:rsid w:val="00787B8F"/>
    <w:rsid w:val="0079462F"/>
    <w:rsid w:val="00795842"/>
    <w:rsid w:val="00796A2E"/>
    <w:rsid w:val="007A1844"/>
    <w:rsid w:val="007A544C"/>
    <w:rsid w:val="007A66E6"/>
    <w:rsid w:val="007B08CF"/>
    <w:rsid w:val="007B1B7E"/>
    <w:rsid w:val="007B4587"/>
    <w:rsid w:val="007B6D42"/>
    <w:rsid w:val="007C4641"/>
    <w:rsid w:val="007C47EA"/>
    <w:rsid w:val="007D5DA7"/>
    <w:rsid w:val="007E25D9"/>
    <w:rsid w:val="007F2E42"/>
    <w:rsid w:val="007F43AF"/>
    <w:rsid w:val="007F50D7"/>
    <w:rsid w:val="00805C61"/>
    <w:rsid w:val="00807746"/>
    <w:rsid w:val="00811F8F"/>
    <w:rsid w:val="00814254"/>
    <w:rsid w:val="00815DCB"/>
    <w:rsid w:val="008225DB"/>
    <w:rsid w:val="008248A6"/>
    <w:rsid w:val="00831694"/>
    <w:rsid w:val="00831909"/>
    <w:rsid w:val="00843769"/>
    <w:rsid w:val="00850C39"/>
    <w:rsid w:val="00855DF1"/>
    <w:rsid w:val="00857545"/>
    <w:rsid w:val="00861DAA"/>
    <w:rsid w:val="008627D7"/>
    <w:rsid w:val="008746E3"/>
    <w:rsid w:val="00875723"/>
    <w:rsid w:val="00876B0A"/>
    <w:rsid w:val="00895D8F"/>
    <w:rsid w:val="008A2A31"/>
    <w:rsid w:val="008A360C"/>
    <w:rsid w:val="008A7FBE"/>
    <w:rsid w:val="008B4AA4"/>
    <w:rsid w:val="008E18F8"/>
    <w:rsid w:val="008F3693"/>
    <w:rsid w:val="00900395"/>
    <w:rsid w:val="009100D8"/>
    <w:rsid w:val="00912BE2"/>
    <w:rsid w:val="009412DC"/>
    <w:rsid w:val="00946764"/>
    <w:rsid w:val="009470EE"/>
    <w:rsid w:val="00950492"/>
    <w:rsid w:val="009508DB"/>
    <w:rsid w:val="00953651"/>
    <w:rsid w:val="009609BC"/>
    <w:rsid w:val="00965E1D"/>
    <w:rsid w:val="0097360F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9F7876"/>
    <w:rsid w:val="00A023B6"/>
    <w:rsid w:val="00A0277B"/>
    <w:rsid w:val="00A06E74"/>
    <w:rsid w:val="00A073C5"/>
    <w:rsid w:val="00A17D3B"/>
    <w:rsid w:val="00A21E69"/>
    <w:rsid w:val="00A233B8"/>
    <w:rsid w:val="00A24CB0"/>
    <w:rsid w:val="00A2504D"/>
    <w:rsid w:val="00A26874"/>
    <w:rsid w:val="00A26C53"/>
    <w:rsid w:val="00A37FA4"/>
    <w:rsid w:val="00A449CE"/>
    <w:rsid w:val="00A45D41"/>
    <w:rsid w:val="00A5581E"/>
    <w:rsid w:val="00A62C3E"/>
    <w:rsid w:val="00A630BC"/>
    <w:rsid w:val="00A64BD3"/>
    <w:rsid w:val="00A67AB0"/>
    <w:rsid w:val="00A73A8F"/>
    <w:rsid w:val="00A741FD"/>
    <w:rsid w:val="00A8550F"/>
    <w:rsid w:val="00A92EFF"/>
    <w:rsid w:val="00AA2C25"/>
    <w:rsid w:val="00AB00C7"/>
    <w:rsid w:val="00AB3D72"/>
    <w:rsid w:val="00AB69A5"/>
    <w:rsid w:val="00AC6E7D"/>
    <w:rsid w:val="00AC7AD2"/>
    <w:rsid w:val="00AD38F8"/>
    <w:rsid w:val="00AD5A52"/>
    <w:rsid w:val="00AD6787"/>
    <w:rsid w:val="00AE2330"/>
    <w:rsid w:val="00AE4079"/>
    <w:rsid w:val="00AE45F6"/>
    <w:rsid w:val="00AE489C"/>
    <w:rsid w:val="00AF0B5E"/>
    <w:rsid w:val="00AF53F6"/>
    <w:rsid w:val="00B10D12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614"/>
    <w:rsid w:val="00B77BA6"/>
    <w:rsid w:val="00B803E8"/>
    <w:rsid w:val="00B82969"/>
    <w:rsid w:val="00BA345E"/>
    <w:rsid w:val="00BA3619"/>
    <w:rsid w:val="00BD2B4A"/>
    <w:rsid w:val="00BD5DC3"/>
    <w:rsid w:val="00BE5E78"/>
    <w:rsid w:val="00BE78AC"/>
    <w:rsid w:val="00BF14BA"/>
    <w:rsid w:val="00BF5E23"/>
    <w:rsid w:val="00C01A78"/>
    <w:rsid w:val="00C0630A"/>
    <w:rsid w:val="00C06B5E"/>
    <w:rsid w:val="00C07744"/>
    <w:rsid w:val="00C10325"/>
    <w:rsid w:val="00C121A1"/>
    <w:rsid w:val="00C17B49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68C8"/>
    <w:rsid w:val="00CC1987"/>
    <w:rsid w:val="00CC2CBF"/>
    <w:rsid w:val="00CD0442"/>
    <w:rsid w:val="00CE04E6"/>
    <w:rsid w:val="00CE48BB"/>
    <w:rsid w:val="00CE6F7B"/>
    <w:rsid w:val="00CE7951"/>
    <w:rsid w:val="00CF4FFF"/>
    <w:rsid w:val="00D20D41"/>
    <w:rsid w:val="00D23F70"/>
    <w:rsid w:val="00D34B7D"/>
    <w:rsid w:val="00D375F8"/>
    <w:rsid w:val="00D46008"/>
    <w:rsid w:val="00D47AA9"/>
    <w:rsid w:val="00D558AC"/>
    <w:rsid w:val="00D641B5"/>
    <w:rsid w:val="00D67DBB"/>
    <w:rsid w:val="00D67F38"/>
    <w:rsid w:val="00D77EC5"/>
    <w:rsid w:val="00D84846"/>
    <w:rsid w:val="00D9379A"/>
    <w:rsid w:val="00DA04FF"/>
    <w:rsid w:val="00DA1EAA"/>
    <w:rsid w:val="00DD08EC"/>
    <w:rsid w:val="00DD335F"/>
    <w:rsid w:val="00DD7DDD"/>
    <w:rsid w:val="00DE28C0"/>
    <w:rsid w:val="00DE3B84"/>
    <w:rsid w:val="00DE4D9F"/>
    <w:rsid w:val="00DE6EE9"/>
    <w:rsid w:val="00DF0DD8"/>
    <w:rsid w:val="00E00707"/>
    <w:rsid w:val="00E0448B"/>
    <w:rsid w:val="00E07A06"/>
    <w:rsid w:val="00E07A45"/>
    <w:rsid w:val="00E1125C"/>
    <w:rsid w:val="00E310A1"/>
    <w:rsid w:val="00E40FED"/>
    <w:rsid w:val="00E67A71"/>
    <w:rsid w:val="00E7538C"/>
    <w:rsid w:val="00E86622"/>
    <w:rsid w:val="00E92AE9"/>
    <w:rsid w:val="00E94834"/>
    <w:rsid w:val="00E964DB"/>
    <w:rsid w:val="00EA41DB"/>
    <w:rsid w:val="00EB56C7"/>
    <w:rsid w:val="00ED3E07"/>
    <w:rsid w:val="00EE6C8B"/>
    <w:rsid w:val="00EF55EC"/>
    <w:rsid w:val="00EF63E1"/>
    <w:rsid w:val="00EF6752"/>
    <w:rsid w:val="00F00114"/>
    <w:rsid w:val="00F05FC9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0177"/>
    <w:rsid w:val="00F4265E"/>
    <w:rsid w:val="00F45500"/>
    <w:rsid w:val="00F47E66"/>
    <w:rsid w:val="00F5211B"/>
    <w:rsid w:val="00F52E42"/>
    <w:rsid w:val="00F5754A"/>
    <w:rsid w:val="00F60716"/>
    <w:rsid w:val="00F61C63"/>
    <w:rsid w:val="00F75588"/>
    <w:rsid w:val="00F77EF9"/>
    <w:rsid w:val="00F84DA0"/>
    <w:rsid w:val="00F921BF"/>
    <w:rsid w:val="00F92784"/>
    <w:rsid w:val="00FA0785"/>
    <w:rsid w:val="00FA089F"/>
    <w:rsid w:val="00FA4C7F"/>
    <w:rsid w:val="00FA4DC6"/>
    <w:rsid w:val="00FA6915"/>
    <w:rsid w:val="00FB283B"/>
    <w:rsid w:val="00FC42C0"/>
    <w:rsid w:val="00FC55E8"/>
    <w:rsid w:val="00FC6B8D"/>
    <w:rsid w:val="00FC6D8E"/>
    <w:rsid w:val="00FE3C02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78F3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7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customStyle="1" w:styleId="Heading1Char">
    <w:name w:val="Heading 1 Char"/>
    <w:basedOn w:val="DefaultParagraphFont"/>
    <w:link w:val="Heading1"/>
    <w:uiPriority w:val="9"/>
    <w:rsid w:val="005770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A360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57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7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9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3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bandnow.com/research/best-states-with-internet-coverage-and-speed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owacapitaldispatch.com/2020/04/13/pandemic-highlights-gaps-in-internet-access/?eType=EmailBlastContent&amp;eId=53042f8e-aca3-4bd5-bfca-5aea45f35e1c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egis.iowa.gov/legislation/BillBook?ga=89&amp;ba=hf86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www.legis.iowa.gov/legislation/BillBook?ga=89&amp;ba=hf848" TargetMode="Externa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5</cp:revision>
  <cp:lastPrinted>2016-11-02T18:37:00Z</cp:lastPrinted>
  <dcterms:created xsi:type="dcterms:W3CDTF">2021-12-02T19:38:00Z</dcterms:created>
  <dcterms:modified xsi:type="dcterms:W3CDTF">2021-12-02T19:42:00Z</dcterms:modified>
</cp:coreProperties>
</file>