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FA5ED" w14:textId="77777777" w:rsidR="00547A7E" w:rsidRDefault="00E707A8" w:rsidP="00E707A8">
      <w:pPr>
        <w:jc w:val="center"/>
        <w:rPr>
          <w:b/>
        </w:rPr>
      </w:pPr>
      <w:bookmarkStart w:id="0" w:name="_GoBack"/>
      <w:bookmarkEnd w:id="0"/>
      <w:r w:rsidRPr="00E707A8">
        <w:rPr>
          <w:b/>
        </w:rPr>
        <w:t>Mirfield Town Council</w:t>
      </w:r>
      <w:r w:rsidR="001A1E3F">
        <w:rPr>
          <w:b/>
        </w:rPr>
        <w:t xml:space="preserve"> Sub Group</w:t>
      </w:r>
      <w:r w:rsidRPr="00E707A8">
        <w:rPr>
          <w:b/>
        </w:rPr>
        <w:t xml:space="preserve"> Neighbourhood Planning Meeting</w:t>
      </w:r>
      <w:r w:rsidR="00050D71">
        <w:rPr>
          <w:b/>
        </w:rPr>
        <w:t xml:space="preserve"> </w:t>
      </w:r>
    </w:p>
    <w:p w14:paraId="683D3FCD" w14:textId="77777777" w:rsidR="00E707A8" w:rsidRDefault="00E707A8" w:rsidP="00E707A8">
      <w:pPr>
        <w:jc w:val="center"/>
        <w:rPr>
          <w:b/>
        </w:rPr>
      </w:pPr>
    </w:p>
    <w:p w14:paraId="10C578FD" w14:textId="77777777" w:rsidR="00E707A8" w:rsidRDefault="00BD3D95" w:rsidP="00E707A8">
      <w:pPr>
        <w:jc w:val="center"/>
        <w:rPr>
          <w:b/>
        </w:rPr>
      </w:pPr>
      <w:r>
        <w:rPr>
          <w:b/>
        </w:rPr>
        <w:t>Tuesday</w:t>
      </w:r>
      <w:r w:rsidR="00E707A8">
        <w:rPr>
          <w:b/>
        </w:rPr>
        <w:t xml:space="preserve"> 27</w:t>
      </w:r>
      <w:r w:rsidR="00E707A8" w:rsidRPr="00E707A8">
        <w:rPr>
          <w:b/>
          <w:vertAlign w:val="superscript"/>
        </w:rPr>
        <w:t>th</w:t>
      </w:r>
      <w:r w:rsidR="00E707A8">
        <w:rPr>
          <w:b/>
        </w:rPr>
        <w:t xml:space="preserve"> </w:t>
      </w:r>
      <w:r w:rsidR="001E5E5C">
        <w:rPr>
          <w:b/>
        </w:rPr>
        <w:t xml:space="preserve">March </w:t>
      </w:r>
      <w:r w:rsidR="00E707A8">
        <w:rPr>
          <w:b/>
        </w:rPr>
        <w:t>201</w:t>
      </w:r>
      <w:r>
        <w:rPr>
          <w:b/>
        </w:rPr>
        <w:t>8</w:t>
      </w:r>
      <w:r w:rsidR="00E707A8">
        <w:rPr>
          <w:b/>
        </w:rPr>
        <w:t xml:space="preserve">, </w:t>
      </w:r>
      <w:r>
        <w:rPr>
          <w:b/>
        </w:rPr>
        <w:t xml:space="preserve">1pm </w:t>
      </w:r>
      <w:r w:rsidR="00E707A8">
        <w:rPr>
          <w:b/>
        </w:rPr>
        <w:t xml:space="preserve">to </w:t>
      </w:r>
      <w:r>
        <w:rPr>
          <w:b/>
        </w:rPr>
        <w:t>2.15pm</w:t>
      </w:r>
      <w:r w:rsidR="00E707A8">
        <w:rPr>
          <w:b/>
        </w:rPr>
        <w:t xml:space="preserve"> Civic Centre </w:t>
      </w:r>
      <w:r>
        <w:rPr>
          <w:b/>
        </w:rPr>
        <w:t>1</w:t>
      </w:r>
      <w:r w:rsidR="00E707A8">
        <w:rPr>
          <w:b/>
        </w:rPr>
        <w:t xml:space="preserve"> Huddersfield</w:t>
      </w:r>
    </w:p>
    <w:p w14:paraId="02BF2967" w14:textId="77777777" w:rsidR="001E5E5C" w:rsidRDefault="001E5E5C" w:rsidP="00E707A8">
      <w:pPr>
        <w:jc w:val="center"/>
        <w:rPr>
          <w:b/>
        </w:rPr>
      </w:pPr>
      <w:r>
        <w:rPr>
          <w:b/>
        </w:rPr>
        <w:t>(10</w:t>
      </w:r>
      <w:r w:rsidRPr="001E5E5C">
        <w:rPr>
          <w:b/>
          <w:vertAlign w:val="superscript"/>
        </w:rPr>
        <w:t>th</w:t>
      </w:r>
      <w:r>
        <w:rPr>
          <w:b/>
        </w:rPr>
        <w:t xml:space="preserve"> Meeting)</w:t>
      </w:r>
    </w:p>
    <w:p w14:paraId="7AA3FD53" w14:textId="77777777" w:rsidR="00E707A8" w:rsidRDefault="00E707A8" w:rsidP="00E707A8">
      <w:pPr>
        <w:jc w:val="center"/>
        <w:rPr>
          <w:b/>
        </w:rPr>
      </w:pPr>
    </w:p>
    <w:p w14:paraId="003A601B" w14:textId="77777777" w:rsidR="00050D71" w:rsidRDefault="00050D71" w:rsidP="00E707A8">
      <w:pPr>
        <w:jc w:val="center"/>
        <w:rPr>
          <w:b/>
        </w:rPr>
      </w:pPr>
      <w:r>
        <w:rPr>
          <w:b/>
        </w:rPr>
        <w:t>Notes</w:t>
      </w:r>
    </w:p>
    <w:p w14:paraId="5A859518" w14:textId="77777777" w:rsidR="00050D71" w:rsidRDefault="00050D71" w:rsidP="00E707A8">
      <w:pPr>
        <w:jc w:val="center"/>
        <w:rPr>
          <w:b/>
        </w:rPr>
      </w:pPr>
    </w:p>
    <w:p w14:paraId="51B596C8" w14:textId="77777777" w:rsidR="001A1E3F" w:rsidRPr="001A1E3F" w:rsidRDefault="00050D71" w:rsidP="00E707A8">
      <w:proofErr w:type="gramStart"/>
      <w:r>
        <w:rPr>
          <w:b/>
        </w:rPr>
        <w:t xml:space="preserve">Present </w:t>
      </w:r>
      <w:r w:rsidR="00E707A8">
        <w:rPr>
          <w:b/>
        </w:rPr>
        <w:t>:</w:t>
      </w:r>
      <w:proofErr w:type="gramEnd"/>
      <w:r w:rsidR="00E707A8">
        <w:rPr>
          <w:b/>
        </w:rPr>
        <w:t xml:space="preserve"> </w:t>
      </w:r>
      <w:r w:rsidR="00DE7B04" w:rsidRPr="001A1E3F">
        <w:t>Cllr Martyn</w:t>
      </w:r>
      <w:r w:rsidR="001A1E3F" w:rsidRPr="001A1E3F">
        <w:t xml:space="preserve"> Bolt</w:t>
      </w:r>
      <w:r w:rsidR="00CC095D">
        <w:t xml:space="preserve">, </w:t>
      </w:r>
      <w:r w:rsidR="001A1E3F" w:rsidRPr="001A1E3F">
        <w:t>Christine Sykes</w:t>
      </w:r>
      <w:r w:rsidR="00BD3D95">
        <w:t xml:space="preserve">, Phil Tolson </w:t>
      </w:r>
      <w:r w:rsidR="001A1E3F" w:rsidRPr="001A1E3F">
        <w:t xml:space="preserve"> </w:t>
      </w:r>
      <w:r w:rsidR="00CC095D">
        <w:t xml:space="preserve"> </w:t>
      </w:r>
    </w:p>
    <w:p w14:paraId="3E664F72" w14:textId="77777777" w:rsidR="00C37D86" w:rsidRDefault="001A1E3F" w:rsidP="00E707A8">
      <w:r w:rsidRPr="001A1E3F">
        <w:t>Jo Scrutton</w:t>
      </w:r>
      <w:r w:rsidR="00CC095D">
        <w:t xml:space="preserve">, </w:t>
      </w:r>
      <w:r w:rsidRPr="001A1E3F">
        <w:t>Sarah Smith</w:t>
      </w:r>
      <w:r w:rsidR="00CC095D">
        <w:t xml:space="preserve"> </w:t>
      </w:r>
    </w:p>
    <w:p w14:paraId="7602AB9E" w14:textId="77777777" w:rsidR="00BD3D95" w:rsidRDefault="00BD3D95" w:rsidP="00E707A8"/>
    <w:p w14:paraId="5F7EB91E" w14:textId="77777777" w:rsidR="00BD3D95" w:rsidRPr="00BD3D95" w:rsidRDefault="00BD3D95" w:rsidP="00E707A8">
      <w:pPr>
        <w:rPr>
          <w:b/>
        </w:rPr>
      </w:pPr>
      <w:r w:rsidRPr="00BD3D95">
        <w:rPr>
          <w:b/>
        </w:rPr>
        <w:t xml:space="preserve">Apologies: </w:t>
      </w:r>
      <w:r w:rsidRPr="00BD3D95">
        <w:t>Lesley Peers</w:t>
      </w:r>
      <w:r>
        <w:t>, Cheryl Tyler</w:t>
      </w:r>
    </w:p>
    <w:p w14:paraId="1B90A352" w14:textId="77777777" w:rsidR="00BD3D95" w:rsidRDefault="00BD3D95" w:rsidP="00E707A8"/>
    <w:tbl>
      <w:tblPr>
        <w:tblStyle w:val="TableGrid"/>
        <w:tblW w:w="9747" w:type="dxa"/>
        <w:tblLook w:val="04A0" w:firstRow="1" w:lastRow="0" w:firstColumn="1" w:lastColumn="0" w:noHBand="0" w:noVBand="1"/>
      </w:tblPr>
      <w:tblGrid>
        <w:gridCol w:w="933"/>
        <w:gridCol w:w="6688"/>
        <w:gridCol w:w="2126"/>
      </w:tblGrid>
      <w:tr w:rsidR="00050D71" w14:paraId="0D715B46" w14:textId="77777777" w:rsidTr="00050D71">
        <w:tc>
          <w:tcPr>
            <w:tcW w:w="933" w:type="dxa"/>
          </w:tcPr>
          <w:p w14:paraId="16D63817" w14:textId="77777777" w:rsidR="00050D71" w:rsidRDefault="00050D71" w:rsidP="00E53BF8">
            <w:pPr>
              <w:jc w:val="center"/>
              <w:rPr>
                <w:b/>
              </w:rPr>
            </w:pPr>
          </w:p>
        </w:tc>
        <w:tc>
          <w:tcPr>
            <w:tcW w:w="6688" w:type="dxa"/>
          </w:tcPr>
          <w:p w14:paraId="33327FC8" w14:textId="77777777" w:rsidR="00050D71" w:rsidRDefault="00050D71" w:rsidP="00E53BF8">
            <w:pPr>
              <w:jc w:val="center"/>
              <w:rPr>
                <w:b/>
              </w:rPr>
            </w:pPr>
            <w:r>
              <w:rPr>
                <w:b/>
              </w:rPr>
              <w:t xml:space="preserve">Item </w:t>
            </w:r>
          </w:p>
        </w:tc>
        <w:tc>
          <w:tcPr>
            <w:tcW w:w="2126" w:type="dxa"/>
          </w:tcPr>
          <w:p w14:paraId="335CE2B0" w14:textId="77777777" w:rsidR="00050D71" w:rsidRDefault="00050D71" w:rsidP="00E53BF8">
            <w:pPr>
              <w:jc w:val="center"/>
              <w:rPr>
                <w:b/>
              </w:rPr>
            </w:pPr>
            <w:r>
              <w:rPr>
                <w:b/>
              </w:rPr>
              <w:t xml:space="preserve">Action </w:t>
            </w:r>
          </w:p>
        </w:tc>
      </w:tr>
      <w:tr w:rsidR="00050D71" w14:paraId="4900CAE1" w14:textId="77777777" w:rsidTr="00050D71">
        <w:tc>
          <w:tcPr>
            <w:tcW w:w="933" w:type="dxa"/>
          </w:tcPr>
          <w:p w14:paraId="50C73E08" w14:textId="77777777" w:rsidR="00050D71" w:rsidRDefault="00050D71" w:rsidP="00E53BF8">
            <w:pPr>
              <w:jc w:val="center"/>
              <w:rPr>
                <w:b/>
              </w:rPr>
            </w:pPr>
            <w:r>
              <w:rPr>
                <w:b/>
              </w:rPr>
              <w:t>1.</w:t>
            </w:r>
          </w:p>
        </w:tc>
        <w:tc>
          <w:tcPr>
            <w:tcW w:w="6688" w:type="dxa"/>
          </w:tcPr>
          <w:p w14:paraId="06A39C31" w14:textId="77777777" w:rsidR="00195EAF" w:rsidRDefault="00050D71" w:rsidP="0099516B">
            <w:pPr>
              <w:rPr>
                <w:b/>
              </w:rPr>
            </w:pPr>
            <w:r w:rsidRPr="00C404C6">
              <w:rPr>
                <w:b/>
              </w:rPr>
              <w:t>Introduction</w:t>
            </w:r>
            <w:r>
              <w:rPr>
                <w:b/>
              </w:rPr>
              <w:t>s</w:t>
            </w:r>
          </w:p>
          <w:p w14:paraId="4DABAAC3" w14:textId="77777777" w:rsidR="00195EAF" w:rsidRDefault="00195EAF" w:rsidP="0099516B">
            <w:pPr>
              <w:rPr>
                <w:b/>
              </w:rPr>
            </w:pPr>
          </w:p>
        </w:tc>
        <w:tc>
          <w:tcPr>
            <w:tcW w:w="2126" w:type="dxa"/>
          </w:tcPr>
          <w:p w14:paraId="4DC2E610" w14:textId="77777777" w:rsidR="00050D71" w:rsidRPr="00E93E89" w:rsidRDefault="00050D71" w:rsidP="00E53BF8">
            <w:pPr>
              <w:jc w:val="center"/>
            </w:pPr>
          </w:p>
        </w:tc>
      </w:tr>
      <w:tr w:rsidR="009074ED" w14:paraId="66DBE255" w14:textId="77777777" w:rsidTr="00050D71">
        <w:tc>
          <w:tcPr>
            <w:tcW w:w="933" w:type="dxa"/>
          </w:tcPr>
          <w:p w14:paraId="3E73F620" w14:textId="77777777" w:rsidR="009074ED" w:rsidRDefault="009074ED" w:rsidP="00E53BF8">
            <w:pPr>
              <w:jc w:val="center"/>
              <w:rPr>
                <w:b/>
              </w:rPr>
            </w:pPr>
            <w:r>
              <w:rPr>
                <w:b/>
              </w:rPr>
              <w:t xml:space="preserve">2. </w:t>
            </w:r>
          </w:p>
        </w:tc>
        <w:tc>
          <w:tcPr>
            <w:tcW w:w="6688" w:type="dxa"/>
          </w:tcPr>
          <w:p w14:paraId="01B6020B" w14:textId="77777777" w:rsidR="00BD3D95" w:rsidRDefault="00BD3D95" w:rsidP="00BD3D95">
            <w:pPr>
              <w:rPr>
                <w:b/>
              </w:rPr>
            </w:pPr>
            <w:r>
              <w:rPr>
                <w:b/>
              </w:rPr>
              <w:t>Strategic Environmental Assessment</w:t>
            </w:r>
            <w:r w:rsidR="00D53FD9">
              <w:rPr>
                <w:b/>
              </w:rPr>
              <w:t xml:space="preserve"> (SEA)</w:t>
            </w:r>
          </w:p>
          <w:p w14:paraId="3E79205C" w14:textId="77777777" w:rsidR="00BD3D95" w:rsidRDefault="00BD3D95" w:rsidP="00BD3D95">
            <w:pPr>
              <w:rPr>
                <w:b/>
              </w:rPr>
            </w:pPr>
          </w:p>
          <w:p w14:paraId="47DB4463" w14:textId="77777777" w:rsidR="00D53FD9" w:rsidRDefault="00D53FD9" w:rsidP="00BD3D95">
            <w:r>
              <w:t>SEA r</w:t>
            </w:r>
            <w:r w:rsidRPr="00D53FD9">
              <w:t xml:space="preserve">equired for neighbourhood plans that include site allocations. </w:t>
            </w:r>
          </w:p>
          <w:p w14:paraId="41DB6813" w14:textId="77777777" w:rsidR="00D53FD9" w:rsidRDefault="00D53FD9" w:rsidP="00BD3D95"/>
          <w:p w14:paraId="19348024" w14:textId="77777777" w:rsidR="00D53FD9" w:rsidRDefault="00D53FD9" w:rsidP="00BD3D95">
            <w:r>
              <w:t xml:space="preserve">Policies may require an SEA dependant on the nature of the policy.  </w:t>
            </w:r>
          </w:p>
          <w:p w14:paraId="0E249363" w14:textId="77777777" w:rsidR="00D53FD9" w:rsidRDefault="00D53FD9" w:rsidP="00BD3D95"/>
          <w:p w14:paraId="2C36FA2F" w14:textId="77777777" w:rsidR="00EB1241" w:rsidRDefault="00D53FD9" w:rsidP="00BD3D95">
            <w:r>
              <w:t>An officer from Kirklees Council planning policy group will under</w:t>
            </w:r>
            <w:r w:rsidR="009C41F9">
              <w:t>take</w:t>
            </w:r>
            <w:r>
              <w:t xml:space="preserve"> a screening assessment of the draft neighbourhood plan to see if a full SEA is required when</w:t>
            </w:r>
            <w:r w:rsidR="00EB1241">
              <w:t xml:space="preserve"> the plan</w:t>
            </w:r>
            <w:r>
              <w:t xml:space="preserve"> contains sufficient information.</w:t>
            </w:r>
            <w:r w:rsidR="00EB1241">
              <w:t xml:space="preserve"> For example a vision, objectives, </w:t>
            </w:r>
            <w:r w:rsidR="009C41F9">
              <w:t>first</w:t>
            </w:r>
            <w:r w:rsidR="00EB1241">
              <w:t xml:space="preserve"> draft policies and whether the plan will contain site allocations.    </w:t>
            </w:r>
          </w:p>
          <w:p w14:paraId="54289FE9" w14:textId="77777777" w:rsidR="00EB1241" w:rsidRDefault="00EB1241" w:rsidP="00BD3D95"/>
          <w:p w14:paraId="358B8862" w14:textId="77777777" w:rsidR="00EB1241" w:rsidRDefault="00EB1241" w:rsidP="00BD3D95">
            <w:r>
              <w:t xml:space="preserve">Kirklees will also consult statutory consultees, Historic England, Natural England and the Environment Agency as part of this process. </w:t>
            </w:r>
          </w:p>
          <w:p w14:paraId="44FBF02B" w14:textId="77777777" w:rsidR="00EB1241" w:rsidRDefault="00EB1241" w:rsidP="00BD3D95"/>
          <w:p w14:paraId="10396FED" w14:textId="77777777" w:rsidR="00EB1241" w:rsidRDefault="00EB1241" w:rsidP="00BD3D95">
            <w:r>
              <w:t xml:space="preserve">Full SEA required for Newsome Neighbourhood Plan as it contains site allocations and policies. Technical support received through Locality, AECOM undertaking a full SEA of the neighbourhood plan.  </w:t>
            </w:r>
          </w:p>
          <w:p w14:paraId="06878376" w14:textId="77777777" w:rsidR="00EB1241" w:rsidRDefault="00EB1241" w:rsidP="00BD3D95"/>
          <w:p w14:paraId="17CAE75D" w14:textId="77777777" w:rsidR="00EB1241" w:rsidRDefault="00EB1241" w:rsidP="00BD3D95">
            <w:r>
              <w:t xml:space="preserve">Funding for Neighbourhood Plans through Locality has been updated. JS provided details. </w:t>
            </w:r>
          </w:p>
          <w:p w14:paraId="5E1A95AD" w14:textId="77777777" w:rsidR="001D1770" w:rsidRDefault="00EB1241" w:rsidP="00BD3D95">
            <w:r>
              <w:t xml:space="preserve">   </w:t>
            </w:r>
            <w:hyperlink r:id="rId5" w:history="1">
              <w:r w:rsidR="001D1770" w:rsidRPr="0072641A">
                <w:rPr>
                  <w:rStyle w:val="Hyperlink"/>
                </w:rPr>
                <w:t>https://mycommunity.org.uk/2018/03/15/new-neighbourhood-planning-programme-changes-to-my-community-everything-you-need-to-know</w:t>
              </w:r>
            </w:hyperlink>
          </w:p>
          <w:p w14:paraId="3CED0535" w14:textId="77777777" w:rsidR="001D1770" w:rsidRDefault="001D1770" w:rsidP="00BD3D95"/>
          <w:p w14:paraId="6BEDA9A7" w14:textId="77777777" w:rsidR="00D53FD9" w:rsidRDefault="001D1770" w:rsidP="00BD3D95">
            <w:r>
              <w:t xml:space="preserve">Grant funding </w:t>
            </w:r>
            <w:r w:rsidR="00EB1241">
              <w:t xml:space="preserve"> </w:t>
            </w:r>
            <w:r w:rsidR="00D53FD9">
              <w:t xml:space="preserve">  </w:t>
            </w:r>
            <w:hyperlink r:id="rId6" w:history="1">
              <w:r w:rsidRPr="0072641A">
                <w:rPr>
                  <w:rStyle w:val="Hyperlink"/>
                </w:rPr>
                <w:t>https://neighbourhoodplanning.org/about/grant-funding</w:t>
              </w:r>
            </w:hyperlink>
          </w:p>
          <w:p w14:paraId="17925EFC" w14:textId="77777777" w:rsidR="001D1770" w:rsidRDefault="001D1770" w:rsidP="00BD3D95"/>
          <w:p w14:paraId="6552B200" w14:textId="77777777" w:rsidR="007D7DA6" w:rsidRDefault="007D7DA6" w:rsidP="00BD3D95"/>
          <w:p w14:paraId="30839CA4" w14:textId="77777777" w:rsidR="001D1770" w:rsidRDefault="001D1770" w:rsidP="00BD3D95">
            <w:r>
              <w:t xml:space="preserve">Technical support </w:t>
            </w:r>
          </w:p>
          <w:p w14:paraId="441D15F8" w14:textId="77777777" w:rsidR="001D1770" w:rsidRDefault="00FA12A3" w:rsidP="00BD3D95">
            <w:hyperlink r:id="rId7" w:history="1">
              <w:r w:rsidR="001D1770" w:rsidRPr="0072641A">
                <w:rPr>
                  <w:rStyle w:val="Hyperlink"/>
                </w:rPr>
                <w:t>https://neighbourhoodplanning.org/about/technical-support</w:t>
              </w:r>
            </w:hyperlink>
          </w:p>
          <w:p w14:paraId="2AE0B57E" w14:textId="77777777" w:rsidR="001D1770" w:rsidRDefault="001D1770" w:rsidP="00BD3D95"/>
          <w:p w14:paraId="099F79EB" w14:textId="77777777" w:rsidR="001D1770" w:rsidRDefault="001D1770" w:rsidP="00BD3D95">
            <w:r>
              <w:t>Technical support/grant funding technical notes</w:t>
            </w:r>
          </w:p>
          <w:p w14:paraId="4614E95D" w14:textId="77777777" w:rsidR="001D1770" w:rsidRDefault="00FA12A3" w:rsidP="00BD3D95">
            <w:hyperlink r:id="rId8" w:history="1">
              <w:r w:rsidR="001D1770" w:rsidRPr="0072641A">
                <w:rPr>
                  <w:rStyle w:val="Hyperlink"/>
                </w:rPr>
                <w:t>https://neighbourhoodplanning.org/toolkits-and-guidance/neighbourhood-planning-grant-technical-support-guidance-notes</w:t>
              </w:r>
            </w:hyperlink>
          </w:p>
          <w:p w14:paraId="2B496915" w14:textId="77777777" w:rsidR="001D1770" w:rsidRDefault="001D1770" w:rsidP="00BD3D95"/>
          <w:p w14:paraId="3A510B5E" w14:textId="77777777" w:rsidR="009074ED" w:rsidRPr="00C404C6" w:rsidRDefault="009074ED" w:rsidP="00BD3D95">
            <w:pPr>
              <w:rPr>
                <w:b/>
              </w:rPr>
            </w:pPr>
            <w:r>
              <w:rPr>
                <w:b/>
              </w:rPr>
              <w:t xml:space="preserve"> </w:t>
            </w:r>
          </w:p>
        </w:tc>
        <w:tc>
          <w:tcPr>
            <w:tcW w:w="2126" w:type="dxa"/>
          </w:tcPr>
          <w:p w14:paraId="522DEC97" w14:textId="77777777" w:rsidR="009074ED" w:rsidRDefault="009074ED" w:rsidP="00E53BF8">
            <w:pPr>
              <w:jc w:val="center"/>
            </w:pPr>
          </w:p>
          <w:p w14:paraId="46DA35B8" w14:textId="77777777" w:rsidR="00EB1241" w:rsidRDefault="00EB1241" w:rsidP="00E53BF8">
            <w:pPr>
              <w:jc w:val="center"/>
            </w:pPr>
          </w:p>
          <w:p w14:paraId="3C4BBE05" w14:textId="77777777" w:rsidR="00EB1241" w:rsidRDefault="00EB1241" w:rsidP="00E53BF8">
            <w:pPr>
              <w:jc w:val="center"/>
            </w:pPr>
          </w:p>
          <w:p w14:paraId="40C5880E" w14:textId="77777777" w:rsidR="00EB1241" w:rsidRDefault="00EB1241" w:rsidP="00E53BF8">
            <w:pPr>
              <w:jc w:val="center"/>
            </w:pPr>
          </w:p>
          <w:p w14:paraId="75014A70" w14:textId="77777777" w:rsidR="00EB1241" w:rsidRDefault="00EB1241" w:rsidP="00E53BF8">
            <w:pPr>
              <w:jc w:val="center"/>
            </w:pPr>
          </w:p>
          <w:p w14:paraId="4D91A438" w14:textId="77777777" w:rsidR="00EB1241" w:rsidRDefault="00EB1241" w:rsidP="00E53BF8">
            <w:pPr>
              <w:jc w:val="center"/>
            </w:pPr>
          </w:p>
          <w:p w14:paraId="6755EA28" w14:textId="77777777" w:rsidR="00EB1241" w:rsidRDefault="00EB1241" w:rsidP="00E53BF8">
            <w:pPr>
              <w:jc w:val="center"/>
            </w:pPr>
          </w:p>
          <w:p w14:paraId="6604FD5C" w14:textId="77777777" w:rsidR="00EB1241" w:rsidRDefault="00EB1241" w:rsidP="00E53BF8">
            <w:pPr>
              <w:jc w:val="center"/>
            </w:pPr>
          </w:p>
          <w:p w14:paraId="6878A3C9" w14:textId="77777777" w:rsidR="00EB1241" w:rsidRDefault="00EB1241" w:rsidP="00E53BF8">
            <w:pPr>
              <w:jc w:val="center"/>
            </w:pPr>
          </w:p>
          <w:p w14:paraId="77304F66" w14:textId="77777777" w:rsidR="00EB1241" w:rsidRDefault="00EB1241" w:rsidP="00E53BF8">
            <w:pPr>
              <w:jc w:val="center"/>
            </w:pPr>
          </w:p>
          <w:p w14:paraId="13630627" w14:textId="77777777" w:rsidR="00EB1241" w:rsidRDefault="00EB1241" w:rsidP="00E53BF8">
            <w:pPr>
              <w:jc w:val="center"/>
            </w:pPr>
          </w:p>
          <w:p w14:paraId="58EFB0A7" w14:textId="77777777" w:rsidR="00EB1241" w:rsidRDefault="00EB1241" w:rsidP="00E53BF8">
            <w:pPr>
              <w:jc w:val="center"/>
            </w:pPr>
          </w:p>
          <w:p w14:paraId="7E58D021" w14:textId="77777777" w:rsidR="00EB1241" w:rsidRDefault="00EB1241" w:rsidP="00E53BF8">
            <w:pPr>
              <w:jc w:val="center"/>
            </w:pPr>
          </w:p>
          <w:p w14:paraId="30357D8C" w14:textId="77777777" w:rsidR="00EB1241" w:rsidRDefault="00EB1241" w:rsidP="00E53BF8">
            <w:pPr>
              <w:jc w:val="center"/>
            </w:pPr>
          </w:p>
          <w:p w14:paraId="0F1E2B92" w14:textId="77777777" w:rsidR="00EB1241" w:rsidRDefault="00EB1241" w:rsidP="00E53BF8">
            <w:pPr>
              <w:jc w:val="center"/>
            </w:pPr>
          </w:p>
          <w:p w14:paraId="137A2D00" w14:textId="77777777" w:rsidR="00EB1241" w:rsidRDefault="00EB1241" w:rsidP="00E53BF8">
            <w:pPr>
              <w:jc w:val="center"/>
            </w:pPr>
          </w:p>
          <w:p w14:paraId="511D0BE0" w14:textId="77777777" w:rsidR="00EB1241" w:rsidRDefault="00EB1241" w:rsidP="00E53BF8">
            <w:pPr>
              <w:jc w:val="center"/>
            </w:pPr>
          </w:p>
          <w:p w14:paraId="625D7706" w14:textId="77777777" w:rsidR="00EB1241" w:rsidRDefault="00EB1241" w:rsidP="00E53BF8">
            <w:pPr>
              <w:jc w:val="center"/>
            </w:pPr>
          </w:p>
          <w:p w14:paraId="36AC1B8A" w14:textId="77777777" w:rsidR="00EB1241" w:rsidRDefault="00EB1241" w:rsidP="00E53BF8">
            <w:pPr>
              <w:jc w:val="center"/>
            </w:pPr>
          </w:p>
          <w:p w14:paraId="03A9485D" w14:textId="77777777" w:rsidR="00EB1241" w:rsidRDefault="00EB1241" w:rsidP="00E53BF8">
            <w:pPr>
              <w:jc w:val="center"/>
            </w:pPr>
          </w:p>
          <w:p w14:paraId="1049D95A" w14:textId="77777777" w:rsidR="00EB1241" w:rsidRDefault="00EB1241" w:rsidP="00E53BF8">
            <w:pPr>
              <w:jc w:val="center"/>
            </w:pPr>
          </w:p>
          <w:p w14:paraId="7C2402B2" w14:textId="77777777" w:rsidR="00EB1241" w:rsidRDefault="00EB1241" w:rsidP="00E53BF8">
            <w:pPr>
              <w:jc w:val="center"/>
            </w:pPr>
          </w:p>
          <w:p w14:paraId="0C885EED" w14:textId="77777777" w:rsidR="00EB1241" w:rsidRDefault="00EB1241" w:rsidP="00E53BF8">
            <w:pPr>
              <w:jc w:val="center"/>
            </w:pPr>
          </w:p>
          <w:p w14:paraId="66AE721A" w14:textId="77777777" w:rsidR="00EB1241" w:rsidRDefault="00EB1241" w:rsidP="00E53BF8">
            <w:pPr>
              <w:jc w:val="center"/>
            </w:pPr>
          </w:p>
          <w:p w14:paraId="4D5C3EA3" w14:textId="77777777" w:rsidR="00EB1241" w:rsidRPr="00E93E89" w:rsidRDefault="00EB1241" w:rsidP="0086429F">
            <w:pPr>
              <w:jc w:val="center"/>
            </w:pPr>
            <w:r>
              <w:t xml:space="preserve">JS </w:t>
            </w:r>
          </w:p>
        </w:tc>
      </w:tr>
      <w:tr w:rsidR="00050D71" w14:paraId="33650CD7" w14:textId="77777777" w:rsidTr="00050D71">
        <w:tc>
          <w:tcPr>
            <w:tcW w:w="933" w:type="dxa"/>
          </w:tcPr>
          <w:p w14:paraId="1C86BF08" w14:textId="77777777" w:rsidR="00050D71" w:rsidRDefault="009074ED" w:rsidP="00E53BF8">
            <w:pPr>
              <w:jc w:val="center"/>
              <w:rPr>
                <w:b/>
              </w:rPr>
            </w:pPr>
            <w:r>
              <w:rPr>
                <w:b/>
              </w:rPr>
              <w:t>3</w:t>
            </w:r>
            <w:r w:rsidR="00050D71">
              <w:rPr>
                <w:b/>
              </w:rPr>
              <w:t>.</w:t>
            </w:r>
          </w:p>
        </w:tc>
        <w:tc>
          <w:tcPr>
            <w:tcW w:w="6688" w:type="dxa"/>
          </w:tcPr>
          <w:p w14:paraId="785B5BD0" w14:textId="77777777" w:rsidR="00195EAF" w:rsidRDefault="00BD3D95" w:rsidP="00C37D86">
            <w:pPr>
              <w:rPr>
                <w:b/>
              </w:rPr>
            </w:pPr>
            <w:r>
              <w:rPr>
                <w:b/>
              </w:rPr>
              <w:t xml:space="preserve">Mirfield Matters Survey </w:t>
            </w:r>
          </w:p>
          <w:p w14:paraId="63DE2675" w14:textId="77777777" w:rsidR="00CE779D" w:rsidRDefault="00CE779D" w:rsidP="00C37D86">
            <w:pPr>
              <w:rPr>
                <w:b/>
              </w:rPr>
            </w:pPr>
          </w:p>
          <w:p w14:paraId="5C7645EC" w14:textId="77777777" w:rsidR="009D7C69" w:rsidRDefault="009D7C69" w:rsidP="00C37D86">
            <w:r>
              <w:t xml:space="preserve">Feedback – ‘great start’ for baseline information. Consultation on the neighbourhood plan should be a re-iterative process and recorded. Need an audit trail for the Statement of Consultation. Although the consultation referred to children and young people it is not clear who answered the survey e.g. head of the household. Page 2 of the survey highlights the ‘participation of residents over the age of 18’. As such this was highlighted as a gap. </w:t>
            </w:r>
          </w:p>
          <w:p w14:paraId="40654C65" w14:textId="77777777" w:rsidR="009D7C69" w:rsidRDefault="009D7C69" w:rsidP="00C37D86"/>
          <w:p w14:paraId="09309A7B" w14:textId="77777777" w:rsidR="009D7C69" w:rsidRDefault="009D7C69" w:rsidP="00C37D86">
            <w:r>
              <w:t xml:space="preserve">JS provided information on techniques for community consultation and highlighted examples such as social media and a stand at Mirfield Show and other public events. It doesn’t need to be formal. </w:t>
            </w:r>
          </w:p>
          <w:p w14:paraId="28A327B8" w14:textId="77777777" w:rsidR="009D7C69" w:rsidRDefault="009D7C69" w:rsidP="00C37D86"/>
          <w:p w14:paraId="163778D1" w14:textId="77777777" w:rsidR="001D1770" w:rsidRDefault="00FA12A3" w:rsidP="00C37D86">
            <w:hyperlink r:id="rId9" w:history="1">
              <w:r w:rsidR="001D1770" w:rsidRPr="0072641A">
                <w:rPr>
                  <w:rStyle w:val="Hyperlink"/>
                </w:rPr>
                <w:t>https://neighbourhoodplanning.org/toolkits-and-guidance/how-to-consult-with-your-community</w:t>
              </w:r>
            </w:hyperlink>
          </w:p>
          <w:p w14:paraId="69229B87" w14:textId="77777777" w:rsidR="001D1770" w:rsidRDefault="001D1770" w:rsidP="00C37D86"/>
          <w:p w14:paraId="6FB56D52" w14:textId="77777777" w:rsidR="009552EC" w:rsidRPr="009552EC" w:rsidRDefault="009552EC" w:rsidP="00C37D86">
            <w:pPr>
              <w:rPr>
                <w:b/>
              </w:rPr>
            </w:pPr>
            <w:r w:rsidRPr="009552EC">
              <w:rPr>
                <w:b/>
              </w:rPr>
              <w:t xml:space="preserve">Mirfield Matters Summary </w:t>
            </w:r>
          </w:p>
          <w:p w14:paraId="1E2FD67B" w14:textId="77777777" w:rsidR="009552EC" w:rsidRDefault="009552EC" w:rsidP="00C37D86">
            <w:pPr>
              <w:rPr>
                <w:b/>
              </w:rPr>
            </w:pPr>
          </w:p>
          <w:p w14:paraId="2C43F18B" w14:textId="77777777" w:rsidR="00FF44D2" w:rsidRDefault="00FF44D2" w:rsidP="00C37D86">
            <w:r>
              <w:t xml:space="preserve">A few examples from the key findings were discuss. </w:t>
            </w:r>
          </w:p>
          <w:p w14:paraId="45963890" w14:textId="77777777" w:rsidR="00FF44D2" w:rsidRDefault="00FF44D2" w:rsidP="00C37D86"/>
          <w:p w14:paraId="2F04C8B3" w14:textId="77777777" w:rsidR="00FF44D2" w:rsidRDefault="00FF44D2" w:rsidP="00C37D86">
            <w:r>
              <w:t xml:space="preserve">Walking – Mirfield Promenade priority. It is designated Strategic Green Infrastructure in the Local Plan. May wish to provide more detail. </w:t>
            </w:r>
          </w:p>
          <w:p w14:paraId="65945371" w14:textId="77777777" w:rsidR="00FF44D2" w:rsidRDefault="00FF44D2" w:rsidP="00C37D86"/>
          <w:p w14:paraId="0651FCC8" w14:textId="77777777" w:rsidR="00FF44D2" w:rsidRDefault="00FF44D2" w:rsidP="00C37D86">
            <w:r>
              <w:t xml:space="preserve">Transport – New guidance for Neighbourhood Plans from MY Community to be published shortly. </w:t>
            </w:r>
          </w:p>
          <w:p w14:paraId="125B3942" w14:textId="77777777" w:rsidR="00FF44D2" w:rsidRDefault="00FF44D2" w:rsidP="00C37D86">
            <w:r>
              <w:t>Public Transport - A neighbourhood plan can add support for facilities but cannot require it. Neighbourhood Plans have tended to focus more on green networks.</w:t>
            </w:r>
          </w:p>
          <w:p w14:paraId="50B06015" w14:textId="77777777" w:rsidR="00FF44D2" w:rsidRDefault="00FF44D2" w:rsidP="00C37D86"/>
          <w:p w14:paraId="1962EDEF" w14:textId="77777777" w:rsidR="00C83C53" w:rsidRDefault="00FF44D2" w:rsidP="007D7DA6">
            <w:pPr>
              <w:rPr>
                <w:b/>
              </w:rPr>
            </w:pPr>
            <w:r>
              <w:t>Cllr MB referred to the ‘six acre standard’ for play areas and</w:t>
            </w:r>
            <w:r w:rsidR="0086429F">
              <w:t xml:space="preserve"> an</w:t>
            </w:r>
            <w:r>
              <w:t xml:space="preserve"> off site contribution to be provided as part of the S106 for the Mirfield 25 housing allocation, 166 dwellings</w:t>
            </w:r>
            <w:r w:rsidR="0086429F">
              <w:t xml:space="preserve">. Matter to be </w:t>
            </w:r>
            <w:r w:rsidR="0086429F">
              <w:lastRenderedPageBreak/>
              <w:t xml:space="preserve">referred to Policy Officer leading on Open Space and details to be provided back to group. </w:t>
            </w:r>
          </w:p>
        </w:tc>
        <w:tc>
          <w:tcPr>
            <w:tcW w:w="2126" w:type="dxa"/>
          </w:tcPr>
          <w:p w14:paraId="034E974F" w14:textId="77777777" w:rsidR="00050D71" w:rsidRDefault="00050D71" w:rsidP="00E53BF8">
            <w:pPr>
              <w:jc w:val="center"/>
            </w:pPr>
          </w:p>
          <w:p w14:paraId="790F6EFD" w14:textId="77777777" w:rsidR="00CF16B5" w:rsidRDefault="00CF16B5" w:rsidP="00E53BF8">
            <w:pPr>
              <w:jc w:val="center"/>
            </w:pPr>
          </w:p>
          <w:p w14:paraId="6021D014" w14:textId="77777777" w:rsidR="00CF16B5" w:rsidRDefault="00CF16B5" w:rsidP="00E53BF8">
            <w:pPr>
              <w:jc w:val="center"/>
            </w:pPr>
          </w:p>
          <w:p w14:paraId="0C387CE4" w14:textId="77777777" w:rsidR="00CF16B5" w:rsidRDefault="00CF16B5" w:rsidP="00E53BF8">
            <w:pPr>
              <w:jc w:val="center"/>
            </w:pPr>
          </w:p>
          <w:p w14:paraId="6E1BE056" w14:textId="77777777" w:rsidR="00CF16B5" w:rsidRDefault="00CF16B5" w:rsidP="00E53BF8">
            <w:pPr>
              <w:jc w:val="center"/>
            </w:pPr>
          </w:p>
          <w:p w14:paraId="3E7A3535" w14:textId="77777777" w:rsidR="00CF16B5" w:rsidRDefault="00CF16B5" w:rsidP="00E53BF8">
            <w:pPr>
              <w:jc w:val="center"/>
            </w:pPr>
          </w:p>
          <w:p w14:paraId="715816BB" w14:textId="77777777" w:rsidR="00CF16B5" w:rsidRDefault="00CF16B5" w:rsidP="00E53BF8">
            <w:pPr>
              <w:jc w:val="center"/>
            </w:pPr>
          </w:p>
          <w:p w14:paraId="5B6CF406" w14:textId="77777777" w:rsidR="00CF16B5" w:rsidRDefault="00CF16B5" w:rsidP="00E53BF8">
            <w:pPr>
              <w:jc w:val="center"/>
            </w:pPr>
          </w:p>
          <w:p w14:paraId="7DDA8030" w14:textId="77777777" w:rsidR="00CF16B5" w:rsidRDefault="00CF16B5" w:rsidP="00E53BF8">
            <w:pPr>
              <w:jc w:val="center"/>
            </w:pPr>
          </w:p>
          <w:p w14:paraId="4274B4DD" w14:textId="77777777" w:rsidR="004559E1" w:rsidRDefault="004559E1" w:rsidP="00E53BF8">
            <w:pPr>
              <w:jc w:val="center"/>
            </w:pPr>
          </w:p>
          <w:p w14:paraId="124B4CD8" w14:textId="77777777" w:rsidR="00CF16B5" w:rsidRDefault="00CF16B5" w:rsidP="00E53BF8">
            <w:pPr>
              <w:jc w:val="center"/>
            </w:pPr>
          </w:p>
          <w:p w14:paraId="6DCFA3AD" w14:textId="77777777" w:rsidR="00382C96" w:rsidRDefault="00382C96" w:rsidP="00E53BF8">
            <w:pPr>
              <w:jc w:val="center"/>
            </w:pPr>
          </w:p>
          <w:p w14:paraId="51C7204E" w14:textId="77777777" w:rsidR="00382C96" w:rsidRDefault="009D7C69" w:rsidP="00E53BF8">
            <w:pPr>
              <w:jc w:val="center"/>
            </w:pPr>
            <w:r>
              <w:t xml:space="preserve">JS </w:t>
            </w:r>
          </w:p>
          <w:p w14:paraId="5F2F1EEF" w14:textId="77777777" w:rsidR="00382C96" w:rsidRDefault="00382C96" w:rsidP="00E53BF8">
            <w:pPr>
              <w:jc w:val="center"/>
            </w:pPr>
          </w:p>
          <w:p w14:paraId="2DC2A56B" w14:textId="77777777" w:rsidR="00434E19" w:rsidRDefault="00434E19" w:rsidP="00E53BF8">
            <w:pPr>
              <w:jc w:val="center"/>
            </w:pPr>
          </w:p>
          <w:p w14:paraId="1F50D79C" w14:textId="77777777" w:rsidR="00434E19" w:rsidRDefault="00434E19" w:rsidP="00E53BF8">
            <w:pPr>
              <w:jc w:val="center"/>
            </w:pPr>
          </w:p>
          <w:p w14:paraId="7B6C3810" w14:textId="77777777" w:rsidR="00434E19" w:rsidRDefault="00434E19" w:rsidP="00E53BF8">
            <w:pPr>
              <w:jc w:val="center"/>
            </w:pPr>
          </w:p>
          <w:p w14:paraId="01AFA717" w14:textId="77777777" w:rsidR="00434E19" w:rsidRDefault="00434E19" w:rsidP="00E53BF8">
            <w:pPr>
              <w:jc w:val="center"/>
            </w:pPr>
          </w:p>
          <w:p w14:paraId="4AA9D8C6" w14:textId="77777777" w:rsidR="00434E19" w:rsidRDefault="00434E19" w:rsidP="00E53BF8">
            <w:pPr>
              <w:jc w:val="center"/>
            </w:pPr>
          </w:p>
          <w:p w14:paraId="70EDFF58" w14:textId="77777777" w:rsidR="00434E19" w:rsidRDefault="00434E19" w:rsidP="00E53BF8">
            <w:pPr>
              <w:jc w:val="center"/>
            </w:pPr>
          </w:p>
          <w:p w14:paraId="7569B486" w14:textId="77777777" w:rsidR="00434E19" w:rsidRDefault="00434E19" w:rsidP="00E53BF8">
            <w:pPr>
              <w:jc w:val="center"/>
            </w:pPr>
          </w:p>
          <w:p w14:paraId="733F65B3" w14:textId="77777777" w:rsidR="00434E19" w:rsidRDefault="00434E19" w:rsidP="00E53BF8">
            <w:pPr>
              <w:jc w:val="center"/>
            </w:pPr>
          </w:p>
          <w:p w14:paraId="622D68F4" w14:textId="77777777" w:rsidR="00434E19" w:rsidRDefault="00434E19" w:rsidP="00E53BF8">
            <w:pPr>
              <w:jc w:val="center"/>
            </w:pPr>
          </w:p>
          <w:p w14:paraId="03204C42" w14:textId="77777777" w:rsidR="00434E19" w:rsidRDefault="00434E19" w:rsidP="00E53BF8">
            <w:pPr>
              <w:jc w:val="center"/>
            </w:pPr>
          </w:p>
          <w:p w14:paraId="091A3DDF" w14:textId="77777777" w:rsidR="00434E19" w:rsidRDefault="00434E19" w:rsidP="00E53BF8">
            <w:pPr>
              <w:jc w:val="center"/>
            </w:pPr>
          </w:p>
          <w:p w14:paraId="4EC448D7" w14:textId="77777777" w:rsidR="00CF16B5" w:rsidRDefault="00CF16B5" w:rsidP="00434E19">
            <w:pPr>
              <w:jc w:val="center"/>
            </w:pPr>
          </w:p>
          <w:p w14:paraId="5B2B2CBF" w14:textId="77777777" w:rsidR="0086429F" w:rsidRDefault="0086429F" w:rsidP="00434E19">
            <w:pPr>
              <w:jc w:val="center"/>
            </w:pPr>
          </w:p>
          <w:p w14:paraId="22608556" w14:textId="77777777" w:rsidR="0086429F" w:rsidRDefault="0086429F" w:rsidP="00434E19">
            <w:pPr>
              <w:jc w:val="center"/>
            </w:pPr>
          </w:p>
          <w:p w14:paraId="6BE807EF" w14:textId="77777777" w:rsidR="0086429F" w:rsidRDefault="0086429F" w:rsidP="00434E19">
            <w:pPr>
              <w:jc w:val="center"/>
            </w:pPr>
          </w:p>
          <w:p w14:paraId="3F8557E8" w14:textId="77777777" w:rsidR="0086429F" w:rsidRDefault="0086429F" w:rsidP="00434E19">
            <w:pPr>
              <w:jc w:val="center"/>
            </w:pPr>
          </w:p>
          <w:p w14:paraId="798A3153" w14:textId="77777777" w:rsidR="0086429F" w:rsidRDefault="0086429F" w:rsidP="00434E19">
            <w:pPr>
              <w:jc w:val="center"/>
            </w:pPr>
          </w:p>
          <w:p w14:paraId="45933962" w14:textId="77777777" w:rsidR="0086429F" w:rsidRDefault="0086429F" w:rsidP="0086429F">
            <w:pPr>
              <w:jc w:val="center"/>
            </w:pPr>
          </w:p>
          <w:p w14:paraId="3C0D44BC" w14:textId="77777777" w:rsidR="007D7DA6" w:rsidRDefault="007D7DA6" w:rsidP="0086429F">
            <w:pPr>
              <w:jc w:val="center"/>
            </w:pPr>
          </w:p>
          <w:p w14:paraId="6412BBDB" w14:textId="77777777" w:rsidR="007D7DA6" w:rsidRDefault="007D7DA6" w:rsidP="0086429F">
            <w:pPr>
              <w:jc w:val="center"/>
            </w:pPr>
          </w:p>
          <w:p w14:paraId="3DBDBF6A" w14:textId="77777777" w:rsidR="0086429F" w:rsidRPr="00E93E89" w:rsidRDefault="0086429F" w:rsidP="0086429F">
            <w:pPr>
              <w:jc w:val="center"/>
            </w:pPr>
            <w:r>
              <w:t xml:space="preserve">JS/SS  </w:t>
            </w:r>
          </w:p>
        </w:tc>
      </w:tr>
      <w:tr w:rsidR="00F8467A" w14:paraId="082F2133" w14:textId="77777777" w:rsidTr="00050D71">
        <w:tc>
          <w:tcPr>
            <w:tcW w:w="933" w:type="dxa"/>
          </w:tcPr>
          <w:p w14:paraId="46AA6AF3" w14:textId="77777777" w:rsidR="00F8467A" w:rsidRDefault="00F8467A" w:rsidP="00E53BF8">
            <w:pPr>
              <w:jc w:val="center"/>
              <w:rPr>
                <w:b/>
              </w:rPr>
            </w:pPr>
            <w:r>
              <w:rPr>
                <w:b/>
              </w:rPr>
              <w:t>4</w:t>
            </w:r>
          </w:p>
        </w:tc>
        <w:tc>
          <w:tcPr>
            <w:tcW w:w="6688" w:type="dxa"/>
          </w:tcPr>
          <w:p w14:paraId="12D5B3C3" w14:textId="77777777" w:rsidR="00F8467A" w:rsidRDefault="00F8467A" w:rsidP="00F8467A">
            <w:pPr>
              <w:rPr>
                <w:b/>
              </w:rPr>
            </w:pPr>
            <w:r>
              <w:rPr>
                <w:b/>
              </w:rPr>
              <w:t xml:space="preserve">Project plan/Local Plan evidence/Policy </w:t>
            </w:r>
          </w:p>
          <w:p w14:paraId="2B5DFE42" w14:textId="77777777" w:rsidR="00F8467A" w:rsidRDefault="00F8467A" w:rsidP="00F8467A">
            <w:pPr>
              <w:rPr>
                <w:b/>
              </w:rPr>
            </w:pPr>
          </w:p>
          <w:p w14:paraId="4FEFE937" w14:textId="77777777" w:rsidR="00F8467A" w:rsidRDefault="00F8467A" w:rsidP="00F8467A">
            <w:r w:rsidRPr="00F8467A">
              <w:t xml:space="preserve">Project plan </w:t>
            </w:r>
            <w:r>
              <w:t xml:space="preserve">is fluid and requires up dating. To be discussed at next steering group meeting. </w:t>
            </w:r>
          </w:p>
          <w:p w14:paraId="41D2C882" w14:textId="77777777" w:rsidR="00F8467A" w:rsidRDefault="00F8467A" w:rsidP="00F8467A"/>
          <w:p w14:paraId="4E6301C9" w14:textId="77777777" w:rsidR="00F8467A" w:rsidRDefault="00F8467A" w:rsidP="00F8467A">
            <w:r>
              <w:t>Local plan evidence – Council will provide support on local plan evidence base when required</w:t>
            </w:r>
            <w:r w:rsidR="00745103">
              <w:t xml:space="preserve"> on request.  </w:t>
            </w:r>
          </w:p>
          <w:p w14:paraId="47485EB3" w14:textId="77777777" w:rsidR="00F8467A" w:rsidRDefault="00F8467A" w:rsidP="00F8467A"/>
          <w:p w14:paraId="3E65DB55" w14:textId="77777777" w:rsidR="00F8467A" w:rsidRDefault="00F8467A" w:rsidP="00745103">
            <w:r>
              <w:t>Kirklees Observatory has</w:t>
            </w:r>
            <w:r w:rsidR="009C41F9">
              <w:t xml:space="preserve"> </w:t>
            </w:r>
            <w:r>
              <w:t>detailed information on many different topics includ</w:t>
            </w:r>
            <w:r w:rsidR="009C41F9">
              <w:t xml:space="preserve">ing population statistics etc… Also has some data </w:t>
            </w:r>
            <w:r w:rsidR="00745103">
              <w:t>at parish</w:t>
            </w:r>
            <w:r w:rsidR="009C41F9">
              <w:t xml:space="preserve"> level.   </w:t>
            </w:r>
          </w:p>
          <w:p w14:paraId="649C31B4" w14:textId="77777777" w:rsidR="004610F0" w:rsidRDefault="004610F0" w:rsidP="00745103"/>
          <w:p w14:paraId="572BC0D3" w14:textId="77777777" w:rsidR="004610F0" w:rsidRDefault="004610F0" w:rsidP="004610F0">
            <w:r>
              <w:t xml:space="preserve">Cllr Benson has asked for advice on SUDS and whether it could be incorporated into a Neighbourhood Plan. Neighbourhood Plans don’t need to duplicate Local Plan policy. There is a policy in the Local Plan on SUDS which meets national and local requirements and has been agreed with the Environment Agency. A neighbourhood plan policy should be used to add further detail. Policies within the Local Plan should be looked at as a starting point. </w:t>
            </w:r>
          </w:p>
          <w:p w14:paraId="449130D9" w14:textId="77777777" w:rsidR="004610F0" w:rsidRDefault="004610F0" w:rsidP="004610F0">
            <w:pPr>
              <w:rPr>
                <w:b/>
              </w:rPr>
            </w:pPr>
          </w:p>
        </w:tc>
        <w:tc>
          <w:tcPr>
            <w:tcW w:w="2126" w:type="dxa"/>
          </w:tcPr>
          <w:p w14:paraId="110BD8A4" w14:textId="77777777" w:rsidR="00F8467A" w:rsidRDefault="00F8467A" w:rsidP="0099516B">
            <w:pPr>
              <w:jc w:val="center"/>
            </w:pPr>
          </w:p>
          <w:p w14:paraId="0E82BCF6" w14:textId="77777777" w:rsidR="00647E50" w:rsidRDefault="00647E50" w:rsidP="0099516B">
            <w:pPr>
              <w:jc w:val="center"/>
            </w:pPr>
          </w:p>
          <w:p w14:paraId="4897D161" w14:textId="77777777" w:rsidR="00647E50" w:rsidRDefault="00647E50" w:rsidP="0099516B">
            <w:pPr>
              <w:jc w:val="center"/>
            </w:pPr>
          </w:p>
          <w:p w14:paraId="03484FEE" w14:textId="77777777" w:rsidR="00647E50" w:rsidRDefault="00647E50" w:rsidP="0099516B">
            <w:pPr>
              <w:jc w:val="center"/>
            </w:pPr>
            <w:r>
              <w:t>CS</w:t>
            </w:r>
          </w:p>
        </w:tc>
      </w:tr>
      <w:tr w:rsidR="00A8658F" w14:paraId="4A6A5450" w14:textId="77777777" w:rsidTr="00050D71">
        <w:tc>
          <w:tcPr>
            <w:tcW w:w="933" w:type="dxa"/>
          </w:tcPr>
          <w:p w14:paraId="13195CCD" w14:textId="77777777" w:rsidR="00A8658F" w:rsidRDefault="00F8467A" w:rsidP="00E53BF8">
            <w:pPr>
              <w:jc w:val="center"/>
              <w:rPr>
                <w:b/>
              </w:rPr>
            </w:pPr>
            <w:r>
              <w:rPr>
                <w:b/>
              </w:rPr>
              <w:t>5</w:t>
            </w:r>
            <w:r w:rsidR="00A8658F">
              <w:rPr>
                <w:b/>
              </w:rPr>
              <w:t xml:space="preserve">. </w:t>
            </w:r>
          </w:p>
        </w:tc>
        <w:tc>
          <w:tcPr>
            <w:tcW w:w="6688" w:type="dxa"/>
          </w:tcPr>
          <w:p w14:paraId="4F09E294" w14:textId="77777777" w:rsidR="00A8658F" w:rsidRDefault="00BD3D95" w:rsidP="00BD3D95">
            <w:pPr>
              <w:rPr>
                <w:b/>
              </w:rPr>
            </w:pPr>
            <w:r>
              <w:rPr>
                <w:b/>
              </w:rPr>
              <w:t xml:space="preserve">Local Plan Update </w:t>
            </w:r>
          </w:p>
          <w:p w14:paraId="4946289C" w14:textId="77777777" w:rsidR="0086429F" w:rsidRDefault="0086429F" w:rsidP="00BD3D95">
            <w:pPr>
              <w:rPr>
                <w:b/>
              </w:rPr>
            </w:pPr>
          </w:p>
          <w:p w14:paraId="2390CCEE" w14:textId="77777777" w:rsidR="0086429F" w:rsidRDefault="0086429F" w:rsidP="0086429F">
            <w:r>
              <w:t xml:space="preserve">Stage 4 hearings now complete. Inspector to issue a letter with her initial thoughts in the next couple of weeks.  </w:t>
            </w:r>
          </w:p>
          <w:p w14:paraId="05127B4A" w14:textId="77777777" w:rsidR="00DF5B45" w:rsidRDefault="00DF5B45" w:rsidP="0086429F"/>
          <w:p w14:paraId="31107B88" w14:textId="77777777" w:rsidR="00DF5B45" w:rsidRDefault="00DF5B45" w:rsidP="00DF5B45">
            <w:r>
              <w:t>The Inspector is holding a session on the 26-27 April to discuss specific housing issues – Housing trajectory, objectively assessed need, 5 year housing land supply. The Inspector will set an agenda. Further details to follow after Easter</w:t>
            </w:r>
            <w:r w:rsidR="00745103">
              <w:t xml:space="preserve"> from Yvonne Parker, Programme Officer.    </w:t>
            </w:r>
            <w:r>
              <w:t xml:space="preserve"> </w:t>
            </w:r>
          </w:p>
          <w:p w14:paraId="605FEC57" w14:textId="77777777" w:rsidR="00DF5B45" w:rsidRDefault="00DF5B45" w:rsidP="00DF5B45"/>
          <w:p w14:paraId="5AFAC0F0" w14:textId="77777777" w:rsidR="00F8467A" w:rsidRDefault="00F8467A" w:rsidP="00F8467A">
            <w:r>
              <w:t>Following this session, the Inspector will provide a fuller report on progress. If there are no ‘showstoppers’ the Council will consult on proposed modifications. The timetable is dependent on the</w:t>
            </w:r>
            <w:r w:rsidR="00745103">
              <w:t xml:space="preserve"> Planning </w:t>
            </w:r>
            <w:r>
              <w:t xml:space="preserve">Inspector.  </w:t>
            </w:r>
          </w:p>
          <w:p w14:paraId="60C89047" w14:textId="77777777" w:rsidR="00F8467A" w:rsidRDefault="00F8467A" w:rsidP="00F8467A"/>
          <w:p w14:paraId="0953CC83" w14:textId="77777777" w:rsidR="0086429F" w:rsidRPr="0086429F" w:rsidRDefault="00F8467A" w:rsidP="00F8467A">
            <w:r>
              <w:t xml:space="preserve">      </w:t>
            </w:r>
            <w:r w:rsidR="00DF5B45">
              <w:t xml:space="preserve">        </w:t>
            </w:r>
            <w:r w:rsidR="0086429F">
              <w:t xml:space="preserve">   </w:t>
            </w:r>
          </w:p>
        </w:tc>
        <w:tc>
          <w:tcPr>
            <w:tcW w:w="2126" w:type="dxa"/>
          </w:tcPr>
          <w:p w14:paraId="6ED97376" w14:textId="77777777" w:rsidR="00A8658F" w:rsidRDefault="00A8658F" w:rsidP="0099516B">
            <w:pPr>
              <w:jc w:val="center"/>
            </w:pPr>
          </w:p>
          <w:p w14:paraId="272F66B6" w14:textId="77777777" w:rsidR="00E8332D" w:rsidRDefault="00E8332D" w:rsidP="0099516B">
            <w:pPr>
              <w:jc w:val="center"/>
            </w:pPr>
          </w:p>
          <w:p w14:paraId="60841CDF" w14:textId="77777777" w:rsidR="00E8332D" w:rsidRDefault="00E8332D" w:rsidP="0099516B">
            <w:pPr>
              <w:jc w:val="center"/>
            </w:pPr>
          </w:p>
          <w:p w14:paraId="47547F29" w14:textId="77777777" w:rsidR="00E8332D" w:rsidRDefault="00E8332D" w:rsidP="0099516B">
            <w:pPr>
              <w:jc w:val="center"/>
            </w:pPr>
          </w:p>
          <w:p w14:paraId="0F9F342B" w14:textId="77777777" w:rsidR="00E8332D" w:rsidRDefault="00E8332D" w:rsidP="0099516B">
            <w:pPr>
              <w:jc w:val="center"/>
            </w:pPr>
          </w:p>
          <w:p w14:paraId="69A11B27" w14:textId="77777777" w:rsidR="00E8332D" w:rsidRDefault="00E8332D" w:rsidP="0099516B">
            <w:pPr>
              <w:jc w:val="center"/>
            </w:pPr>
          </w:p>
          <w:p w14:paraId="649B9696" w14:textId="77777777" w:rsidR="00E8332D" w:rsidRDefault="00E8332D" w:rsidP="0099516B">
            <w:pPr>
              <w:jc w:val="center"/>
            </w:pPr>
          </w:p>
          <w:p w14:paraId="3FECD627" w14:textId="77777777" w:rsidR="00E8332D" w:rsidRDefault="00E8332D" w:rsidP="0099516B">
            <w:pPr>
              <w:jc w:val="center"/>
            </w:pPr>
          </w:p>
          <w:p w14:paraId="7BE071F4" w14:textId="77777777" w:rsidR="00E8332D" w:rsidRDefault="00E8332D" w:rsidP="0099516B">
            <w:pPr>
              <w:jc w:val="center"/>
            </w:pPr>
          </w:p>
          <w:p w14:paraId="6C808B09" w14:textId="77777777" w:rsidR="00E8332D" w:rsidRDefault="00E8332D" w:rsidP="0099516B">
            <w:pPr>
              <w:jc w:val="center"/>
            </w:pPr>
          </w:p>
          <w:p w14:paraId="1A62B99B" w14:textId="77777777" w:rsidR="00E8332D" w:rsidRDefault="00E8332D" w:rsidP="0099516B">
            <w:pPr>
              <w:jc w:val="center"/>
            </w:pPr>
          </w:p>
          <w:p w14:paraId="587720FC" w14:textId="77777777" w:rsidR="00E8332D" w:rsidRDefault="00E8332D" w:rsidP="00E8332D">
            <w:pPr>
              <w:jc w:val="center"/>
            </w:pPr>
          </w:p>
          <w:p w14:paraId="6D394DCB" w14:textId="77777777" w:rsidR="00E8332D" w:rsidRPr="00E93E89" w:rsidRDefault="00E8332D" w:rsidP="00E8332D">
            <w:pPr>
              <w:jc w:val="center"/>
            </w:pPr>
          </w:p>
        </w:tc>
      </w:tr>
      <w:tr w:rsidR="00050D71" w14:paraId="5FA41686" w14:textId="77777777" w:rsidTr="00050D71">
        <w:tc>
          <w:tcPr>
            <w:tcW w:w="933" w:type="dxa"/>
          </w:tcPr>
          <w:p w14:paraId="6C316CBB" w14:textId="77777777" w:rsidR="00050D71" w:rsidRDefault="00F8467A" w:rsidP="00E53BF8">
            <w:pPr>
              <w:jc w:val="center"/>
              <w:rPr>
                <w:b/>
              </w:rPr>
            </w:pPr>
            <w:r>
              <w:rPr>
                <w:b/>
              </w:rPr>
              <w:t>6</w:t>
            </w:r>
            <w:r w:rsidR="00050D71">
              <w:rPr>
                <w:b/>
              </w:rPr>
              <w:t>.</w:t>
            </w:r>
          </w:p>
        </w:tc>
        <w:tc>
          <w:tcPr>
            <w:tcW w:w="6688" w:type="dxa"/>
          </w:tcPr>
          <w:p w14:paraId="3F2542D0" w14:textId="77777777" w:rsidR="00050D71" w:rsidRDefault="004A0DA7" w:rsidP="00BD3D95">
            <w:pPr>
              <w:rPr>
                <w:b/>
              </w:rPr>
            </w:pPr>
            <w:r>
              <w:rPr>
                <w:b/>
              </w:rPr>
              <w:t>Other Neighbourhood Plans</w:t>
            </w:r>
          </w:p>
          <w:p w14:paraId="1380E93A" w14:textId="77777777" w:rsidR="00745103" w:rsidRDefault="00745103" w:rsidP="00BD3D95">
            <w:pPr>
              <w:rPr>
                <w:b/>
              </w:rPr>
            </w:pPr>
          </w:p>
          <w:p w14:paraId="53800A5F" w14:textId="77777777" w:rsidR="00745103" w:rsidRDefault="00745103" w:rsidP="00BD3D95">
            <w:r w:rsidRPr="00745103">
              <w:t>Newsome</w:t>
            </w:r>
            <w:r>
              <w:t xml:space="preserve"> Ward Community Forum – Second draft</w:t>
            </w:r>
          </w:p>
          <w:p w14:paraId="721AB01B" w14:textId="77777777" w:rsidR="00536A26" w:rsidRDefault="00536A26" w:rsidP="00BD3D95"/>
          <w:p w14:paraId="04E2F499" w14:textId="77777777" w:rsidR="00745103" w:rsidRDefault="00745103" w:rsidP="00BD3D95">
            <w:r>
              <w:t xml:space="preserve">Holme Valley Parish Council – Consultation on </w:t>
            </w:r>
            <w:r w:rsidR="00536A26">
              <w:t xml:space="preserve">first </w:t>
            </w:r>
            <w:r>
              <w:t>draft in May</w:t>
            </w:r>
          </w:p>
          <w:p w14:paraId="11CE3D91" w14:textId="77777777" w:rsidR="00536A26" w:rsidRDefault="00536A26" w:rsidP="00BD3D95"/>
          <w:p w14:paraId="301CAF0E" w14:textId="77777777" w:rsidR="00745103" w:rsidRDefault="00745103" w:rsidP="00BD3D95">
            <w:r>
              <w:lastRenderedPageBreak/>
              <w:t>Kirkheaton Future steering group (Kirkburton Parish Council) – producing first draft</w:t>
            </w:r>
          </w:p>
          <w:p w14:paraId="57747B95" w14:textId="77777777" w:rsidR="00745103" w:rsidRDefault="00745103" w:rsidP="00BD3D95"/>
          <w:p w14:paraId="2AB5F89E" w14:textId="77777777" w:rsidR="00536A26" w:rsidRDefault="00536A26" w:rsidP="00BD3D95">
            <w:r>
              <w:t>Meltham Town Council – Initial enquires</w:t>
            </w:r>
          </w:p>
          <w:p w14:paraId="220F980C" w14:textId="77777777" w:rsidR="00536A26" w:rsidRDefault="00536A26" w:rsidP="00BD3D95"/>
          <w:p w14:paraId="4B48C53F" w14:textId="77777777" w:rsidR="00536A26" w:rsidRDefault="00536A26" w:rsidP="00BD3D95">
            <w:r>
              <w:t xml:space="preserve">Lepton Steering group have agreed neighbourhood area with Kirkburton Parish Council not submitted an application  to Kirklees Council for neighbourhood area designation as yet. </w:t>
            </w:r>
          </w:p>
          <w:p w14:paraId="41C3E744" w14:textId="77777777" w:rsidR="00536A26" w:rsidRDefault="00536A26" w:rsidP="00BD3D95"/>
          <w:p w14:paraId="138BEC54" w14:textId="77777777" w:rsidR="00BD3D95" w:rsidRDefault="00536A26" w:rsidP="00536A26">
            <w:proofErr w:type="spellStart"/>
            <w:r>
              <w:t>Linthwaite</w:t>
            </w:r>
            <w:proofErr w:type="spellEnd"/>
            <w:r>
              <w:t>/</w:t>
            </w:r>
            <w:proofErr w:type="spellStart"/>
            <w:r>
              <w:t>Slaithwaite</w:t>
            </w:r>
            <w:proofErr w:type="spellEnd"/>
            <w:r>
              <w:t xml:space="preserve"> &amp; Marsden – Initial enquires       </w:t>
            </w:r>
          </w:p>
          <w:p w14:paraId="79F61712" w14:textId="77777777" w:rsidR="00536A26" w:rsidRPr="00195EAF" w:rsidRDefault="00536A26" w:rsidP="00536A26">
            <w:pPr>
              <w:rPr>
                <w:b/>
              </w:rPr>
            </w:pPr>
          </w:p>
        </w:tc>
        <w:tc>
          <w:tcPr>
            <w:tcW w:w="2126" w:type="dxa"/>
          </w:tcPr>
          <w:p w14:paraId="70E01575" w14:textId="77777777" w:rsidR="00050D71" w:rsidRPr="00E93E89" w:rsidRDefault="00050D71" w:rsidP="0099516B">
            <w:pPr>
              <w:jc w:val="center"/>
            </w:pPr>
          </w:p>
        </w:tc>
      </w:tr>
      <w:tr w:rsidR="00050D71" w:rsidRPr="00471365" w14:paraId="10C8EBBB" w14:textId="77777777" w:rsidTr="00050D71">
        <w:tc>
          <w:tcPr>
            <w:tcW w:w="933" w:type="dxa"/>
          </w:tcPr>
          <w:p w14:paraId="3500F79C" w14:textId="77777777" w:rsidR="00050D71" w:rsidRDefault="00F8467A" w:rsidP="00E53BF8">
            <w:pPr>
              <w:jc w:val="center"/>
              <w:rPr>
                <w:b/>
              </w:rPr>
            </w:pPr>
            <w:r>
              <w:rPr>
                <w:b/>
              </w:rPr>
              <w:t>7</w:t>
            </w:r>
            <w:r w:rsidR="00050D71">
              <w:rPr>
                <w:b/>
              </w:rPr>
              <w:t xml:space="preserve">. </w:t>
            </w:r>
          </w:p>
        </w:tc>
        <w:tc>
          <w:tcPr>
            <w:tcW w:w="6688" w:type="dxa"/>
          </w:tcPr>
          <w:p w14:paraId="0127E8DA" w14:textId="77777777" w:rsidR="00195EAF" w:rsidRDefault="004A0DA7" w:rsidP="004A0DA7">
            <w:pPr>
              <w:jc w:val="both"/>
              <w:rPr>
                <w:b/>
              </w:rPr>
            </w:pPr>
            <w:r>
              <w:rPr>
                <w:b/>
              </w:rPr>
              <w:t xml:space="preserve">Date of next meeting </w:t>
            </w:r>
          </w:p>
          <w:p w14:paraId="731CAA1D" w14:textId="77777777" w:rsidR="004A0DA7" w:rsidRDefault="004A0DA7" w:rsidP="004A0DA7">
            <w:pPr>
              <w:jc w:val="both"/>
              <w:rPr>
                <w:b/>
              </w:rPr>
            </w:pPr>
          </w:p>
          <w:p w14:paraId="2DB72036" w14:textId="77777777" w:rsidR="004A0DA7" w:rsidRPr="004A0DA7" w:rsidRDefault="004A0DA7" w:rsidP="004A0DA7">
            <w:pPr>
              <w:jc w:val="both"/>
            </w:pPr>
            <w:r w:rsidRPr="004A0DA7">
              <w:t>End of June 2018</w:t>
            </w:r>
            <w:r>
              <w:t xml:space="preserve"> – Dates to be provided to CS</w:t>
            </w:r>
          </w:p>
          <w:p w14:paraId="655B786E" w14:textId="77777777" w:rsidR="004A0DA7" w:rsidRDefault="004A0DA7" w:rsidP="004A0DA7">
            <w:pPr>
              <w:jc w:val="both"/>
              <w:rPr>
                <w:b/>
              </w:rPr>
            </w:pPr>
          </w:p>
          <w:p w14:paraId="0127F260" w14:textId="77777777" w:rsidR="004A0DA7" w:rsidRPr="00BD3D95" w:rsidRDefault="004A0DA7" w:rsidP="004A0DA7">
            <w:pPr>
              <w:jc w:val="both"/>
              <w:rPr>
                <w:b/>
              </w:rPr>
            </w:pPr>
          </w:p>
        </w:tc>
        <w:tc>
          <w:tcPr>
            <w:tcW w:w="2126" w:type="dxa"/>
          </w:tcPr>
          <w:p w14:paraId="7489FB41" w14:textId="77777777" w:rsidR="00D7381E" w:rsidRDefault="00D7381E" w:rsidP="00D7381E">
            <w:pPr>
              <w:jc w:val="center"/>
            </w:pPr>
          </w:p>
          <w:p w14:paraId="6C78D729" w14:textId="77777777" w:rsidR="00F8467A" w:rsidRDefault="00F8467A" w:rsidP="00D7381E">
            <w:pPr>
              <w:jc w:val="center"/>
            </w:pPr>
          </w:p>
          <w:p w14:paraId="72E33082" w14:textId="77777777" w:rsidR="00F8467A" w:rsidRPr="00E93E89" w:rsidRDefault="00F8467A" w:rsidP="00D7381E">
            <w:pPr>
              <w:jc w:val="center"/>
            </w:pPr>
            <w:r>
              <w:t>SS</w:t>
            </w:r>
          </w:p>
        </w:tc>
      </w:tr>
    </w:tbl>
    <w:p w14:paraId="07082C32" w14:textId="77777777" w:rsidR="00C37D86" w:rsidRPr="009D5D9A" w:rsidRDefault="00C37D86" w:rsidP="00E707A8"/>
    <w:sectPr w:rsidR="00C37D86" w:rsidRPr="009D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6236"/>
    <w:multiLevelType w:val="hybridMultilevel"/>
    <w:tmpl w:val="150E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22D96"/>
    <w:multiLevelType w:val="hybridMultilevel"/>
    <w:tmpl w:val="2FBE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6089E"/>
    <w:multiLevelType w:val="hybridMultilevel"/>
    <w:tmpl w:val="84F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15987"/>
    <w:multiLevelType w:val="hybridMultilevel"/>
    <w:tmpl w:val="C0A8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65CED"/>
    <w:multiLevelType w:val="hybridMultilevel"/>
    <w:tmpl w:val="3012697A"/>
    <w:lvl w:ilvl="0" w:tplc="0809000F">
      <w:start w:val="1"/>
      <w:numFmt w:val="decimal"/>
      <w:lvlText w:val="%1."/>
      <w:lvlJc w:val="left"/>
      <w:pPr>
        <w:ind w:left="720" w:hanging="360"/>
      </w:pPr>
    </w:lvl>
    <w:lvl w:ilvl="1" w:tplc="F45298BA">
      <w:numFmt w:val="bullet"/>
      <w:lvlText w:val="•"/>
      <w:lvlJc w:val="left"/>
      <w:pPr>
        <w:ind w:left="1440" w:hanging="360"/>
      </w:pPr>
      <w:rPr>
        <w:rFonts w:ascii="Museo Sans 500" w:eastAsiaTheme="minorHAnsi" w:hAnsi="Museo Sans 500" w:cs="Museo Sans 500"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9534C"/>
    <w:multiLevelType w:val="hybridMultilevel"/>
    <w:tmpl w:val="7F34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112A5"/>
    <w:multiLevelType w:val="hybridMultilevel"/>
    <w:tmpl w:val="1474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B4E03"/>
    <w:multiLevelType w:val="hybridMultilevel"/>
    <w:tmpl w:val="117E82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768A0"/>
    <w:multiLevelType w:val="hybridMultilevel"/>
    <w:tmpl w:val="07CC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548C2"/>
    <w:multiLevelType w:val="hybridMultilevel"/>
    <w:tmpl w:val="C1D6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313BF"/>
    <w:multiLevelType w:val="hybridMultilevel"/>
    <w:tmpl w:val="F208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34EFD"/>
    <w:multiLevelType w:val="hybridMultilevel"/>
    <w:tmpl w:val="EC06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E20D7"/>
    <w:multiLevelType w:val="hybridMultilevel"/>
    <w:tmpl w:val="29D2C0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 w:numId="8">
    <w:abstractNumId w:val="9"/>
  </w:num>
  <w:num w:numId="9">
    <w:abstractNumId w:val="12"/>
  </w:num>
  <w:num w:numId="10">
    <w:abstractNumId w:val="1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A8"/>
    <w:rsid w:val="00050D71"/>
    <w:rsid w:val="000F415D"/>
    <w:rsid w:val="00134A10"/>
    <w:rsid w:val="00147754"/>
    <w:rsid w:val="00195EAF"/>
    <w:rsid w:val="001A1E3F"/>
    <w:rsid w:val="001D1770"/>
    <w:rsid w:val="001E5E5C"/>
    <w:rsid w:val="00257919"/>
    <w:rsid w:val="003647B3"/>
    <w:rsid w:val="00382C96"/>
    <w:rsid w:val="00383BDE"/>
    <w:rsid w:val="0040405C"/>
    <w:rsid w:val="00434E19"/>
    <w:rsid w:val="004559E1"/>
    <w:rsid w:val="004610F0"/>
    <w:rsid w:val="00464409"/>
    <w:rsid w:val="004A0DA7"/>
    <w:rsid w:val="00536A26"/>
    <w:rsid w:val="00547A7E"/>
    <w:rsid w:val="00647E50"/>
    <w:rsid w:val="00745103"/>
    <w:rsid w:val="007D7DA6"/>
    <w:rsid w:val="0086429F"/>
    <w:rsid w:val="009074ED"/>
    <w:rsid w:val="009552EC"/>
    <w:rsid w:val="0099516B"/>
    <w:rsid w:val="009C41F9"/>
    <w:rsid w:val="009D5D9A"/>
    <w:rsid w:val="009D7C69"/>
    <w:rsid w:val="009F458B"/>
    <w:rsid w:val="00A31B7A"/>
    <w:rsid w:val="00A33417"/>
    <w:rsid w:val="00A8658F"/>
    <w:rsid w:val="00B470CB"/>
    <w:rsid w:val="00B5261C"/>
    <w:rsid w:val="00BB3645"/>
    <w:rsid w:val="00BD3D95"/>
    <w:rsid w:val="00BE037D"/>
    <w:rsid w:val="00C12E0B"/>
    <w:rsid w:val="00C37D86"/>
    <w:rsid w:val="00C54627"/>
    <w:rsid w:val="00C83C53"/>
    <w:rsid w:val="00CB0886"/>
    <w:rsid w:val="00CC095D"/>
    <w:rsid w:val="00CE779D"/>
    <w:rsid w:val="00CF16B5"/>
    <w:rsid w:val="00CF3CF1"/>
    <w:rsid w:val="00D53FD9"/>
    <w:rsid w:val="00D7381E"/>
    <w:rsid w:val="00DD1379"/>
    <w:rsid w:val="00DE7B04"/>
    <w:rsid w:val="00DF5B45"/>
    <w:rsid w:val="00E21CCB"/>
    <w:rsid w:val="00E707A8"/>
    <w:rsid w:val="00E8332D"/>
    <w:rsid w:val="00E93E89"/>
    <w:rsid w:val="00EB1241"/>
    <w:rsid w:val="00F07C53"/>
    <w:rsid w:val="00F8467A"/>
    <w:rsid w:val="00FA12A3"/>
    <w:rsid w:val="00FA321E"/>
    <w:rsid w:val="00FE50C9"/>
    <w:rsid w:val="00FF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6F73"/>
  <w15:docId w15:val="{E298C4D0-2F60-42B7-8ED5-9603455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754"/>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character" w:styleId="Hyperlink">
    <w:name w:val="Hyperlink"/>
    <w:basedOn w:val="DefaultParagraphFont"/>
    <w:uiPriority w:val="99"/>
    <w:unhideWhenUsed/>
    <w:rsid w:val="00C37D86"/>
    <w:rPr>
      <w:strike w:val="0"/>
      <w:dstrike w:val="0"/>
      <w:color w:val="2B8FA1"/>
      <w:u w:val="none"/>
      <w:effect w:val="none"/>
    </w:rPr>
  </w:style>
  <w:style w:type="paragraph" w:styleId="NormalWeb">
    <w:name w:val="Normal (Web)"/>
    <w:basedOn w:val="Normal"/>
    <w:uiPriority w:val="99"/>
    <w:unhideWhenUsed/>
    <w:rsid w:val="00C37D86"/>
    <w:pPr>
      <w:spacing w:before="180" w:after="180"/>
    </w:pPr>
    <w:rPr>
      <w:rFonts w:ascii="Times New Roman" w:eastAsia="Times New Roman" w:hAnsi="Times New Roman"/>
      <w:lang w:eastAsia="en-GB"/>
    </w:rPr>
  </w:style>
  <w:style w:type="paragraph" w:customStyle="1" w:styleId="Pa15">
    <w:name w:val="Pa15"/>
    <w:basedOn w:val="Normal"/>
    <w:next w:val="Normal"/>
    <w:uiPriority w:val="99"/>
    <w:rsid w:val="00C37D86"/>
    <w:pPr>
      <w:autoSpaceDE w:val="0"/>
      <w:autoSpaceDN w:val="0"/>
      <w:adjustRightInd w:val="0"/>
      <w:spacing w:line="221" w:lineRule="atLeast"/>
    </w:pPr>
    <w:rPr>
      <w:rFonts w:ascii="Museo Sans 500" w:hAnsi="Museo Sans 500"/>
    </w:rPr>
  </w:style>
  <w:style w:type="table" w:styleId="TableGrid">
    <w:name w:val="Table Grid"/>
    <w:basedOn w:val="TableNormal"/>
    <w:uiPriority w:val="59"/>
    <w:rsid w:val="00C3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58B"/>
    <w:rPr>
      <w:sz w:val="16"/>
      <w:szCs w:val="16"/>
    </w:rPr>
  </w:style>
  <w:style w:type="paragraph" w:styleId="CommentText">
    <w:name w:val="annotation text"/>
    <w:basedOn w:val="Normal"/>
    <w:link w:val="CommentTextChar"/>
    <w:uiPriority w:val="99"/>
    <w:semiHidden/>
    <w:unhideWhenUsed/>
    <w:rsid w:val="009F458B"/>
    <w:rPr>
      <w:sz w:val="20"/>
      <w:szCs w:val="20"/>
    </w:rPr>
  </w:style>
  <w:style w:type="character" w:customStyle="1" w:styleId="CommentTextChar">
    <w:name w:val="Comment Text Char"/>
    <w:basedOn w:val="DefaultParagraphFont"/>
    <w:link w:val="CommentText"/>
    <w:uiPriority w:val="99"/>
    <w:semiHidden/>
    <w:rsid w:val="009F458B"/>
    <w:rPr>
      <w:sz w:val="20"/>
      <w:szCs w:val="20"/>
    </w:rPr>
  </w:style>
  <w:style w:type="paragraph" w:styleId="CommentSubject">
    <w:name w:val="annotation subject"/>
    <w:basedOn w:val="CommentText"/>
    <w:next w:val="CommentText"/>
    <w:link w:val="CommentSubjectChar"/>
    <w:uiPriority w:val="99"/>
    <w:semiHidden/>
    <w:unhideWhenUsed/>
    <w:rsid w:val="009F458B"/>
    <w:rPr>
      <w:b/>
      <w:bCs/>
    </w:rPr>
  </w:style>
  <w:style w:type="character" w:customStyle="1" w:styleId="CommentSubjectChar">
    <w:name w:val="Comment Subject Char"/>
    <w:basedOn w:val="CommentTextChar"/>
    <w:link w:val="CommentSubject"/>
    <w:uiPriority w:val="99"/>
    <w:semiHidden/>
    <w:rsid w:val="009F458B"/>
    <w:rPr>
      <w:b/>
      <w:bCs/>
      <w:sz w:val="20"/>
      <w:szCs w:val="20"/>
    </w:rPr>
  </w:style>
  <w:style w:type="paragraph" w:styleId="BalloonText">
    <w:name w:val="Balloon Text"/>
    <w:basedOn w:val="Normal"/>
    <w:link w:val="BalloonTextChar"/>
    <w:uiPriority w:val="99"/>
    <w:semiHidden/>
    <w:unhideWhenUsed/>
    <w:rsid w:val="009F458B"/>
    <w:rPr>
      <w:rFonts w:ascii="Tahoma" w:hAnsi="Tahoma" w:cs="Tahoma"/>
      <w:sz w:val="16"/>
      <w:szCs w:val="16"/>
    </w:rPr>
  </w:style>
  <w:style w:type="character" w:customStyle="1" w:styleId="BalloonTextChar">
    <w:name w:val="Balloon Text Char"/>
    <w:basedOn w:val="DefaultParagraphFont"/>
    <w:link w:val="BalloonText"/>
    <w:uiPriority w:val="99"/>
    <w:semiHidden/>
    <w:rsid w:val="009F4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ghbourhoodplanning.org/toolkits-and-guidance/neighbourhood-planning-grant-technical-support-guidance-notes" TargetMode="External"/><Relationship Id="rId3" Type="http://schemas.openxmlformats.org/officeDocument/2006/relationships/settings" Target="settings.xml"/><Relationship Id="rId7" Type="http://schemas.openxmlformats.org/officeDocument/2006/relationships/hyperlink" Target="https://neighbourhoodplanning.org/about/technical-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ighbourhoodplanning.org/about/grant-funding" TargetMode="External"/><Relationship Id="rId11" Type="http://schemas.openxmlformats.org/officeDocument/2006/relationships/theme" Target="theme/theme1.xml"/><Relationship Id="rId5" Type="http://schemas.openxmlformats.org/officeDocument/2006/relationships/hyperlink" Target="https://mycommunity.org.uk/2018/03/15/new-neighbourhood-planning-programme-changes-to-my-community-everything-you-need-to-kn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ighbourhoodplanning.org/toolkits-and-guidance/how-to-consult-with-your-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Lisa Staggs</cp:lastModifiedBy>
  <cp:revision>2</cp:revision>
  <dcterms:created xsi:type="dcterms:W3CDTF">2019-02-07T15:45:00Z</dcterms:created>
  <dcterms:modified xsi:type="dcterms:W3CDTF">2019-02-07T15:45:00Z</dcterms:modified>
</cp:coreProperties>
</file>