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Welcome and Announcements</w:t>
      </w:r>
    </w:p>
    <w:p>
      <w:pPr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rFonts w:ascii="Times New Roman" w:hAnsi="Times New Roman" w:cs="Times New Roman"/>
          <w:color w:val="538135"/>
          <w:sz w:val="28"/>
          <w:szCs w:val="28"/>
        </w:rPr>
        <w:t xml:space="preserve">It’s time to return to church and recommit ourselves to worshipping and serving God together.  We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are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currently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meeting </w:t>
      </w:r>
      <w:r>
        <w:rPr>
          <w:rFonts w:ascii="Times New Roman" w:hAnsi="Times New Roman" w:cs="Times New Roman"/>
          <w:color w:val="538135"/>
          <w:sz w:val="28"/>
          <w:szCs w:val="28"/>
        </w:rPr>
        <w:t>in-person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for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10:00 am Sunday School and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11:00 am </w:t>
      </w:r>
      <w:r>
        <w:rPr>
          <w:rFonts w:ascii="Times New Roman" w:hAnsi="Times New Roman" w:cs="Times New Roman"/>
          <w:color w:val="538135"/>
          <w:sz w:val="28"/>
          <w:szCs w:val="28"/>
        </w:rPr>
        <w:t>W</w:t>
      </w:r>
      <w:r>
        <w:rPr>
          <w:rFonts w:ascii="Times New Roman" w:hAnsi="Times New Roman" w:cs="Times New Roman"/>
          <w:color w:val="538135"/>
          <w:sz w:val="28"/>
          <w:szCs w:val="28"/>
        </w:rPr>
        <w:t>orship</w:t>
      </w:r>
      <w:r>
        <w:rPr>
          <w:rFonts w:ascii="Times New Roman" w:hAnsi="Times New Roman" w:cs="Times New Roman"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8135"/>
          <w:sz w:val="28"/>
          <w:szCs w:val="28"/>
        </w:rPr>
        <w:t>Both services have safe-distance seating and masks are required.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 Pray that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we </w:t>
      </w:r>
      <w:r>
        <w:rPr>
          <w:rFonts w:ascii="Times New Roman" w:hAnsi="Times New Roman" w:cs="Times New Roman"/>
          <w:color w:val="538135"/>
          <w:sz w:val="28"/>
          <w:szCs w:val="28"/>
        </w:rPr>
        <w:t>will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expand and grow</w:t>
      </w:r>
      <w:r>
        <w:rPr>
          <w:rFonts w:ascii="Times New Roman" w:hAnsi="Times New Roman" w:cs="Times New Roman"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Last week’s Sunday School attendance = </w:t>
      </w:r>
      <w:r>
        <w:rPr>
          <w:rFonts w:ascii="Times New Roman" w:hAnsi="Times New Roman" w:cs="Times New Roman"/>
          <w:color w:val="538135"/>
          <w:sz w:val="28"/>
          <w:szCs w:val="28"/>
        </w:rPr>
        <w:t>1</w:t>
      </w:r>
      <w:r>
        <w:rPr>
          <w:rFonts w:ascii="Times New Roman" w:hAnsi="Times New Roman" w:cs="Times New Roman"/>
          <w:color w:val="538135"/>
          <w:sz w:val="28"/>
          <w:szCs w:val="28"/>
        </w:rPr>
        <w:t>4</w:t>
      </w: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spacing/>
        <w:jc w:val="center"/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noProof/>
        </w:rPr>
        <w:drawing>
          <wp:inline distT="0" distB="0" distL="0" distR="0">
            <wp:extent cx="3209925" cy="1457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Introduction</w:t>
      </w:r>
    </w:p>
    <w:p>
      <w:pPr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rFonts w:ascii="Times New Roman" w:hAnsi="Times New Roman" w:cs="Times New Roman"/>
          <w:color w:val="538135"/>
          <w:sz w:val="28"/>
          <w:szCs w:val="28"/>
        </w:rPr>
        <w:t>This week’s lesson centers on Peter’s Denial of Jesus (Luke 22</w:t>
      </w:r>
      <w:r>
        <w:rPr>
          <w:rFonts w:ascii="Times New Roman" w:hAnsi="Times New Roman" w:cs="Times New Roman"/>
          <w:color w:val="538135"/>
          <w:sz w:val="28"/>
          <w:szCs w:val="28"/>
        </w:rPr>
        <w:t>:</w:t>
      </w:r>
      <w:r>
        <w:rPr>
          <w:rFonts w:ascii="Times New Roman" w:hAnsi="Times New Roman" w:cs="Times New Roman"/>
          <w:color w:val="538135"/>
          <w:sz w:val="28"/>
          <w:szCs w:val="28"/>
        </w:rPr>
        <w:t>54-62</w:t>
      </w:r>
      <w:r>
        <w:rPr>
          <w:rFonts w:ascii="Times New Roman" w:hAnsi="Times New Roman" w:cs="Times New Roman"/>
          <w:color w:val="538135"/>
          <w:sz w:val="28"/>
          <w:szCs w:val="28"/>
        </w:rPr>
        <w:t>)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538135"/>
          <w:sz w:val="28"/>
          <w:szCs w:val="28"/>
        </w:rPr>
        <w:t>H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ere we’ll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briefly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consider </w:t>
      </w:r>
      <w:r>
        <w:rPr>
          <w:rFonts w:ascii="Times New Roman" w:hAnsi="Times New Roman" w:cs="Times New Roman"/>
          <w:color w:val="538135"/>
          <w:sz w:val="28"/>
          <w:szCs w:val="28"/>
        </w:rPr>
        <w:t>a summary of Peter’s life and accomplishments</w:t>
      </w:r>
      <w:r>
        <w:rPr>
          <w:rFonts w:ascii="Times New Roman" w:hAnsi="Times New Roman" w:cs="Times New Roman"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Peter</w:t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/>
      <w:bookmarkStart w:id="0" w:name="19"/>
      <w:r/>
      <w:bookmarkEnd w:id="0"/>
      <w:r/>
      <w:r>
        <w:rPr>
          <w:rFonts w:ascii="Times New Roman" w:hAnsi="Times New Roman" w:cs="Times New Roman"/>
          <w:bCs/>
          <w:color w:val="538135"/>
          <w:sz w:val="28"/>
          <w:szCs w:val="28"/>
        </w:rPr>
        <w:t>Jesus’ first words to Peter were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“come, ye after me” (Mark 1:17).  His last words to him were “follow thou me (John 21:22).  Although he stumbled at times in between these two, Peter follow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ed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Jesus.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 Here are but a few highlights of his life: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Simon Bar Jonah – renamed Peter (petros = rock) by Jesus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Along with his brother Andrew, fishermen by trade before being called as a disciple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A leader among the disciples and the early church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At times brash and impulsive in his enthusiasm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Among Jesus’ closest disciples (along with James and John)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Stepped out on the water, walking to Jesus (Matthew 14:25-33)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First to recognize Jesus as Messiah (Matthew 16:15-18)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Rebuked by Jesus,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Get thee behind me, Satan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”, for his response to Jesus’ telling of His suffering and death (Mark 8:31-33)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Eyewitness to the Transfiguration (Matthew 17:1-9)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Denied Jesus 3 times, less than 24 hours after stating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I am ready to go with thee, both into prison, and to death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(Luke 22:33)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Forgiven by Jesus and directed to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Feed my sheep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(John 21:15-22)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Delivered a mighty sermon on the Day of Pentecost (Acts 2:14-41)</w:t>
      </w:r>
    </w:p>
    <w:p>
      <w:pPr>
        <w:pStyle w:val="para6"/>
        <w:numPr>
          <w:ilvl w:val="0"/>
          <w:numId w:val="15"/>
        </w:numPr>
        <w:ind w:left="720" w:hanging="360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First to proclaim salvation to Gentiles (in the home of Cornelius, Acts 10)</w:t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Denial and Forgiveness</w:t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32</w:t>
      </w:r>
      <w:r>
        <w:rPr>
          <w:rFonts w:ascii="Times New Roman" w:hAnsi="Times New Roman" w:cs="Times New Roman"/>
          <w:i/>
          <w:iCs/>
          <w:color w:val="538135"/>
          <w:sz w:val="28"/>
          <w:szCs w:val="28"/>
        </w:rPr>
        <w:t xml:space="preserve">Whosoever therefore shall confess me before men, him will I confess also before my Father which is in heaven. 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33</w:t>
      </w:r>
      <w:r>
        <w:rPr>
          <w:rFonts w:ascii="Times New Roman" w:hAnsi="Times New Roman" w:cs="Times New Roman"/>
          <w:i/>
          <w:iCs/>
          <w:color w:val="538135"/>
          <w:sz w:val="28"/>
          <w:szCs w:val="28"/>
        </w:rPr>
        <w:t>But whosoever shall deny me before men, him will I also deny before my Father which is in heaven.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  <w:t>Matthew 10: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  <w:t>32-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  <w:t>33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8"/>
          <w:szCs w:val="8"/>
        </w:rPr>
      </w:pPr>
      <w:r>
        <w:rPr>
          <w:rFonts w:ascii="Times New Roman" w:hAnsi="Times New Roman" w:cs="Times New Roman"/>
          <w:bCs/>
          <w:color w:val="538135"/>
          <w:sz w:val="8"/>
          <w:szCs w:val="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38</w:t>
      </w:r>
      <w:r>
        <w:rPr>
          <w:rFonts w:ascii="Times New Roman" w:hAnsi="Times New Roman" w:cs="Times New Roman"/>
          <w:i/>
          <w:iCs/>
          <w:color w:val="538135"/>
          <w:sz w:val="28"/>
          <w:szCs w:val="28"/>
        </w:rPr>
        <w:t>Whosoever therefore shall be ashamed of me and of my words in this adulterous and sinful generation; of him also shall the Son of man be ashamed, when he cometh in the glory of his Father with the holy angels.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  <w:t>Mark 8:38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8"/>
          <w:szCs w:val="8"/>
        </w:rPr>
      </w:pPr>
      <w:r>
        <w:rPr>
          <w:rFonts w:ascii="Times New Roman" w:hAnsi="Times New Roman" w:cs="Times New Roman"/>
          <w:bCs/>
          <w:color w:val="538135"/>
          <w:sz w:val="8"/>
          <w:szCs w:val="8"/>
        </w:rPr>
      </w:r>
    </w:p>
    <w:p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i/>
          <w:iCs/>
          <w:color w:val="538135"/>
          <w:sz w:val="28"/>
          <w:szCs w:val="28"/>
        </w:rPr>
        <w:t xml:space="preserve">If we confess our sins, he is faithful and just to forgive us our sins, and to cleanse us from all unrighteousness. 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  <w:t>1 John 1:9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</w:r>
    </w:p>
    <w:p>
      <w:pPr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Denying Christ is a serious offense with eternal consequences, “</w:t>
      </w:r>
      <w:r>
        <w:rPr>
          <w:rFonts w:ascii="Times New Roman" w:hAnsi="Times New Roman" w:cs="Times New Roman"/>
          <w:i/>
          <w:iCs/>
          <w:color w:val="538135"/>
          <w:sz w:val="28"/>
          <w:szCs w:val="28"/>
        </w:rPr>
        <w:t>But thanks be to God, which giveth us the victory through our Lord Jesus Christ</w:t>
      </w:r>
      <w:r>
        <w:rPr>
          <w:rFonts w:ascii="Times New Roman" w:hAnsi="Times New Roman" w:cs="Times New Roman"/>
          <w:color w:val="538135"/>
          <w:sz w:val="28"/>
          <w:szCs w:val="28"/>
        </w:rPr>
        <w:t>” (1 Corinthians 15:57) there is forgiveness and “</w:t>
      </w:r>
      <w:r>
        <w:rPr>
          <w:rFonts w:ascii="Times New Roman" w:hAnsi="Times New Roman" w:cs="Times New Roman"/>
          <w:i/>
          <w:iCs/>
          <w:color w:val="538135"/>
          <w:sz w:val="28"/>
          <w:szCs w:val="28"/>
        </w:rPr>
        <w:t>eternal life through Jesus Christ our Lord</w:t>
      </w:r>
      <w:r>
        <w:rPr>
          <w:rFonts w:ascii="Times New Roman" w:hAnsi="Times New Roman" w:cs="Times New Roman"/>
          <w:color w:val="538135"/>
          <w:sz w:val="28"/>
          <w:szCs w:val="28"/>
        </w:rPr>
        <w:t>” (Romans 6:23)</w:t>
      </w:r>
      <w:r>
        <w:rPr>
          <w:rFonts w:ascii="Times New Roman" w:hAnsi="Times New Roman" w:cs="Times New Roman"/>
          <w:i/>
          <w:iCs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 That is why Jesus went to the cross.</w:t>
      </w: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Conclusion</w:t>
      </w:r>
    </w:p>
    <w:p>
      <w:pP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When Peter met Jesus, the rugged fisherman became a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new creature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(2 Corinthians 5:17) in Christ; not yet a perfect person but a forgiven Work-In-Progress through the grace of the Holy Spirit.  Likewise, we like Peter are saved by faith in Jesus,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not by works of righteousness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 xml:space="preserve"> which we have done, but according to his mercy he 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saved us, by the washing of regeneration, and renewing of the Holy Ghost;</w:t>
      </w:r>
      <w:r/>
      <w:bookmarkStart w:id="1" w:name="6"/>
      <w:r/>
      <w:bookmarkEnd w:id="1"/>
      <w:r/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Which he shed on us abundantly through Jesus Christ our Savior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(Titus 3:5).  God specializes in using ordinary people in His service; shaping us into the image of Christ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filled with the fruits of righteousness, which are by Jesus Christ, unto the glory and praise of God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(Philippians 1:11)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C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hanged into the same image from glory to glory, even as by the Spirit of the Lord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(2 Corinthians 3:18).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“To the praise of the glory of his grace, wherein he hath made us accepted in the beloved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(Ephesians 1:6).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 xml:space="preserve">Now when they saw the boldness of Peter and John, and perceived that they were unlearned and ignorant men, they marveled; and they took knowledge of them, that they had been with Jesus.  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  <w:t>Acts 4:13</w:t>
      </w:r>
      <w:r>
        <w:rPr>
          <w:rFonts w:ascii="Times New Roman" w:hAnsi="Times New Roman" w:cs="Times New Roman"/>
          <w:b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May we each day be bold in our witness of the Gospel, that those around us take knowledge that we have been with Jesus.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9"/>
      <w:type w:val="nextPage"/>
      <w:pgSz w:h="15840" w:w="12240"/>
      <w:pgMar w:left="720" w:top="720" w:right="720" w:bottom="720" w:footer="0"/>
      <w:paperSrc w:first="0" w:other="0" a="0" b="0"/>
      <w:pgNumType w:fmt="decimal"/>
      <w:tmGutter w:val="3"/>
      <w:mirrorMargins w:val="0"/>
      <w:tmSection w:h="-2">
        <w:tmHeader w:id="0" w:h="0" edge="720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Calibri">
    <w:charset w:val="00"/>
    <w:family w:val="swiss"/>
    <w:pitch w:val="default"/>
  </w:font>
  <w:font w:name="Verdana">
    <w:charset w:val="00"/>
    <w:family w:val="swiss"/>
    <w:pitch w:val="default"/>
  </w:font>
  <w:font w:name="Calibri Light">
    <w:charset w:val="00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  <w:spacing/>
      <w:jc w:val="center"/>
      <w:rPr>
        <w:sz w:val="4"/>
        <w:szCs w:val="4"/>
      </w:rPr>
    </w:pPr>
    <w:r>
      <w:t>5/09/21 Lesson 111</w:t>
      <w:tab/>
      <w:tab/>
      <w:t>Peter</w:t>
    </w:r>
    <w:r>
      <w:rPr>
        <w:sz w:val="4"/>
        <w:szCs w:val="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)"/>
      <w:lvlJc w:val="left"/>
      <w:pPr>
        <w:ind w:left="285" w:hanging="0"/>
      </w:pPr>
    </w:lvl>
    <w:lvl w:ilvl="1">
      <w:start w:val="1"/>
      <w:numFmt w:val="lowerLetter"/>
      <w:suff w:val="tab"/>
      <w:lvlText w:val="%2."/>
      <w:lvlJc w:val="left"/>
      <w:pPr>
        <w:ind w:left="1005" w:hanging="0"/>
      </w:pPr>
    </w:lvl>
    <w:lvl w:ilvl="2">
      <w:start w:val="1"/>
      <w:numFmt w:val="lowerRoman"/>
      <w:suff w:val="tab"/>
      <w:lvlText w:val="%3."/>
      <w:lvlJc w:val="left"/>
      <w:pPr>
        <w:ind w:left="1905" w:hanging="0"/>
      </w:pPr>
    </w:lvl>
    <w:lvl w:ilvl="3">
      <w:start w:val="1"/>
      <w:numFmt w:val="decimal"/>
      <w:suff w:val="tab"/>
      <w:lvlText w:val="%4."/>
      <w:lvlJc w:val="left"/>
      <w:pPr>
        <w:ind w:left="2445" w:hanging="0"/>
      </w:pPr>
    </w:lvl>
    <w:lvl w:ilvl="4">
      <w:start w:val="1"/>
      <w:numFmt w:val="lowerLetter"/>
      <w:suff w:val="tab"/>
      <w:lvlText w:val="%5."/>
      <w:lvlJc w:val="left"/>
      <w:pPr>
        <w:ind w:left="3165" w:hanging="0"/>
      </w:pPr>
    </w:lvl>
    <w:lvl w:ilvl="5">
      <w:start w:val="1"/>
      <w:numFmt w:val="lowerRoman"/>
      <w:suff w:val="tab"/>
      <w:lvlText w:val="%6."/>
      <w:lvlJc w:val="left"/>
      <w:pPr>
        <w:ind w:left="4065" w:hanging="0"/>
      </w:pPr>
    </w:lvl>
    <w:lvl w:ilvl="6">
      <w:start w:val="1"/>
      <w:numFmt w:val="decimal"/>
      <w:suff w:val="tab"/>
      <w:lvlText w:val="%7."/>
      <w:lvlJc w:val="left"/>
      <w:pPr>
        <w:ind w:left="4605" w:hanging="0"/>
      </w:pPr>
    </w:lvl>
    <w:lvl w:ilvl="7">
      <w:start w:val="1"/>
      <w:numFmt w:val="lowerLetter"/>
      <w:suff w:val="tab"/>
      <w:lvlText w:val="%8."/>
      <w:lvlJc w:val="left"/>
      <w:pPr>
        <w:ind w:left="5325" w:hanging="0"/>
      </w:pPr>
    </w:lvl>
    <w:lvl w:ilvl="8">
      <w:start w:val="1"/>
      <w:numFmt w:val="lowerRoman"/>
      <w:suff w:val="tab"/>
      <w:lvlText w:val="%9."/>
      <w:lvlJc w:val="left"/>
      <w:pPr>
        <w:ind w:left="6225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)"/>
      <w:lvlJc w:val="left"/>
      <w:pPr>
        <w:ind w:left="360" w:hanging="0"/>
      </w:pPr>
      <w:rPr>
        <w:u w:color="auto" w:val="singl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Numbered list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Numbered list 7"/>
    <w:lvl w:ilvl="0">
      <w:start w:val="1"/>
      <w:numFmt w:val="decimal"/>
      <w:suff w:val="tab"/>
      <w:lvlText w:val="%1)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8">
    <w:multiLevelType w:val="hybridMultilevel"/>
    <w:name w:val="Numbered list 8"/>
    <w:lvl w:ilvl="0">
      <w:start w:val="1"/>
      <w:numFmt w:val="decimal"/>
      <w:suff w:val="tab"/>
      <w:lvlText w:val="%1)"/>
      <w:lvlJc w:val="left"/>
      <w:pPr>
        <w:ind w:left="1440" w:hanging="0"/>
      </w:pPr>
    </w:lvl>
    <w:lvl w:ilvl="1">
      <w:start w:val="1"/>
      <w:numFmt w:val="lowerLetter"/>
      <w:suff w:val="tab"/>
      <w:lvlText w:val="%2."/>
      <w:lvlJc w:val="left"/>
      <w:pPr>
        <w:ind w:left="2160" w:hanging="0"/>
      </w:pPr>
    </w:lvl>
    <w:lvl w:ilvl="2">
      <w:start w:val="1"/>
      <w:numFmt w:val="lowerRoman"/>
      <w:suff w:val="tab"/>
      <w:lvlText w:val="%3."/>
      <w:lvlJc w:val="left"/>
      <w:pPr>
        <w:ind w:left="3060" w:hanging="0"/>
      </w:pPr>
    </w:lvl>
    <w:lvl w:ilvl="3">
      <w:start w:val="1"/>
      <w:numFmt w:val="decimal"/>
      <w:suff w:val="tab"/>
      <w:lvlText w:val="%4."/>
      <w:lvlJc w:val="left"/>
      <w:pPr>
        <w:ind w:left="3600" w:hanging="0"/>
      </w:pPr>
    </w:lvl>
    <w:lvl w:ilvl="4">
      <w:start w:val="1"/>
      <w:numFmt w:val="lowerLetter"/>
      <w:suff w:val="tab"/>
      <w:lvlText w:val="%5."/>
      <w:lvlJc w:val="left"/>
      <w:pPr>
        <w:ind w:left="4320" w:hanging="0"/>
      </w:pPr>
    </w:lvl>
    <w:lvl w:ilvl="5">
      <w:start w:val="1"/>
      <w:numFmt w:val="lowerRoman"/>
      <w:suff w:val="tab"/>
      <w:lvlText w:val="%6."/>
      <w:lvlJc w:val="left"/>
      <w:pPr>
        <w:ind w:left="5220" w:hanging="0"/>
      </w:pPr>
    </w:lvl>
    <w:lvl w:ilvl="6">
      <w:start w:val="1"/>
      <w:numFmt w:val="decimal"/>
      <w:suff w:val="tab"/>
      <w:lvlText w:val="%7."/>
      <w:lvlJc w:val="left"/>
      <w:pPr>
        <w:ind w:left="5760" w:hanging="0"/>
      </w:pPr>
    </w:lvl>
    <w:lvl w:ilvl="7">
      <w:start w:val="1"/>
      <w:numFmt w:val="lowerLetter"/>
      <w:suff w:val="tab"/>
      <w:lvlText w:val="%8."/>
      <w:lvlJc w:val="left"/>
      <w:pPr>
        <w:ind w:left="6480" w:hanging="0"/>
      </w:pPr>
    </w:lvl>
    <w:lvl w:ilvl="8">
      <w:start w:val="1"/>
      <w:numFmt w:val="lowerRoman"/>
      <w:suff w:val="tab"/>
      <w:lvlText w:val="%9."/>
      <w:lvlJc w:val="left"/>
      <w:pPr>
        <w:ind w:left="7380" w:hanging="0"/>
      </w:pPr>
    </w:lvl>
  </w:abstractNum>
  <w:abstractNum w:abstractNumId="9">
    <w:multiLevelType w:val="hybridMultilevel"/>
    <w:name w:val="Numbered list 9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)"/>
      <w:lvlJc w:val="left"/>
      <w:pPr>
        <w:ind w:left="1440" w:hanging="0"/>
      </w:pPr>
    </w:lvl>
    <w:lvl w:ilvl="1">
      <w:start w:val="1"/>
      <w:numFmt w:val="lowerLetter"/>
      <w:suff w:val="tab"/>
      <w:lvlText w:val="%2."/>
      <w:lvlJc w:val="left"/>
      <w:pPr>
        <w:ind w:left="2160" w:hanging="0"/>
      </w:pPr>
    </w:lvl>
    <w:lvl w:ilvl="2">
      <w:start w:val="1"/>
      <w:numFmt w:val="lowerRoman"/>
      <w:suff w:val="tab"/>
      <w:lvlText w:val="%3."/>
      <w:lvlJc w:val="left"/>
      <w:pPr>
        <w:ind w:left="3060" w:hanging="0"/>
      </w:pPr>
    </w:lvl>
    <w:lvl w:ilvl="3">
      <w:start w:val="1"/>
      <w:numFmt w:val="decimal"/>
      <w:suff w:val="tab"/>
      <w:lvlText w:val="%4."/>
      <w:lvlJc w:val="left"/>
      <w:pPr>
        <w:ind w:left="3600" w:hanging="0"/>
      </w:pPr>
    </w:lvl>
    <w:lvl w:ilvl="4">
      <w:start w:val="1"/>
      <w:numFmt w:val="lowerLetter"/>
      <w:suff w:val="tab"/>
      <w:lvlText w:val="%5."/>
      <w:lvlJc w:val="left"/>
      <w:pPr>
        <w:ind w:left="4320" w:hanging="0"/>
      </w:pPr>
    </w:lvl>
    <w:lvl w:ilvl="5">
      <w:start w:val="1"/>
      <w:numFmt w:val="lowerRoman"/>
      <w:suff w:val="tab"/>
      <w:lvlText w:val="%6."/>
      <w:lvlJc w:val="left"/>
      <w:pPr>
        <w:ind w:left="5220" w:hanging="0"/>
      </w:pPr>
    </w:lvl>
    <w:lvl w:ilvl="6">
      <w:start w:val="1"/>
      <w:numFmt w:val="decimal"/>
      <w:suff w:val="tab"/>
      <w:lvlText w:val="%7."/>
      <w:lvlJc w:val="left"/>
      <w:pPr>
        <w:ind w:left="5760" w:hanging="0"/>
      </w:pPr>
    </w:lvl>
    <w:lvl w:ilvl="7">
      <w:start w:val="1"/>
      <w:numFmt w:val="lowerLetter"/>
      <w:suff w:val="tab"/>
      <w:lvlText w:val="%8."/>
      <w:lvlJc w:val="left"/>
      <w:pPr>
        <w:ind w:left="6480" w:hanging="0"/>
      </w:pPr>
    </w:lvl>
    <w:lvl w:ilvl="8">
      <w:start w:val="1"/>
      <w:numFmt w:val="lowerRoman"/>
      <w:suff w:val="tab"/>
      <w:lvlText w:val="%9."/>
      <w:lvlJc w:val="left"/>
      <w:pPr>
        <w:ind w:left="7380" w:hanging="0"/>
      </w:pPr>
    </w:lvl>
  </w:abstractNum>
  <w:abstractNum w:abstractNumId="12">
    <w:multiLevelType w:val="hybridMultilevel"/>
    <w:name w:val="Numbered list 12"/>
    <w:lvl w:ilvl="0">
      <w:start w:val="1"/>
      <w:numFmt w:val="decimal"/>
      <w:suff w:val="tab"/>
      <w:lvlText w:val="%1)"/>
      <w:lvlJc w:val="left"/>
      <w:pPr>
        <w:ind w:left="-450" w:hanging="0"/>
      </w:pPr>
      <w:rPr>
        <w:b/>
        <w:iCs/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270" w:hanging="0"/>
      </w:pPr>
    </w:lvl>
    <w:lvl w:ilvl="2">
      <w:start w:val="1"/>
      <w:numFmt w:val="lowerRoman"/>
      <w:suff w:val="tab"/>
      <w:lvlText w:val="%3."/>
      <w:lvlJc w:val="left"/>
      <w:pPr>
        <w:ind w:left="1170" w:hanging="0"/>
      </w:pPr>
    </w:lvl>
    <w:lvl w:ilvl="3">
      <w:start w:val="1"/>
      <w:numFmt w:val="decimal"/>
      <w:suff w:val="tab"/>
      <w:lvlText w:val="%4."/>
      <w:lvlJc w:val="left"/>
      <w:pPr>
        <w:ind w:left="1710" w:hanging="0"/>
      </w:pPr>
    </w:lvl>
    <w:lvl w:ilvl="4">
      <w:start w:val="1"/>
      <w:numFmt w:val="lowerLetter"/>
      <w:suff w:val="tab"/>
      <w:lvlText w:val="%5."/>
      <w:lvlJc w:val="left"/>
      <w:pPr>
        <w:ind w:left="2430" w:hanging="0"/>
      </w:pPr>
    </w:lvl>
    <w:lvl w:ilvl="5">
      <w:start w:val="1"/>
      <w:numFmt w:val="lowerRoman"/>
      <w:suff w:val="tab"/>
      <w:lvlText w:val="%6."/>
      <w:lvlJc w:val="left"/>
      <w:pPr>
        <w:ind w:left="3330" w:hanging="0"/>
      </w:pPr>
    </w:lvl>
    <w:lvl w:ilvl="6">
      <w:start w:val="1"/>
      <w:numFmt w:val="decimal"/>
      <w:suff w:val="tab"/>
      <w:lvlText w:val="%7."/>
      <w:lvlJc w:val="left"/>
      <w:pPr>
        <w:ind w:left="3870" w:hanging="0"/>
      </w:pPr>
    </w:lvl>
    <w:lvl w:ilvl="7">
      <w:start w:val="1"/>
      <w:numFmt w:val="lowerLetter"/>
      <w:suff w:val="tab"/>
      <w:lvlText w:val="%8."/>
      <w:lvlJc w:val="left"/>
      <w:pPr>
        <w:ind w:left="4590" w:hanging="0"/>
      </w:pPr>
    </w:lvl>
    <w:lvl w:ilvl="8">
      <w:start w:val="1"/>
      <w:numFmt w:val="lowerRoman"/>
      <w:suff w:val="tab"/>
      <w:lvlText w:val="%9."/>
      <w:lvlJc w:val="left"/>
      <w:pPr>
        <w:ind w:left="5490" w:hanging="0"/>
      </w:pPr>
    </w:lvl>
  </w:abstractNum>
  <w:abstractNum w:abstractNumId="13">
    <w:multiLevelType w:val="hybridMultilevel"/>
    <w:name w:val="Numbered list 1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Numbered list 1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5">
    <w:multiLevelType w:val="hybridMultilevel"/>
    <w:name w:val="Numbered list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94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0392665" w:val="1030" w:fileVer="342" w:fileVer64="64" w:fileVerOS="3">
    <w:pdfExportOpt pagesRangeIndex="1" pagesSelectionIndex="0" qualityIndex="0" embedFonts="2" pdfaType="0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noticon/Working Files/Church Documents/Wake Union Baptist Church/Covid 19 Documents/Morning Assemblies/5-09-21_Peter.pdf" map="1"/>
  </w:tmAppRevision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40" w:lineRule="auto"/>
      <w:keepNext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para2">
    <w:name w:val="heading 3"/>
    <w:qFormat/>
    <w:basedOn w:val="para0"/>
    <w:next w:val="para0"/>
    <w:pPr>
      <w:spacing w:line="240" w:lineRule="auto"/>
      <w:keepNext/>
      <w:outlineLvl w:val="2"/>
    </w:pPr>
    <w:rPr>
      <w:rFonts w:ascii="Times New Roman" w:hAnsi="Times New Roman" w:eastAsia="Times New Roman" w:cs="Times New Roman"/>
      <w:i/>
      <w:sz w:val="20"/>
      <w:szCs w:val="20"/>
    </w:rPr>
  </w:style>
  <w:style w:type="paragraph" w:styleId="para3">
    <w:name w:val="Head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4">
    <w:name w:val="Foot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5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No Spacing"/>
    <w:qFormat/>
    <w:pPr>
      <w:spacing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lf-line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character" w:styleId="char6" w:customStyle="1">
    <w:name w:val="Heading 1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Heading 3 Char"/>
    <w:basedOn w:val="char0"/>
    <w:rPr>
      <w:rFonts w:ascii="Times New Roman" w:hAnsi="Times New Roman" w:eastAsia="Times New Roman" w:cs="Times New Roman"/>
      <w:i/>
      <w:sz w:val="20"/>
      <w:szCs w:val="2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Basic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40" w:lineRule="auto"/>
      <w:keepNext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para2">
    <w:name w:val="heading 3"/>
    <w:qFormat/>
    <w:basedOn w:val="para0"/>
    <w:next w:val="para0"/>
    <w:pPr>
      <w:spacing w:line="240" w:lineRule="auto"/>
      <w:keepNext/>
      <w:outlineLvl w:val="2"/>
    </w:pPr>
    <w:rPr>
      <w:rFonts w:ascii="Times New Roman" w:hAnsi="Times New Roman" w:eastAsia="Times New Roman" w:cs="Times New Roman"/>
      <w:i/>
      <w:sz w:val="20"/>
      <w:szCs w:val="20"/>
    </w:rPr>
  </w:style>
  <w:style w:type="paragraph" w:styleId="para3">
    <w:name w:val="Head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4">
    <w:name w:val="Foot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5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No Spacing"/>
    <w:qFormat/>
    <w:pPr>
      <w:spacing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lf-line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character" w:styleId="char6" w:customStyle="1">
    <w:name w:val="Heading 1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Heading 3 Char"/>
    <w:basedOn w:val="char0"/>
    <w:rPr>
      <w:rFonts w:ascii="Times New Roman" w:hAnsi="Times New Roman" w:eastAsia="Times New Roman" w:cs="Times New Roman"/>
      <w:i/>
      <w:sz w:val="20"/>
      <w:szCs w:val="2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chart" Target="charts/chart1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roundedCorners val="0"/>
  <c:chart>
    <c:title>
      <c:tx>
        <c:rich>
          <a:bodyPr anchor="ctr" anchorCtr="1"/>
          <a:lstStyle/>
          <a:p>
            <a:pPr>
              <a:defRPr lang="en-us" sz="1100" b="0" i="0" u="none" strike="noStrike">
                <a:solidFill>
                  <a:srgbClr val="595959"/>
                </a:solidFill>
                <a:latin typeface="Calibri" charset="0"/>
              </a:defRPr>
            </a:pPr>
            <a:r>
              <a:t>To God Be The Glory</a:t>
            </a:r>
          </a:p>
        </c:rich>
      </c:tx>
      <c:layout/>
      <c:overlay val="0"/>
      <c:spPr>
        <a:noFill/>
        <a:ln w="9525">
          <a:solidFill>
            <a:srgbClr val="385724"/>
          </a:solidFill>
        </a:ln>
      </c:spPr>
    </c:title>
    <c:plotArea>
      <c:layout/>
      <c:lineChart>
        <c:grouping val="standard"/>
        <c:ser>
          <c:idx val="0"/>
          <c:order val="0"/>
          <c:tx>
            <c:v>Sunday School Attendance</c:v>
          </c:tx>
          <c:spPr>
            <a:ln w="28575">
              <a:solidFill>
                <a:srgbClr val="ED7D31"/>
              </a:solidFill>
            </a:ln>
          </c:spPr>
          <c:marker>
            <c:symbol val="none"/>
          </c:marker>
          <c:cat>
            <c:numLit>
              <c:formatCode>M/D/YYYY</c:formatCode>
              <c:ptCount val="5"/>
              <c:pt idx="0">
                <c:v>44297</c:v>
              </c:pt>
              <c:pt idx="1">
                <c:v>44304</c:v>
              </c:pt>
              <c:pt idx="2">
                <c:v>44311</c:v>
              </c:pt>
              <c:pt idx="3">
                <c:v>44318</c:v>
              </c:pt>
              <c:pt idx="4">
                <c:v>44325</c:v>
              </c:pt>
            </c:numLit>
          </c:cat>
          <c:val>
            <c:numLit>
              <c:formatCode>General</c:formatCode>
              <c:ptCount val="5"/>
              <c:pt idx="0">
                <c:v>9</c:v>
              </c:pt>
              <c:pt idx="1">
                <c:v>16</c:v>
              </c:pt>
              <c:pt idx="2">
                <c:v>19</c:v>
              </c:pt>
              <c:pt idx="3">
                <c:v>14</c:v>
              </c:pt>
              <c:pt idx="4" formatCode="General">
                <c:v>14</c:v>
              </c:pt>
            </c:numLit>
          </c:val>
          <c:smooth val="0"/>
          <c:extLst>
            <c:ext xmlns:sm="smo" uri="smo">
              <sm:meanLine>
                <c:spPr>
                  <a:ln>
                    <a:noFill/>
                  </a:ln>
                </c:spPr>
              </sm:meanLine>
              <sm:minMaxLine>
                <c:spPr>
                  <a:ln>
                    <a:noFill/>
                  </a:ln>
                </c:spPr>
              </sm:minMaxLine>
              <sm:stDevLine>
                <c:spPr>
                  <a:ln>
                    <a:noFill/>
                  </a:ln>
                </c:spPr>
              </sm:stDevLine>
              <sm:trendLine>
                <c:spPr>
                  <a:ln>
                    <a:noFill/>
                  </a:ln>
                </c:spPr>
              </sm:trendLin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extLst>
          <c:ext xmlns:sm="smo" uri="smo">
            <sm:boxPlot xmlns:sm="smo" val="0"/>
            <sm:turned xmlns:sm="smo" val="0"/>
          </c:ext>
        </c:extLst>
        <c:axId val="10"/>
        <c:axId val="11"/>
      </c:lineChart>
      <c:dateAx>
        <c:axId val="10"/>
        <c:scaling>
          <c:orientation val="minMax"/>
        </c:scaling>
        <c:delete val="0"/>
        <c:axPos val="b"/>
        <c:minorGridlines>
          <c:spPr>
            <a:ln w="9525">
              <a:solidFill>
                <a:srgbClr val="F2F2F2"/>
              </a:solidFill>
            </a:ln>
          </c:spPr>
        </c:minorGridlines>
        <c:numFmt formatCode="M/D/YYYY" sourceLinked="1"/>
        <c:majorTickMark val="none"/>
        <c:minorTickMark val="none"/>
        <c:tickLblPos val="nextTo"/>
        <c:spPr>
          <a:ln w="9525">
            <a:solidFill>
              <a:srgbClr val="D8D8D8"/>
            </a:solidFill>
          </a:ln>
        </c:spPr>
        <c:txPr>
          <a:bodyPr anchor="ctr" anchorCtr="1" rot="-60000000"/>
          <a:lstStyle/>
          <a:p>
            <a:pPr>
              <a:defRPr lang="en-us" sz="800" b="0" i="0" u="none" strike="noStrike">
                <a:solidFill>
                  <a:srgbClr val="595959"/>
                </a:solidFill>
                <a:latin typeface="Calibri" charset="0"/>
              </a:defRPr>
            </a:pPr>
          </a:p>
        </c:txPr>
        <c:crossAx val="11"/>
        <c:crosses val="autoZero"/>
        <c:baseTimeUnit val="days"/>
        <c:majorUnit val="7"/>
        <c:majorTimeUnit val="days"/>
        <c:minorUnit val="7"/>
        <c:minorTimeUnit val="days"/>
      </c:dateAx>
      <c:valAx>
        <c:axId val="11"/>
        <c:scaling>
          <c:orientation val="minMax"/>
        </c:scaling>
        <c:delete val="0"/>
        <c:axPos val="l"/>
        <c:majorGridlines>
          <c:spPr>
            <a:ln w="9525">
              <a:solidFill>
                <a:srgbClr val="D8D8D8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anchor="ctr" anchorCtr="1" rot="-60000000"/>
          <a:lstStyle/>
          <a:p>
            <a:pPr>
              <a:defRPr lang="en-us" sz="800" b="0" i="0" u="none" strike="noStrike">
                <a:solidFill>
                  <a:srgbClr val="595959"/>
                </a:solidFill>
                <a:latin typeface="Calibri" charset="0"/>
              </a:defRPr>
            </a:pPr>
          </a:p>
        </c:txPr>
        <c:crossAx val="10"/>
        <c:crosses val="autoZero"/>
        <c:crossBetween val="between"/>
      </c:valAx>
      <c:spPr>
        <a:noFill/>
        <a:ln w="9525">
          <a:noFill/>
        </a:ln>
      </c:spPr>
    </c:plotArea>
    <c:legend>
      <c:legendPos val="b"/>
      <c:layout>
        <c:manualLayout>
          <c:xMode val="edge"/>
          <c:yMode val="edge"/>
          <c:wMode val="factor"/>
          <c:hMode val="factor"/>
          <c:x val="0.211500"/>
          <c:y val="0.835500"/>
          <c:w val="0.576750"/>
          <c:h val="0.147000"/>
        </c:manualLayout>
      </c:layout>
      <c:overlay val="0"/>
      <c:spPr>
        <a:noFill/>
        <a:ln w="9525">
          <a:noFill/>
        </a:ln>
      </c:spPr>
      <c:txPr>
        <a:bodyPr/>
        <a:lstStyle/>
        <a:p>
          <a:pPr>
            <a:defRPr lang="en-us" sz="900" b="0" i="0" u="none" strike="noStrike">
              <a:solidFill>
                <a:srgbClr val="595959"/>
              </a:solidFill>
              <a:latin typeface="Calibri" charset="0"/>
            </a:defRPr>
          </a:pPr>
        </a:p>
      </c:txPr>
    </c:legend>
    <c:plotVisOnly val="1"/>
    <c:dispBlanksAs val="gap"/>
  </c:chart>
  <c:spPr>
    <a:solidFill>
      <a:srgbClr val="FFFFFF"/>
    </a:solidFill>
    <a:ln w="9525">
      <a:solidFill>
        <a:srgbClr val="D8D8D8"/>
      </a:solidFill>
    </a:ln>
  </c:spPr>
  <c:txPr>
    <a:bodyPr anchor="t" rot="0"/>
    <a:lstStyle/>
    <a:p>
      <a:pPr>
        <a:defRPr lang="en-us" sz="1000" b="0" i="0" u="none" strike="noStrike" kern="100">
          <a:solidFill>
            <a:srgbClr val="000000"/>
          </a:solidFill>
          <a:latin typeface="Calibri" charset="0"/>
        </a:defRPr>
      </a:pPr>
    </a:p>
  </c:txPr>
  <c:extLst>
    <c:ext xmlns:sm="smo" uri="smo">
      <sm:colorScheme xmlns:sm="smo" id="1620392665" val="15"/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/>
  <cp:revision>942</cp:revision>
  <cp:lastPrinted>2021-05-07T13:04:36Z</cp:lastPrinted>
  <dcterms:created xsi:type="dcterms:W3CDTF">2019-01-12T12:59:00Z</dcterms:created>
  <dcterms:modified xsi:type="dcterms:W3CDTF">2021-05-07T13:04:25Z</dcterms:modified>
</cp:coreProperties>
</file>