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02" w:rsidRPr="00483E02" w:rsidRDefault="00483E02" w:rsidP="00483E02">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483E02">
        <w:rPr>
          <w:rFonts w:ascii="Times New Roman" w:eastAsia="Times New Roman" w:hAnsi="Times New Roman" w:cs="Times New Roman"/>
          <w:b/>
          <w:bCs/>
          <w:kern w:val="36"/>
          <w:sz w:val="48"/>
          <w:szCs w:val="48"/>
        </w:rPr>
        <w:t>Bupivacaine &amp; Adrenaline Injection B.P. 0.25% w/v 1 in 200,000</w:t>
      </w:r>
    </w:p>
    <w:bookmarkEnd w:id="0"/>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Last Updated on </w:t>
      </w:r>
      <w:proofErr w:type="spellStart"/>
      <w:r w:rsidRPr="00483E02">
        <w:rPr>
          <w:rFonts w:ascii="Times New Roman" w:eastAsia="Times New Roman" w:hAnsi="Times New Roman" w:cs="Times New Roman"/>
          <w:sz w:val="24"/>
          <w:szCs w:val="24"/>
        </w:rPr>
        <w:t>eMC</w:t>
      </w:r>
      <w:proofErr w:type="spellEnd"/>
      <w:r w:rsidRPr="00483E02">
        <w:rPr>
          <w:rFonts w:ascii="Times New Roman" w:eastAsia="Times New Roman" w:hAnsi="Times New Roman" w:cs="Times New Roman"/>
          <w:sz w:val="24"/>
          <w:szCs w:val="24"/>
        </w:rPr>
        <w:t xml:space="preserve"> 25-Apr-2014 </w:t>
      </w:r>
      <w:hyperlink r:id="rId5" w:tooltip="View document history" w:history="1">
        <w:r w:rsidRPr="00483E02">
          <w:rPr>
            <w:rFonts w:ascii="Times New Roman" w:eastAsia="Times New Roman" w:hAnsi="Times New Roman" w:cs="Times New Roman"/>
            <w:color w:val="0000FF"/>
            <w:sz w:val="24"/>
            <w:szCs w:val="24"/>
            <w:u w:val="single"/>
          </w:rPr>
          <w:t>View changes</w:t>
        </w:r>
      </w:hyperlink>
      <w:r w:rsidRPr="00483E02">
        <w:rPr>
          <w:rFonts w:ascii="Times New Roman" w:eastAsia="Times New Roman" w:hAnsi="Times New Roman" w:cs="Times New Roman"/>
          <w:sz w:val="24"/>
          <w:szCs w:val="24"/>
        </w:rPr>
        <w:t xml:space="preserve">  | </w:t>
      </w:r>
      <w:proofErr w:type="spellStart"/>
      <w:r w:rsidRPr="00483E02">
        <w:rPr>
          <w:rFonts w:ascii="Times New Roman" w:eastAsia="Times New Roman" w:hAnsi="Times New Roman" w:cs="Times New Roman"/>
          <w:sz w:val="24"/>
          <w:szCs w:val="24"/>
        </w:rPr>
        <w:t>Amdipharm</w:t>
      </w:r>
      <w:proofErr w:type="spellEnd"/>
      <w:r w:rsidRPr="00483E02">
        <w:rPr>
          <w:rFonts w:ascii="Times New Roman" w:eastAsia="Times New Roman" w:hAnsi="Times New Roman" w:cs="Times New Roman"/>
          <w:sz w:val="24"/>
          <w:szCs w:val="24"/>
        </w:rPr>
        <w:t xml:space="preserve"> Mercury Company Limited </w:t>
      </w:r>
      <w:hyperlink r:id="rId6" w:anchor="companyDetails" w:tooltip="See full contact details" w:history="1">
        <w:r w:rsidRPr="00483E02">
          <w:rPr>
            <w:rFonts w:ascii="Times New Roman" w:eastAsia="Times New Roman" w:hAnsi="Times New Roman" w:cs="Times New Roman"/>
            <w:color w:val="0000FF"/>
            <w:sz w:val="24"/>
            <w:szCs w:val="24"/>
            <w:u w:val="single"/>
          </w:rPr>
          <w:t>Contact details</w:t>
        </w:r>
      </w:hyperlink>
    </w:p>
    <w:p w:rsidR="00483E02" w:rsidRDefault="00483E02" w:rsidP="00483E02">
      <w:pPr>
        <w:spacing w:after="0" w:line="240" w:lineRule="auto"/>
        <w:rPr>
          <w:rFonts w:ascii="Times New Roman" w:eastAsia="Times New Roman" w:hAnsi="Times New Roman" w:cs="Times New Roman"/>
          <w:sz w:val="24"/>
          <w:szCs w:val="24"/>
        </w:rPr>
      </w:pPr>
    </w:p>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1. Name of the medicinal product</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Bupivacaine and Adrenaline (Epinephrine) Injection 0.25% w/v, 1 in 200,000 </w:t>
      </w:r>
    </w:p>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2. Qualitative and quantitative composition</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Each 10ml of solution contains Bupivacaine Hydrochloride B.P. 26.375mg equivalent to anhydrous Bupivacaine Hydrochloride 25mg, Adrenaline Acid Tartrate B.P. 0.091mg equivalent to Adrenaline 0.05mg</w:t>
      </w:r>
    </w:p>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3. Pharmaceutical form</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proofErr w:type="gramStart"/>
      <w:r w:rsidRPr="00483E02">
        <w:rPr>
          <w:rFonts w:ascii="Times New Roman" w:eastAsia="Times New Roman" w:hAnsi="Times New Roman" w:cs="Times New Roman"/>
          <w:sz w:val="24"/>
          <w:szCs w:val="24"/>
        </w:rPr>
        <w:t>Solution for injection.</w:t>
      </w:r>
      <w:proofErr w:type="gramEnd"/>
      <w:r w:rsidRPr="00483E02">
        <w:rPr>
          <w:rFonts w:ascii="Times New Roman" w:eastAsia="Times New Roman" w:hAnsi="Times New Roman" w:cs="Times New Roman"/>
          <w:sz w:val="24"/>
          <w:szCs w:val="24"/>
        </w:rPr>
        <w:t xml:space="preserve"> </w:t>
      </w:r>
      <w:proofErr w:type="spellStart"/>
      <w:proofErr w:type="gramStart"/>
      <w:r w:rsidRPr="00483E02">
        <w:rPr>
          <w:rFonts w:ascii="Times New Roman" w:eastAsia="Times New Roman" w:hAnsi="Times New Roman" w:cs="Times New Roman"/>
          <w:sz w:val="24"/>
          <w:szCs w:val="24"/>
        </w:rPr>
        <w:t>Colourless</w:t>
      </w:r>
      <w:proofErr w:type="spellEnd"/>
      <w:r w:rsidRPr="00483E02">
        <w:rPr>
          <w:rFonts w:ascii="Times New Roman" w:eastAsia="Times New Roman" w:hAnsi="Times New Roman" w:cs="Times New Roman"/>
          <w:sz w:val="24"/>
          <w:szCs w:val="24"/>
        </w:rPr>
        <w:t xml:space="preserve"> or almost </w:t>
      </w:r>
      <w:proofErr w:type="spellStart"/>
      <w:r w:rsidRPr="00483E02">
        <w:rPr>
          <w:rFonts w:ascii="Times New Roman" w:eastAsia="Times New Roman" w:hAnsi="Times New Roman" w:cs="Times New Roman"/>
          <w:sz w:val="24"/>
          <w:szCs w:val="24"/>
        </w:rPr>
        <w:t>colourless</w:t>
      </w:r>
      <w:proofErr w:type="spellEnd"/>
      <w:r w:rsidRPr="00483E02">
        <w:rPr>
          <w:rFonts w:ascii="Times New Roman" w:eastAsia="Times New Roman" w:hAnsi="Times New Roman" w:cs="Times New Roman"/>
          <w:sz w:val="24"/>
          <w:szCs w:val="24"/>
        </w:rPr>
        <w:t>, aqueous, solution.</w:t>
      </w:r>
      <w:proofErr w:type="gramEnd"/>
    </w:p>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4. Clinical particulars</w:t>
      </w:r>
    </w:p>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4.1 Therapeutic indications</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Bupivacaine 0.25% and 0.5% solutions are used for the production of local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by percutaneous infiltration, peripheral nerve block(s) and central neural block (caudal or epidural), that is, for specialist use in areas where prolonged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is indicated. Bupivacaine is particularly useful for pain relief e.g. during </w:t>
      </w:r>
      <w:proofErr w:type="spellStart"/>
      <w:r w:rsidRPr="00483E02">
        <w:rPr>
          <w:rFonts w:ascii="Times New Roman" w:eastAsia="Times New Roman" w:hAnsi="Times New Roman" w:cs="Times New Roman"/>
          <w:sz w:val="24"/>
          <w:szCs w:val="24"/>
        </w:rPr>
        <w:t>labour</w:t>
      </w:r>
      <w:proofErr w:type="spellEnd"/>
      <w:r w:rsidRPr="00483E02">
        <w:rPr>
          <w:rFonts w:ascii="Times New Roman" w:eastAsia="Times New Roman" w:hAnsi="Times New Roman" w:cs="Times New Roman"/>
          <w:sz w:val="24"/>
          <w:szCs w:val="24"/>
        </w:rPr>
        <w:t>, as its sensory nerve block is more marked than its motor block. A list of indications and suggested dose and strength of solution appropriate for each are shown in the table under 4.2 below.</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 Surgical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in adults and children above 12 years of age.</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Acute pain management in adults, infants and children above 1 year of age</w:t>
      </w:r>
    </w:p>
    <w:tbl>
      <w:tblPr>
        <w:tblW w:w="1036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65"/>
      </w:tblGrid>
      <w:tr w:rsidR="00483E02" w:rsidRPr="00483E02" w:rsidTr="00483E02">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i/>
                <w:iCs/>
                <w:sz w:val="24"/>
                <w:szCs w:val="24"/>
              </w:rPr>
              <w:t xml:space="preserve">Note: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i/>
                <w:iCs/>
                <w:sz w:val="24"/>
                <w:szCs w:val="24"/>
              </w:rPr>
              <w:t xml:space="preserve">From the reviewed literature only evidence for the use of bupivacaine 1.25 - 2.5 mg/ml + 2.5 - 5μg/ml adrenaline for caudal epidural block in children &gt; 1 year of age could be derived.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i/>
                <w:iCs/>
                <w:sz w:val="24"/>
                <w:szCs w:val="24"/>
              </w:rPr>
              <w:t xml:space="preserve">Regarding other </w:t>
            </w:r>
            <w:proofErr w:type="spellStart"/>
            <w:r w:rsidRPr="00483E02">
              <w:rPr>
                <w:rFonts w:ascii="Times New Roman" w:eastAsia="Times New Roman" w:hAnsi="Times New Roman" w:cs="Times New Roman"/>
                <w:i/>
                <w:iCs/>
                <w:sz w:val="24"/>
                <w:szCs w:val="24"/>
              </w:rPr>
              <w:t>anaesthetic</w:t>
            </w:r>
            <w:proofErr w:type="spellEnd"/>
            <w:r w:rsidRPr="00483E02">
              <w:rPr>
                <w:rFonts w:ascii="Times New Roman" w:eastAsia="Times New Roman" w:hAnsi="Times New Roman" w:cs="Times New Roman"/>
                <w:i/>
                <w:iCs/>
                <w:sz w:val="24"/>
                <w:szCs w:val="24"/>
              </w:rPr>
              <w:t xml:space="preserve"> techniques, the investigated </w:t>
            </w:r>
            <w:proofErr w:type="spellStart"/>
            <w:r w:rsidRPr="00483E02">
              <w:rPr>
                <w:rFonts w:ascii="Times New Roman" w:eastAsia="Times New Roman" w:hAnsi="Times New Roman" w:cs="Times New Roman"/>
                <w:i/>
                <w:iCs/>
                <w:sz w:val="24"/>
                <w:szCs w:val="24"/>
              </w:rPr>
              <w:t>paediatric</w:t>
            </w:r>
            <w:proofErr w:type="spellEnd"/>
            <w:r w:rsidRPr="00483E02">
              <w:rPr>
                <w:rFonts w:ascii="Times New Roman" w:eastAsia="Times New Roman" w:hAnsi="Times New Roman" w:cs="Times New Roman"/>
                <w:i/>
                <w:iCs/>
                <w:sz w:val="24"/>
                <w:szCs w:val="24"/>
              </w:rPr>
              <w:t xml:space="preserve"> </w:t>
            </w:r>
            <w:proofErr w:type="gramStart"/>
            <w:r w:rsidRPr="00483E02">
              <w:rPr>
                <w:rFonts w:ascii="Times New Roman" w:eastAsia="Times New Roman" w:hAnsi="Times New Roman" w:cs="Times New Roman"/>
                <w:i/>
                <w:iCs/>
                <w:sz w:val="24"/>
                <w:szCs w:val="24"/>
              </w:rPr>
              <w:t>population were</w:t>
            </w:r>
            <w:proofErr w:type="gramEnd"/>
            <w:r w:rsidRPr="00483E02">
              <w:rPr>
                <w:rFonts w:ascii="Times New Roman" w:eastAsia="Times New Roman" w:hAnsi="Times New Roman" w:cs="Times New Roman"/>
                <w:i/>
                <w:iCs/>
                <w:sz w:val="24"/>
                <w:szCs w:val="24"/>
              </w:rPr>
              <w:t xml:space="preserve"> mostly very small and a variety of different applications were studied, so that no reliable recommendations can be derived from the literature.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b/>
                <w:bCs/>
                <w:i/>
                <w:iCs/>
                <w:sz w:val="24"/>
                <w:szCs w:val="24"/>
              </w:rPr>
              <w:lastRenderedPageBreak/>
              <w:t xml:space="preserve">As for other local </w:t>
            </w:r>
            <w:proofErr w:type="spellStart"/>
            <w:r w:rsidRPr="00483E02">
              <w:rPr>
                <w:rFonts w:ascii="Times New Roman" w:eastAsia="Times New Roman" w:hAnsi="Times New Roman" w:cs="Times New Roman"/>
                <w:b/>
                <w:bCs/>
                <w:i/>
                <w:iCs/>
                <w:sz w:val="24"/>
                <w:szCs w:val="24"/>
              </w:rPr>
              <w:t>anaesthetics</w:t>
            </w:r>
            <w:proofErr w:type="spellEnd"/>
            <w:r w:rsidRPr="00483E02">
              <w:rPr>
                <w:rFonts w:ascii="Times New Roman" w:eastAsia="Times New Roman" w:hAnsi="Times New Roman" w:cs="Times New Roman"/>
                <w:b/>
                <w:bCs/>
                <w:i/>
                <w:iCs/>
                <w:sz w:val="24"/>
                <w:szCs w:val="24"/>
              </w:rPr>
              <w:t>, recommendations for the adolescent population above 12 years remain included in the information for adults.</w:t>
            </w:r>
          </w:p>
        </w:tc>
      </w:tr>
    </w:tbl>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lastRenderedPageBreak/>
        <w:t>4.2 Posology and method of administration</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Great care must be taken in order to prevent an accidental intravascular injection, always including careful aspirations. For epidural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a test dose of 3 - 5ml of bupivacaine containing adrenaline should be administered, since an intravascular injection of adrenaline will be quickly </w:t>
      </w:r>
      <w:proofErr w:type="spellStart"/>
      <w:r w:rsidRPr="00483E02">
        <w:rPr>
          <w:rFonts w:ascii="Times New Roman" w:eastAsia="Times New Roman" w:hAnsi="Times New Roman" w:cs="Times New Roman"/>
          <w:sz w:val="24"/>
          <w:szCs w:val="24"/>
        </w:rPr>
        <w:t>recognised</w:t>
      </w:r>
      <w:proofErr w:type="spellEnd"/>
      <w:r w:rsidRPr="00483E02">
        <w:rPr>
          <w:rFonts w:ascii="Times New Roman" w:eastAsia="Times New Roman" w:hAnsi="Times New Roman" w:cs="Times New Roman"/>
          <w:sz w:val="24"/>
          <w:szCs w:val="24"/>
        </w:rPr>
        <w:t xml:space="preserve"> by an increase in heart rate. Verbal contact and frequent measurements of the heart rate, preferably by electrographic (ECG) monitoring, should be maintained throughout a period of 5 minutes following the test dose.</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Aspiration should be repeated prior to the administration of the total dose. The main dose should be injected slowly, 25 - 50mg/min., in incremental doses under constant contact with the patient. If mild toxic symptoms develop, the injection must be immediately stopped.</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The lowest dosage required to achieve effective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should be given. However, the dose will vary and will be dependent on the area to be </w:t>
      </w:r>
      <w:proofErr w:type="spellStart"/>
      <w:r w:rsidRPr="00483E02">
        <w:rPr>
          <w:rFonts w:ascii="Times New Roman" w:eastAsia="Times New Roman" w:hAnsi="Times New Roman" w:cs="Times New Roman"/>
          <w:sz w:val="24"/>
          <w:szCs w:val="24"/>
        </w:rPr>
        <w:t>anaesthetised</w:t>
      </w:r>
      <w:proofErr w:type="spellEnd"/>
      <w:r w:rsidRPr="00483E02">
        <w:rPr>
          <w:rFonts w:ascii="Times New Roman" w:eastAsia="Times New Roman" w:hAnsi="Times New Roman" w:cs="Times New Roman"/>
          <w:sz w:val="24"/>
          <w:szCs w:val="24"/>
        </w:rPr>
        <w:t xml:space="preserve">, the vascularity of the tissues, the number of neuronal segments to be blocked, individual tolerance and the technique of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used. For most indications, the duration of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with bupivacaine solutions is such that a single dose is sufficient.</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The maximum dosage must be determined by evaluating the size and physical status of the patient and considering the usual rate of systemic absorption from a particular injection site. Experience to-date indicates a single dose of up to 150mg bupivacaine hydrochloride. Doses of up to 50mg 2-hourly may subsequently be used. The dosages in the following table are recommended as a guide for use in the average adult. For young, elderly or debilitated patients, these doses should be reduced.</w:t>
      </w:r>
    </w:p>
    <w:tbl>
      <w:tblPr>
        <w:tblW w:w="1036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12"/>
        <w:gridCol w:w="1037"/>
        <w:gridCol w:w="1555"/>
        <w:gridCol w:w="1555"/>
        <w:gridCol w:w="3006"/>
      </w:tblGrid>
      <w:tr w:rsidR="00483E02" w:rsidRPr="00483E02" w:rsidTr="00483E02">
        <w:trPr>
          <w:tblCellSpacing w:w="0" w:type="dxa"/>
        </w:trPr>
        <w:tc>
          <w:tcPr>
            <w:tcW w:w="155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Type of block </w:t>
            </w:r>
          </w:p>
        </w:tc>
        <w:tc>
          <w:tcPr>
            <w:tcW w:w="50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Conc. </w:t>
            </w:r>
          </w:p>
        </w:tc>
        <w:tc>
          <w:tcPr>
            <w:tcW w:w="1500" w:type="pct"/>
            <w:gridSpan w:val="2"/>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Each dose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Motor block+ </w:t>
            </w:r>
          </w:p>
        </w:tc>
      </w:tr>
      <w:tr w:rsidR="00483E02" w:rsidRPr="00483E02" w:rsidTr="00483E0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ml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mg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r>
      <w:tr w:rsidR="00483E02" w:rsidRPr="00483E02" w:rsidTr="00483E02">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LOCAL INFILTRATION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0.25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Up to 60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Up to 150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 </w:t>
            </w:r>
          </w:p>
        </w:tc>
      </w:tr>
      <w:tr w:rsidR="00483E02" w:rsidRPr="00483E02" w:rsidTr="00483E02">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LUMBAR EPIDURAL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Surgical operations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0.50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10 to 20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50 to 100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Moderate to complete </w:t>
            </w:r>
          </w:p>
        </w:tc>
      </w:tr>
      <w:tr w:rsidR="00483E02" w:rsidRPr="00483E02" w:rsidTr="00483E02">
        <w:trPr>
          <w:tblCellSpacing w:w="0" w:type="dxa"/>
        </w:trPr>
        <w:tc>
          <w:tcPr>
            <w:tcW w:w="155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Analgesia in </w:t>
            </w:r>
            <w:proofErr w:type="spellStart"/>
            <w:r w:rsidRPr="00483E02">
              <w:rPr>
                <w:rFonts w:ascii="Times New Roman" w:eastAsia="Times New Roman" w:hAnsi="Times New Roman" w:cs="Times New Roman"/>
                <w:sz w:val="24"/>
                <w:szCs w:val="24"/>
              </w:rPr>
              <w:t>labour</w:t>
            </w:r>
            <w:proofErr w:type="spellEnd"/>
            <w:r w:rsidRPr="00483E02">
              <w:rPr>
                <w:rFonts w:ascii="Times New Roman" w:eastAsia="Times New Roman" w:hAnsi="Times New Roman"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0.50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6 to 12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30 to 60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Moderate to complete </w:t>
            </w:r>
          </w:p>
        </w:tc>
      </w:tr>
      <w:tr w:rsidR="00483E02" w:rsidRPr="00483E02" w:rsidTr="00483E0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0.25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6 to 12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15 to 30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Minimal </w:t>
            </w:r>
          </w:p>
        </w:tc>
      </w:tr>
      <w:tr w:rsidR="00483E02" w:rsidRPr="00483E02" w:rsidTr="00483E02">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CAUDAL EPIDURAL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Surgical operations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0.50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15 to 30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75 to 150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Moderate to complete </w:t>
            </w:r>
          </w:p>
        </w:tc>
      </w:tr>
    </w:tbl>
    <w:p w:rsidR="00483E02" w:rsidRPr="00483E02" w:rsidRDefault="00483E02" w:rsidP="00483E02">
      <w:pPr>
        <w:spacing w:after="0" w:line="240" w:lineRule="auto"/>
        <w:rPr>
          <w:rFonts w:ascii="Times New Roman" w:eastAsia="Times New Roman" w:hAnsi="Times New Roman" w:cs="Times New Roman"/>
          <w:vanish/>
          <w:sz w:val="24"/>
          <w:szCs w:val="24"/>
        </w:rPr>
      </w:pPr>
    </w:p>
    <w:tbl>
      <w:tblPr>
        <w:tblW w:w="1036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12"/>
        <w:gridCol w:w="1037"/>
        <w:gridCol w:w="1555"/>
        <w:gridCol w:w="1555"/>
        <w:gridCol w:w="3006"/>
      </w:tblGrid>
      <w:tr w:rsidR="00483E02" w:rsidRPr="00483E02" w:rsidTr="00483E02">
        <w:trPr>
          <w:tblCellSpacing w:w="0" w:type="dxa"/>
        </w:trPr>
        <w:tc>
          <w:tcPr>
            <w:tcW w:w="155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Type of block </w:t>
            </w:r>
          </w:p>
        </w:tc>
        <w:tc>
          <w:tcPr>
            <w:tcW w:w="50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Conc. </w:t>
            </w:r>
          </w:p>
        </w:tc>
        <w:tc>
          <w:tcPr>
            <w:tcW w:w="1500" w:type="pct"/>
            <w:gridSpan w:val="2"/>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Each dose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Motor block+ </w:t>
            </w:r>
          </w:p>
        </w:tc>
      </w:tr>
      <w:tr w:rsidR="00483E02" w:rsidRPr="00483E02" w:rsidTr="00483E0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ml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mg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r>
      <w:tr w:rsidR="00483E02" w:rsidRPr="00483E02" w:rsidTr="00483E02">
        <w:trPr>
          <w:tblCellSpacing w:w="0" w:type="dxa"/>
        </w:trPr>
        <w:tc>
          <w:tcPr>
            <w:tcW w:w="155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lastRenderedPageBreak/>
              <w:t xml:space="preserve">Analgesia in </w:t>
            </w:r>
            <w:proofErr w:type="spellStart"/>
            <w:r w:rsidRPr="00483E02">
              <w:rPr>
                <w:rFonts w:ascii="Times New Roman" w:eastAsia="Times New Roman" w:hAnsi="Times New Roman" w:cs="Times New Roman"/>
                <w:sz w:val="24"/>
                <w:szCs w:val="24"/>
              </w:rPr>
              <w:t>labour</w:t>
            </w:r>
            <w:proofErr w:type="spellEnd"/>
            <w:r w:rsidRPr="00483E02">
              <w:rPr>
                <w:rFonts w:ascii="Times New Roman" w:eastAsia="Times New Roman" w:hAnsi="Times New Roman"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0.50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10 to 20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50 to 100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Moderate to complete </w:t>
            </w:r>
          </w:p>
        </w:tc>
      </w:tr>
      <w:tr w:rsidR="00483E02" w:rsidRPr="00483E02" w:rsidTr="00483E0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0.25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10 to 20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25 to 50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Moderate </w:t>
            </w:r>
          </w:p>
        </w:tc>
      </w:tr>
      <w:tr w:rsidR="00483E02" w:rsidRPr="00483E02" w:rsidTr="00483E02">
        <w:trPr>
          <w:tblCellSpacing w:w="0" w:type="dxa"/>
        </w:trPr>
        <w:tc>
          <w:tcPr>
            <w:tcW w:w="155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highlight w:val="yellow"/>
              </w:rPr>
              <w:t>PERIPHERAL NERVES</w:t>
            </w:r>
            <w:r w:rsidRPr="00483E02">
              <w:rPr>
                <w:rFonts w:ascii="Times New Roman" w:eastAsia="Times New Roman" w:hAnsi="Times New Roman" w:cs="Times New Roman"/>
                <w:sz w:val="24"/>
                <w:szCs w:val="24"/>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0.50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Up to 30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Up to 150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Moderate to complete </w:t>
            </w:r>
          </w:p>
        </w:tc>
      </w:tr>
      <w:tr w:rsidR="00483E02" w:rsidRPr="00483E02" w:rsidTr="00483E0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highlight w:val="yellow"/>
              </w:rPr>
            </w:pPr>
            <w:r w:rsidRPr="00483E02">
              <w:rPr>
                <w:rFonts w:ascii="Times New Roman" w:eastAsia="Times New Roman" w:hAnsi="Times New Roman" w:cs="Times New Roman"/>
                <w:sz w:val="24"/>
                <w:szCs w:val="24"/>
                <w:highlight w:val="yellow"/>
              </w:rPr>
              <w:t xml:space="preserve">0.25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highlight w:val="yellow"/>
              </w:rPr>
            </w:pPr>
            <w:r w:rsidRPr="00483E02">
              <w:rPr>
                <w:rFonts w:ascii="Times New Roman" w:eastAsia="Times New Roman" w:hAnsi="Times New Roman" w:cs="Times New Roman"/>
                <w:sz w:val="24"/>
                <w:szCs w:val="24"/>
                <w:highlight w:val="yellow"/>
              </w:rPr>
              <w:t xml:space="preserve">Up to 60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Up to 150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Slight to Moderate </w:t>
            </w:r>
          </w:p>
        </w:tc>
      </w:tr>
      <w:tr w:rsidR="00483E02" w:rsidRPr="00483E02" w:rsidTr="00483E02">
        <w:trPr>
          <w:tblCellSpacing w:w="0" w:type="dxa"/>
        </w:trPr>
        <w:tc>
          <w:tcPr>
            <w:tcW w:w="1550" w:type="pct"/>
            <w:vMerge w:val="restar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SYMPATHETIC BLOCKS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0.25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20 to 50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50 to 125 </w:t>
            </w:r>
          </w:p>
        </w:tc>
        <w:tc>
          <w:tcPr>
            <w:tcW w:w="14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 </w:t>
            </w:r>
          </w:p>
        </w:tc>
      </w:tr>
      <w:tr w:rsidR="00483E02" w:rsidRPr="00483E02" w:rsidTr="00483E0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83E02" w:rsidRPr="00483E02" w:rsidRDefault="00483E02" w:rsidP="00483E02">
            <w:pPr>
              <w:spacing w:after="0" w:line="240" w:lineRule="auto"/>
              <w:rPr>
                <w:rFonts w:ascii="Times New Roman" w:eastAsia="Times New Roman" w:hAnsi="Times New Roman" w:cs="Times New Roman"/>
                <w:sz w:val="24"/>
                <w:szCs w:val="24"/>
              </w:rPr>
            </w:pPr>
          </w:p>
        </w:tc>
        <w:tc>
          <w:tcPr>
            <w:tcW w:w="0" w:type="auto"/>
            <w:vAlign w:val="center"/>
            <w:hideMark/>
          </w:tcPr>
          <w:p w:rsidR="00483E02" w:rsidRPr="00483E02" w:rsidRDefault="00483E02" w:rsidP="00483E02">
            <w:pPr>
              <w:spacing w:after="0" w:line="240" w:lineRule="auto"/>
              <w:rPr>
                <w:rFonts w:ascii="Times New Roman" w:eastAsia="Times New Roman" w:hAnsi="Times New Roman" w:cs="Times New Roman"/>
                <w:sz w:val="20"/>
                <w:szCs w:val="20"/>
              </w:rPr>
            </w:pPr>
          </w:p>
        </w:tc>
        <w:tc>
          <w:tcPr>
            <w:tcW w:w="0" w:type="auto"/>
            <w:vAlign w:val="center"/>
            <w:hideMark/>
          </w:tcPr>
          <w:p w:rsidR="00483E02" w:rsidRPr="00483E02" w:rsidRDefault="00483E02" w:rsidP="00483E02">
            <w:pPr>
              <w:spacing w:after="0" w:line="240" w:lineRule="auto"/>
              <w:rPr>
                <w:rFonts w:ascii="Times New Roman" w:eastAsia="Times New Roman" w:hAnsi="Times New Roman" w:cs="Times New Roman"/>
                <w:sz w:val="20"/>
                <w:szCs w:val="20"/>
              </w:rPr>
            </w:pPr>
          </w:p>
        </w:tc>
        <w:tc>
          <w:tcPr>
            <w:tcW w:w="0" w:type="auto"/>
            <w:vAlign w:val="center"/>
            <w:hideMark/>
          </w:tcPr>
          <w:p w:rsidR="00483E02" w:rsidRPr="00483E02" w:rsidRDefault="00483E02" w:rsidP="00483E02">
            <w:pPr>
              <w:spacing w:after="0" w:line="240" w:lineRule="auto"/>
              <w:rPr>
                <w:rFonts w:ascii="Times New Roman" w:eastAsia="Times New Roman" w:hAnsi="Times New Roman" w:cs="Times New Roman"/>
                <w:sz w:val="20"/>
                <w:szCs w:val="20"/>
              </w:rPr>
            </w:pPr>
          </w:p>
        </w:tc>
      </w:tr>
    </w:tbl>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With continuous (intermittent) techniques, repeat doses increase the degree of motor block. The first repeat dose of 0.5% may produce complete motor block for intra-abdominal surgery.</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proofErr w:type="spellStart"/>
      <w:r w:rsidRPr="00483E02">
        <w:rPr>
          <w:rFonts w:ascii="Times New Roman" w:eastAsia="Times New Roman" w:hAnsi="Times New Roman" w:cs="Times New Roman"/>
          <w:sz w:val="24"/>
          <w:szCs w:val="24"/>
        </w:rPr>
        <w:t>Paediatric</w:t>
      </w:r>
      <w:proofErr w:type="spellEnd"/>
      <w:r w:rsidRPr="00483E02">
        <w:rPr>
          <w:rFonts w:ascii="Times New Roman" w:eastAsia="Times New Roman" w:hAnsi="Times New Roman" w:cs="Times New Roman"/>
          <w:sz w:val="24"/>
          <w:szCs w:val="24"/>
        </w:rPr>
        <w:t xml:space="preserve"> patients</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proofErr w:type="spellStart"/>
      <w:r w:rsidRPr="00483E02">
        <w:rPr>
          <w:rFonts w:ascii="Times New Roman" w:eastAsia="Times New Roman" w:hAnsi="Times New Roman" w:cs="Times New Roman"/>
          <w:sz w:val="24"/>
          <w:szCs w:val="24"/>
        </w:rPr>
        <w:t>Paediatric</w:t>
      </w:r>
      <w:proofErr w:type="spellEnd"/>
      <w:r w:rsidRPr="00483E02">
        <w:rPr>
          <w:rFonts w:ascii="Times New Roman" w:eastAsia="Times New Roman" w:hAnsi="Times New Roman" w:cs="Times New Roman"/>
          <w:sz w:val="24"/>
          <w:szCs w:val="24"/>
        </w:rPr>
        <w:t xml:space="preserve"> patients 1 to 12 years of age</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proofErr w:type="spellStart"/>
      <w:r w:rsidRPr="00483E02">
        <w:rPr>
          <w:rFonts w:ascii="Times New Roman" w:eastAsia="Times New Roman" w:hAnsi="Times New Roman" w:cs="Times New Roman"/>
          <w:sz w:val="24"/>
          <w:szCs w:val="24"/>
        </w:rPr>
        <w:t>Paediatric</w:t>
      </w:r>
      <w:proofErr w:type="spellEnd"/>
      <w:r w:rsidRPr="00483E02">
        <w:rPr>
          <w:rFonts w:ascii="Times New Roman" w:eastAsia="Times New Roman" w:hAnsi="Times New Roman" w:cs="Times New Roman"/>
          <w:sz w:val="24"/>
          <w:szCs w:val="24"/>
        </w:rPr>
        <w:t xml:space="preserve"> regional </w:t>
      </w:r>
      <w:proofErr w:type="spellStart"/>
      <w:r w:rsidRPr="00483E02">
        <w:rPr>
          <w:rFonts w:ascii="Times New Roman" w:eastAsia="Times New Roman" w:hAnsi="Times New Roman" w:cs="Times New Roman"/>
          <w:sz w:val="24"/>
          <w:szCs w:val="24"/>
        </w:rPr>
        <w:t>anaesthetic</w:t>
      </w:r>
      <w:proofErr w:type="spellEnd"/>
      <w:r w:rsidRPr="00483E02">
        <w:rPr>
          <w:rFonts w:ascii="Times New Roman" w:eastAsia="Times New Roman" w:hAnsi="Times New Roman" w:cs="Times New Roman"/>
          <w:sz w:val="24"/>
          <w:szCs w:val="24"/>
        </w:rPr>
        <w:t xml:space="preserve"> procedures should be performed by qualified clinicians who are familiar with this population and the technique.</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The doses in the table should be regarded as guidelines for use in </w:t>
      </w:r>
      <w:proofErr w:type="spellStart"/>
      <w:r w:rsidRPr="00483E02">
        <w:rPr>
          <w:rFonts w:ascii="Times New Roman" w:eastAsia="Times New Roman" w:hAnsi="Times New Roman" w:cs="Times New Roman"/>
          <w:sz w:val="24"/>
          <w:szCs w:val="24"/>
        </w:rPr>
        <w:t>paediatrics</w:t>
      </w:r>
      <w:proofErr w:type="spellEnd"/>
      <w:r w:rsidRPr="00483E02">
        <w:rPr>
          <w:rFonts w:ascii="Times New Roman" w:eastAsia="Times New Roman" w:hAnsi="Times New Roman" w:cs="Times New Roman"/>
          <w:sz w:val="24"/>
          <w:szCs w:val="24"/>
        </w:rPr>
        <w:t>. Individual variations occur. In children with a high body weight a gradual reduction of the dosage is often necessary and should be based on the ideal body weight. Standard textbooks should be consulted for factors affecting specific block techniques and for individual patient requirements. The lowest dose required for adequate analgesia should be used.</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The duration may be prolonged with the adrenaline-containing solutions.</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N.B. Risk of systemic effects of adrenaline with large volumes of adrenaline containing solutions should be considered.</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proofErr w:type="gramStart"/>
      <w:r w:rsidRPr="00483E02">
        <w:rPr>
          <w:rFonts w:ascii="Times New Roman" w:eastAsia="Times New Roman" w:hAnsi="Times New Roman" w:cs="Times New Roman"/>
          <w:sz w:val="24"/>
          <w:szCs w:val="24"/>
        </w:rPr>
        <w:t>Table :</w:t>
      </w:r>
      <w:proofErr w:type="gramEnd"/>
      <w:r w:rsidRPr="00483E02">
        <w:rPr>
          <w:rFonts w:ascii="Times New Roman" w:eastAsia="Times New Roman" w:hAnsi="Times New Roman" w:cs="Times New Roman"/>
          <w:sz w:val="24"/>
          <w:szCs w:val="24"/>
        </w:rPr>
        <w:t xml:space="preserve"> Dosage recommendations for children 1 to 12 years of age</w:t>
      </w:r>
    </w:p>
    <w:tbl>
      <w:tblPr>
        <w:tblW w:w="10365"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09"/>
        <w:gridCol w:w="1036"/>
        <w:gridCol w:w="1555"/>
        <w:gridCol w:w="1037"/>
        <w:gridCol w:w="1866"/>
        <w:gridCol w:w="1762"/>
      </w:tblGrid>
      <w:tr w:rsidR="00483E02" w:rsidRPr="00483E02" w:rsidTr="00483E0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Conc. mg/ml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Volume ml/kg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Dose mg/kg </w:t>
            </w:r>
          </w:p>
        </w:tc>
        <w:tc>
          <w:tcPr>
            <w:tcW w:w="9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Onset min </w:t>
            </w:r>
          </w:p>
        </w:tc>
        <w:tc>
          <w:tcPr>
            <w:tcW w:w="8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Duration of effect hours </w:t>
            </w:r>
          </w:p>
        </w:tc>
      </w:tr>
      <w:tr w:rsidR="00483E02" w:rsidRPr="00483E02" w:rsidTr="00483E0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ACUTE PAIN MANAGEMENT (per-and postoperative)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c>
          <w:tcPr>
            <w:tcW w:w="9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c>
          <w:tcPr>
            <w:tcW w:w="8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w:t>
            </w:r>
          </w:p>
        </w:tc>
      </w:tr>
      <w:tr w:rsidR="00483E02" w:rsidRPr="00483E02" w:rsidTr="00483E02">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Caudal, lumbar and thoracic Epidural Administration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2.5 </w:t>
            </w:r>
          </w:p>
        </w:tc>
        <w:tc>
          <w:tcPr>
            <w:tcW w:w="7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0.6-0.8 </w:t>
            </w:r>
          </w:p>
        </w:tc>
        <w:tc>
          <w:tcPr>
            <w:tcW w:w="5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1.5-2 </w:t>
            </w:r>
          </w:p>
        </w:tc>
        <w:tc>
          <w:tcPr>
            <w:tcW w:w="90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20-30 </w:t>
            </w:r>
          </w:p>
        </w:tc>
        <w:tc>
          <w:tcPr>
            <w:tcW w:w="850" w:type="pct"/>
            <w:tcBorders>
              <w:top w:val="outset" w:sz="6" w:space="0" w:color="auto"/>
              <w:left w:val="outset" w:sz="6" w:space="0" w:color="auto"/>
              <w:bottom w:val="outset" w:sz="6" w:space="0" w:color="auto"/>
              <w:right w:val="outset" w:sz="6" w:space="0" w:color="auto"/>
            </w:tcBorders>
            <w:hideMark/>
          </w:tcPr>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2-6 </w:t>
            </w:r>
          </w:p>
        </w:tc>
      </w:tr>
    </w:tbl>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In order to avoid intravascular injection, aspiration should be repeated prior to and during administration of the main dose. This should be injected slowly in incremental doses, particularly in the lumbar and thoracic epidural routes, constantly and closely observing the patient's vital functions. Thoracic epidural blocks need to be given by incremental dosage until the desired level of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is achieved.</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proofErr w:type="gramStart"/>
      <w:r w:rsidRPr="00483E02">
        <w:rPr>
          <w:rFonts w:ascii="Times New Roman" w:eastAsia="Times New Roman" w:hAnsi="Times New Roman" w:cs="Times New Roman"/>
          <w:sz w:val="24"/>
          <w:szCs w:val="24"/>
        </w:rPr>
        <w:lastRenderedPageBreak/>
        <w:t>The safety and efficacy of Bupivacaine and Adrenaline (Epinephrine) Injection 0.</w:t>
      </w:r>
      <w:proofErr w:type="gramEnd"/>
      <w:r w:rsidRPr="00483E02">
        <w:rPr>
          <w:rFonts w:ascii="Times New Roman" w:eastAsia="Times New Roman" w:hAnsi="Times New Roman" w:cs="Times New Roman"/>
          <w:sz w:val="24"/>
          <w:szCs w:val="24"/>
        </w:rPr>
        <w:t xml:space="preserve"> 25% w/v, 1 in 200,000 in children &lt; 1 year of age </w:t>
      </w:r>
      <w:proofErr w:type="gramStart"/>
      <w:r w:rsidRPr="00483E02">
        <w:rPr>
          <w:rFonts w:ascii="Times New Roman" w:eastAsia="Times New Roman" w:hAnsi="Times New Roman" w:cs="Times New Roman"/>
          <w:sz w:val="24"/>
          <w:szCs w:val="24"/>
        </w:rPr>
        <w:t>have</w:t>
      </w:r>
      <w:proofErr w:type="gramEnd"/>
      <w:r w:rsidRPr="00483E02">
        <w:rPr>
          <w:rFonts w:ascii="Times New Roman" w:eastAsia="Times New Roman" w:hAnsi="Times New Roman" w:cs="Times New Roman"/>
          <w:sz w:val="24"/>
          <w:szCs w:val="24"/>
        </w:rPr>
        <w:t xml:space="preserve"> not been established. Only limited data are available.</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Safety and efficacy of intermittent epidural bolus injection or continuous infusion have not been established. Only limited data is available.</w:t>
      </w:r>
    </w:p>
    <w:p w:rsidR="00483E02" w:rsidRPr="00483E02" w:rsidRDefault="00483E02" w:rsidP="00483E02">
      <w:pPr>
        <w:spacing w:after="0"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4.3 Contraindications</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Bupivacaine hydrochloride solutions are contraindicated in patients with a known hypersensitivity to local </w:t>
      </w:r>
      <w:proofErr w:type="spellStart"/>
      <w:r w:rsidRPr="00483E02">
        <w:rPr>
          <w:rFonts w:ascii="Times New Roman" w:eastAsia="Times New Roman" w:hAnsi="Times New Roman" w:cs="Times New Roman"/>
          <w:sz w:val="24"/>
          <w:szCs w:val="24"/>
        </w:rPr>
        <w:t>anaesthetic</w:t>
      </w:r>
      <w:proofErr w:type="spellEnd"/>
      <w:r w:rsidRPr="00483E02">
        <w:rPr>
          <w:rFonts w:ascii="Times New Roman" w:eastAsia="Times New Roman" w:hAnsi="Times New Roman" w:cs="Times New Roman"/>
          <w:sz w:val="24"/>
          <w:szCs w:val="24"/>
        </w:rPr>
        <w:t xml:space="preserve"> agents of the amide group or to other components of the injectable formulation.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Solutions of bupivacaine hydrochloride are contraindicated for intravenous regional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(Bier's block). Solutions containing adrenaline are contraindicated in patients with thyrotoxicosis or severe heart disease particularly when tachycardia is present.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Solutions of bupivacaine containing adrenaline should not be used in connection with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in areas of the body supplied by end arteries or otherwise having a compromised blood supply such as digits, nose, external ear or genitalia owing to the risk of tissue necrosis. </w:t>
      </w:r>
    </w:p>
    <w:p w:rsidR="00483E02" w:rsidRPr="00483E02" w:rsidRDefault="00483E02" w:rsidP="00483E02">
      <w:pPr>
        <w:spacing w:before="100" w:beforeAutospacing="1" w:after="100" w:afterAutospacing="1" w:line="240" w:lineRule="auto"/>
        <w:rPr>
          <w:rFonts w:ascii="Times New Roman" w:eastAsia="Times New Roman" w:hAnsi="Times New Roman" w:cs="Times New Roman"/>
          <w:sz w:val="24"/>
          <w:szCs w:val="24"/>
        </w:rPr>
      </w:pPr>
      <w:r w:rsidRPr="00483E02">
        <w:rPr>
          <w:rFonts w:ascii="Times New Roman" w:eastAsia="Times New Roman" w:hAnsi="Times New Roman" w:cs="Times New Roman"/>
          <w:sz w:val="24"/>
          <w:szCs w:val="24"/>
        </w:rPr>
        <w:t xml:space="preserve">Epidural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regardless of the local </w:t>
      </w:r>
      <w:proofErr w:type="spellStart"/>
      <w:r w:rsidRPr="00483E02">
        <w:rPr>
          <w:rFonts w:ascii="Times New Roman" w:eastAsia="Times New Roman" w:hAnsi="Times New Roman" w:cs="Times New Roman"/>
          <w:sz w:val="24"/>
          <w:szCs w:val="24"/>
        </w:rPr>
        <w:t>anaesthetic</w:t>
      </w:r>
      <w:proofErr w:type="spellEnd"/>
      <w:r w:rsidRPr="00483E02">
        <w:rPr>
          <w:rFonts w:ascii="Times New Roman" w:eastAsia="Times New Roman" w:hAnsi="Times New Roman" w:cs="Times New Roman"/>
          <w:sz w:val="24"/>
          <w:szCs w:val="24"/>
        </w:rPr>
        <w:t xml:space="preserve"> used, has its own contraindications which include: Active disease of the central nervous system such as meningitis, poliomyelitis, </w:t>
      </w:r>
      <w:proofErr w:type="gramStart"/>
      <w:r w:rsidRPr="00483E02">
        <w:rPr>
          <w:rFonts w:ascii="Times New Roman" w:eastAsia="Times New Roman" w:hAnsi="Times New Roman" w:cs="Times New Roman"/>
          <w:sz w:val="24"/>
          <w:szCs w:val="24"/>
        </w:rPr>
        <w:t>intracranial</w:t>
      </w:r>
      <w:proofErr w:type="gramEnd"/>
      <w:r w:rsidRPr="00483E02">
        <w:rPr>
          <w:rFonts w:ascii="Times New Roman" w:eastAsia="Times New Roman" w:hAnsi="Times New Roman" w:cs="Times New Roman"/>
          <w:sz w:val="24"/>
          <w:szCs w:val="24"/>
        </w:rPr>
        <w:t xml:space="preserve"> </w:t>
      </w:r>
      <w:proofErr w:type="spellStart"/>
      <w:r w:rsidRPr="00483E02">
        <w:rPr>
          <w:rFonts w:ascii="Times New Roman" w:eastAsia="Times New Roman" w:hAnsi="Times New Roman" w:cs="Times New Roman"/>
          <w:sz w:val="24"/>
          <w:szCs w:val="24"/>
        </w:rPr>
        <w:t>haemorrhage</w:t>
      </w:r>
      <w:proofErr w:type="spellEnd"/>
      <w:r w:rsidRPr="00483E02">
        <w:rPr>
          <w:rFonts w:ascii="Times New Roman" w:eastAsia="Times New Roman" w:hAnsi="Times New Roman" w:cs="Times New Roman"/>
          <w:sz w:val="24"/>
          <w:szCs w:val="24"/>
        </w:rPr>
        <w:t xml:space="preserve">, subacute combined degeneration of the cord due to pernicious </w:t>
      </w:r>
      <w:proofErr w:type="spellStart"/>
      <w:r w:rsidRPr="00483E02">
        <w:rPr>
          <w:rFonts w:ascii="Times New Roman" w:eastAsia="Times New Roman" w:hAnsi="Times New Roman" w:cs="Times New Roman"/>
          <w:sz w:val="24"/>
          <w:szCs w:val="24"/>
        </w:rPr>
        <w:t>anaemia</w:t>
      </w:r>
      <w:proofErr w:type="spellEnd"/>
      <w:r w:rsidRPr="00483E02">
        <w:rPr>
          <w:rFonts w:ascii="Times New Roman" w:eastAsia="Times New Roman" w:hAnsi="Times New Roman" w:cs="Times New Roman"/>
          <w:sz w:val="24"/>
          <w:szCs w:val="24"/>
        </w:rPr>
        <w:t xml:space="preserve"> and cerebral or spinal </w:t>
      </w:r>
      <w:proofErr w:type="spellStart"/>
      <w:r w:rsidRPr="00483E02">
        <w:rPr>
          <w:rFonts w:ascii="Times New Roman" w:eastAsia="Times New Roman" w:hAnsi="Times New Roman" w:cs="Times New Roman"/>
          <w:sz w:val="24"/>
          <w:szCs w:val="24"/>
        </w:rPr>
        <w:t>tumours</w:t>
      </w:r>
      <w:proofErr w:type="spellEnd"/>
      <w:r w:rsidRPr="00483E02">
        <w:rPr>
          <w:rFonts w:ascii="Times New Roman" w:eastAsia="Times New Roman" w:hAnsi="Times New Roman" w:cs="Times New Roman"/>
          <w:sz w:val="24"/>
          <w:szCs w:val="24"/>
        </w:rPr>
        <w:t xml:space="preserve">. </w:t>
      </w:r>
      <w:proofErr w:type="gramStart"/>
      <w:r w:rsidRPr="00483E02">
        <w:rPr>
          <w:rFonts w:ascii="Times New Roman" w:eastAsia="Times New Roman" w:hAnsi="Times New Roman" w:cs="Times New Roman"/>
          <w:sz w:val="24"/>
          <w:szCs w:val="24"/>
        </w:rPr>
        <w:t>Tuberculosis of the spine.</w:t>
      </w:r>
      <w:proofErr w:type="gramEnd"/>
      <w:r w:rsidRPr="00483E02">
        <w:rPr>
          <w:rFonts w:ascii="Times New Roman" w:eastAsia="Times New Roman" w:hAnsi="Times New Roman" w:cs="Times New Roman"/>
          <w:sz w:val="24"/>
          <w:szCs w:val="24"/>
        </w:rPr>
        <w:t xml:space="preserve"> </w:t>
      </w:r>
      <w:proofErr w:type="gramStart"/>
      <w:r w:rsidRPr="00483E02">
        <w:rPr>
          <w:rFonts w:ascii="Times New Roman" w:eastAsia="Times New Roman" w:hAnsi="Times New Roman" w:cs="Times New Roman"/>
          <w:sz w:val="24"/>
          <w:szCs w:val="24"/>
        </w:rPr>
        <w:t>Pyogenic infection of the skin at or adjacent to the site of lumbar puncture.</w:t>
      </w:r>
      <w:proofErr w:type="gramEnd"/>
      <w:r w:rsidRPr="00483E02">
        <w:rPr>
          <w:rFonts w:ascii="Times New Roman" w:eastAsia="Times New Roman" w:hAnsi="Times New Roman" w:cs="Times New Roman"/>
          <w:sz w:val="24"/>
          <w:szCs w:val="24"/>
        </w:rPr>
        <w:t xml:space="preserve"> </w:t>
      </w:r>
      <w:proofErr w:type="gramStart"/>
      <w:r w:rsidRPr="00483E02">
        <w:rPr>
          <w:rFonts w:ascii="Times New Roman" w:eastAsia="Times New Roman" w:hAnsi="Times New Roman" w:cs="Times New Roman"/>
          <w:sz w:val="24"/>
          <w:szCs w:val="24"/>
        </w:rPr>
        <w:t xml:space="preserve">Cardiogenic or </w:t>
      </w:r>
      <w:proofErr w:type="spellStart"/>
      <w:r w:rsidRPr="00483E02">
        <w:rPr>
          <w:rFonts w:ascii="Times New Roman" w:eastAsia="Times New Roman" w:hAnsi="Times New Roman" w:cs="Times New Roman"/>
          <w:sz w:val="24"/>
          <w:szCs w:val="24"/>
        </w:rPr>
        <w:t>hypovolaemic</w:t>
      </w:r>
      <w:proofErr w:type="spellEnd"/>
      <w:r w:rsidRPr="00483E02">
        <w:rPr>
          <w:rFonts w:ascii="Times New Roman" w:eastAsia="Times New Roman" w:hAnsi="Times New Roman" w:cs="Times New Roman"/>
          <w:sz w:val="24"/>
          <w:szCs w:val="24"/>
        </w:rPr>
        <w:t xml:space="preserve"> shock.</w:t>
      </w:r>
      <w:proofErr w:type="gramEnd"/>
      <w:r w:rsidRPr="00483E02">
        <w:rPr>
          <w:rFonts w:ascii="Times New Roman" w:eastAsia="Times New Roman" w:hAnsi="Times New Roman" w:cs="Times New Roman"/>
          <w:sz w:val="24"/>
          <w:szCs w:val="24"/>
        </w:rPr>
        <w:t xml:space="preserve"> </w:t>
      </w:r>
      <w:proofErr w:type="gramStart"/>
      <w:r w:rsidRPr="00483E02">
        <w:rPr>
          <w:rFonts w:ascii="Times New Roman" w:eastAsia="Times New Roman" w:hAnsi="Times New Roman" w:cs="Times New Roman"/>
          <w:sz w:val="24"/>
          <w:szCs w:val="24"/>
        </w:rPr>
        <w:t>Coagulation disorders or ongoing anticoagulant therapy.</w:t>
      </w:r>
      <w:proofErr w:type="gramEnd"/>
      <w:r w:rsidRPr="00483E02">
        <w:rPr>
          <w:rFonts w:ascii="Times New Roman" w:eastAsia="Times New Roman" w:hAnsi="Times New Roman" w:cs="Times New Roman"/>
          <w:sz w:val="24"/>
          <w:szCs w:val="24"/>
        </w:rPr>
        <w:t xml:space="preserve"> Epidural </w:t>
      </w:r>
      <w:proofErr w:type="spellStart"/>
      <w:r w:rsidRPr="00483E02">
        <w:rPr>
          <w:rFonts w:ascii="Times New Roman" w:eastAsia="Times New Roman" w:hAnsi="Times New Roman" w:cs="Times New Roman"/>
          <w:sz w:val="24"/>
          <w:szCs w:val="24"/>
        </w:rPr>
        <w:t>anaesthesia</w:t>
      </w:r>
      <w:proofErr w:type="spellEnd"/>
      <w:r w:rsidRPr="00483E02">
        <w:rPr>
          <w:rFonts w:ascii="Times New Roman" w:eastAsia="Times New Roman" w:hAnsi="Times New Roman" w:cs="Times New Roman"/>
          <w:sz w:val="24"/>
          <w:szCs w:val="24"/>
        </w:rPr>
        <w:t xml:space="preserve"> is contraindicated in patients with an expanding cerebral lesion, a </w:t>
      </w:r>
      <w:proofErr w:type="spellStart"/>
      <w:r w:rsidRPr="00483E02">
        <w:rPr>
          <w:rFonts w:ascii="Times New Roman" w:eastAsia="Times New Roman" w:hAnsi="Times New Roman" w:cs="Times New Roman"/>
          <w:sz w:val="24"/>
          <w:szCs w:val="24"/>
        </w:rPr>
        <w:t>tumour</w:t>
      </w:r>
      <w:proofErr w:type="spellEnd"/>
      <w:r w:rsidRPr="00483E02">
        <w:rPr>
          <w:rFonts w:ascii="Times New Roman" w:eastAsia="Times New Roman" w:hAnsi="Times New Roman" w:cs="Times New Roman"/>
          <w:sz w:val="24"/>
          <w:szCs w:val="24"/>
        </w:rPr>
        <w:t>, cyst or abscess, which may, if the intracranial pressure is suddenly altered, cause obstruction to the cerebrospinal fluid or blood circulation (the pressure cone).</w:t>
      </w:r>
    </w:p>
    <w:p w:rsidR="00684E6D" w:rsidRDefault="00684E6D"/>
    <w:sectPr w:rsidR="00684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02"/>
    <w:rsid w:val="00483E02"/>
    <w:rsid w:val="005B469C"/>
    <w:rsid w:val="00684E6D"/>
    <w:rsid w:val="00FE5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E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3E0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83E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E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83E0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83E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2770">
      <w:bodyDiv w:val="1"/>
      <w:marLeft w:val="0"/>
      <w:marRight w:val="0"/>
      <w:marTop w:val="0"/>
      <w:marBottom w:val="0"/>
      <w:divBdr>
        <w:top w:val="none" w:sz="0" w:space="0" w:color="auto"/>
        <w:left w:val="none" w:sz="0" w:space="0" w:color="auto"/>
        <w:bottom w:val="none" w:sz="0" w:space="0" w:color="auto"/>
        <w:right w:val="none" w:sz="0" w:space="0" w:color="auto"/>
      </w:divBdr>
      <w:divsChild>
        <w:div w:id="406269146">
          <w:marLeft w:val="0"/>
          <w:marRight w:val="0"/>
          <w:marTop w:val="0"/>
          <w:marBottom w:val="0"/>
          <w:divBdr>
            <w:top w:val="none" w:sz="0" w:space="0" w:color="auto"/>
            <w:left w:val="none" w:sz="0" w:space="0" w:color="auto"/>
            <w:bottom w:val="none" w:sz="0" w:space="0" w:color="auto"/>
            <w:right w:val="none" w:sz="0" w:space="0" w:color="auto"/>
          </w:divBdr>
          <w:divsChild>
            <w:div w:id="683675243">
              <w:marLeft w:val="0"/>
              <w:marRight w:val="0"/>
              <w:marTop w:val="0"/>
              <w:marBottom w:val="0"/>
              <w:divBdr>
                <w:top w:val="none" w:sz="0" w:space="0" w:color="auto"/>
                <w:left w:val="none" w:sz="0" w:space="0" w:color="auto"/>
                <w:bottom w:val="none" w:sz="0" w:space="0" w:color="auto"/>
                <w:right w:val="none" w:sz="0" w:space="0" w:color="auto"/>
              </w:divBdr>
            </w:div>
            <w:div w:id="9392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7137">
      <w:bodyDiv w:val="1"/>
      <w:marLeft w:val="0"/>
      <w:marRight w:val="0"/>
      <w:marTop w:val="0"/>
      <w:marBottom w:val="0"/>
      <w:divBdr>
        <w:top w:val="none" w:sz="0" w:space="0" w:color="auto"/>
        <w:left w:val="none" w:sz="0" w:space="0" w:color="auto"/>
        <w:bottom w:val="none" w:sz="0" w:space="0" w:color="auto"/>
        <w:right w:val="none" w:sz="0" w:space="0" w:color="auto"/>
      </w:divBdr>
      <w:divsChild>
        <w:div w:id="1881242560">
          <w:marLeft w:val="0"/>
          <w:marRight w:val="0"/>
          <w:marTop w:val="0"/>
          <w:marBottom w:val="0"/>
          <w:divBdr>
            <w:top w:val="none" w:sz="0" w:space="0" w:color="auto"/>
            <w:left w:val="none" w:sz="0" w:space="0" w:color="auto"/>
            <w:bottom w:val="none" w:sz="0" w:space="0" w:color="auto"/>
            <w:right w:val="none" w:sz="0" w:space="0" w:color="auto"/>
          </w:divBdr>
        </w:div>
        <w:div w:id="487064231">
          <w:marLeft w:val="0"/>
          <w:marRight w:val="0"/>
          <w:marTop w:val="0"/>
          <w:marBottom w:val="0"/>
          <w:divBdr>
            <w:top w:val="none" w:sz="0" w:space="0" w:color="auto"/>
            <w:left w:val="none" w:sz="0" w:space="0" w:color="auto"/>
            <w:bottom w:val="none" w:sz="0" w:space="0" w:color="auto"/>
            <w:right w:val="none" w:sz="0" w:space="0" w:color="auto"/>
          </w:divBdr>
        </w:div>
        <w:div w:id="1185555075">
          <w:marLeft w:val="0"/>
          <w:marRight w:val="0"/>
          <w:marTop w:val="0"/>
          <w:marBottom w:val="0"/>
          <w:divBdr>
            <w:top w:val="none" w:sz="0" w:space="0" w:color="auto"/>
            <w:left w:val="none" w:sz="0" w:space="0" w:color="auto"/>
            <w:bottom w:val="none" w:sz="0" w:space="0" w:color="auto"/>
            <w:right w:val="none" w:sz="0" w:space="0" w:color="auto"/>
          </w:divBdr>
        </w:div>
        <w:div w:id="493231086">
          <w:marLeft w:val="0"/>
          <w:marRight w:val="0"/>
          <w:marTop w:val="0"/>
          <w:marBottom w:val="0"/>
          <w:divBdr>
            <w:top w:val="none" w:sz="0" w:space="0" w:color="auto"/>
            <w:left w:val="none" w:sz="0" w:space="0" w:color="auto"/>
            <w:bottom w:val="none" w:sz="0" w:space="0" w:color="auto"/>
            <w:right w:val="none" w:sz="0" w:space="0" w:color="auto"/>
          </w:divBdr>
        </w:div>
        <w:div w:id="205334733">
          <w:marLeft w:val="0"/>
          <w:marRight w:val="0"/>
          <w:marTop w:val="0"/>
          <w:marBottom w:val="0"/>
          <w:divBdr>
            <w:top w:val="none" w:sz="0" w:space="0" w:color="auto"/>
            <w:left w:val="none" w:sz="0" w:space="0" w:color="auto"/>
            <w:bottom w:val="none" w:sz="0" w:space="0" w:color="auto"/>
            <w:right w:val="none" w:sz="0" w:space="0" w:color="auto"/>
          </w:divBdr>
        </w:div>
        <w:div w:id="1316374949">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539465832">
          <w:marLeft w:val="0"/>
          <w:marRight w:val="0"/>
          <w:marTop w:val="0"/>
          <w:marBottom w:val="0"/>
          <w:divBdr>
            <w:top w:val="none" w:sz="0" w:space="0" w:color="auto"/>
            <w:left w:val="none" w:sz="0" w:space="0" w:color="auto"/>
            <w:bottom w:val="none" w:sz="0" w:space="0" w:color="auto"/>
            <w:right w:val="none" w:sz="0" w:space="0" w:color="auto"/>
          </w:divBdr>
        </w:div>
        <w:div w:id="318535232">
          <w:marLeft w:val="0"/>
          <w:marRight w:val="0"/>
          <w:marTop w:val="0"/>
          <w:marBottom w:val="0"/>
          <w:divBdr>
            <w:top w:val="none" w:sz="0" w:space="0" w:color="auto"/>
            <w:left w:val="none" w:sz="0" w:space="0" w:color="auto"/>
            <w:bottom w:val="none" w:sz="0" w:space="0" w:color="auto"/>
            <w:right w:val="none" w:sz="0" w:space="0" w:color="auto"/>
          </w:divBdr>
        </w:div>
        <w:div w:id="495457623">
          <w:marLeft w:val="0"/>
          <w:marRight w:val="0"/>
          <w:marTop w:val="0"/>
          <w:marBottom w:val="0"/>
          <w:divBdr>
            <w:top w:val="none" w:sz="0" w:space="0" w:color="auto"/>
            <w:left w:val="none" w:sz="0" w:space="0" w:color="auto"/>
            <w:bottom w:val="none" w:sz="0" w:space="0" w:color="auto"/>
            <w:right w:val="none" w:sz="0" w:space="0" w:color="auto"/>
          </w:divBdr>
        </w:div>
        <w:div w:id="1556047917">
          <w:marLeft w:val="0"/>
          <w:marRight w:val="0"/>
          <w:marTop w:val="0"/>
          <w:marBottom w:val="0"/>
          <w:divBdr>
            <w:top w:val="none" w:sz="0" w:space="0" w:color="auto"/>
            <w:left w:val="none" w:sz="0" w:space="0" w:color="auto"/>
            <w:bottom w:val="none" w:sz="0" w:space="0" w:color="auto"/>
            <w:right w:val="none" w:sz="0" w:space="0" w:color="auto"/>
          </w:divBdr>
        </w:div>
        <w:div w:id="863255016">
          <w:marLeft w:val="0"/>
          <w:marRight w:val="0"/>
          <w:marTop w:val="0"/>
          <w:marBottom w:val="0"/>
          <w:divBdr>
            <w:top w:val="none" w:sz="0" w:space="0" w:color="auto"/>
            <w:left w:val="none" w:sz="0" w:space="0" w:color="auto"/>
            <w:bottom w:val="none" w:sz="0" w:space="0" w:color="auto"/>
            <w:right w:val="none" w:sz="0" w:space="0" w:color="auto"/>
          </w:divBdr>
        </w:div>
        <w:div w:id="434978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edicines.org.uk/emc/medicine/22179" TargetMode="External"/><Relationship Id="rId5" Type="http://schemas.openxmlformats.org/officeDocument/2006/relationships/hyperlink" Target="https://www.medicines.org.uk/emc/history/221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2</cp:revision>
  <dcterms:created xsi:type="dcterms:W3CDTF">2016-02-24T06:03:00Z</dcterms:created>
  <dcterms:modified xsi:type="dcterms:W3CDTF">2016-02-24T06:18:00Z</dcterms:modified>
</cp:coreProperties>
</file>