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4311" w14:textId="77777777" w:rsidR="00286109" w:rsidRPr="004951B8" w:rsidRDefault="00AA7305">
      <w:pPr>
        <w:contextualSpacing w:val="0"/>
        <w:jc w:val="center"/>
        <w:rPr>
          <w:rFonts w:eastAsia="Times New Roman"/>
          <w:b/>
          <w:sz w:val="20"/>
          <w:szCs w:val="20"/>
        </w:rPr>
      </w:pPr>
      <w:r w:rsidRPr="004951B8">
        <w:rPr>
          <w:rFonts w:eastAsia="Times New Roman"/>
          <w:b/>
          <w:sz w:val="20"/>
          <w:szCs w:val="20"/>
        </w:rPr>
        <w:t>District 279 Foundation</w:t>
      </w:r>
    </w:p>
    <w:p w14:paraId="0184CA22" w14:textId="77777777" w:rsidR="00286109" w:rsidRPr="004951B8" w:rsidRDefault="00AA7305">
      <w:pPr>
        <w:contextualSpacing w:val="0"/>
        <w:jc w:val="center"/>
        <w:rPr>
          <w:rFonts w:eastAsia="Times New Roman"/>
          <w:b/>
          <w:sz w:val="20"/>
          <w:szCs w:val="20"/>
        </w:rPr>
      </w:pPr>
      <w:r w:rsidRPr="004951B8">
        <w:rPr>
          <w:rFonts w:eastAsia="Times New Roman"/>
          <w:b/>
          <w:sz w:val="20"/>
          <w:szCs w:val="20"/>
        </w:rPr>
        <w:t>Grant Application</w:t>
      </w:r>
    </w:p>
    <w:p w14:paraId="5E4B1D7E" w14:textId="77777777" w:rsidR="00286109" w:rsidRPr="004951B8" w:rsidRDefault="00286109">
      <w:pPr>
        <w:contextualSpacing w:val="0"/>
        <w:jc w:val="center"/>
        <w:rPr>
          <w:rFonts w:eastAsia="Times New Roman"/>
          <w:b/>
          <w:sz w:val="20"/>
          <w:szCs w:val="20"/>
        </w:rPr>
      </w:pPr>
    </w:p>
    <w:p w14:paraId="0CFA0B24" w14:textId="77777777" w:rsidR="00286109" w:rsidRPr="004951B8" w:rsidRDefault="00AA7305">
      <w:pPr>
        <w:contextualSpacing w:val="0"/>
        <w:rPr>
          <w:rFonts w:eastAsia="Times New Roman"/>
          <w:b/>
          <w:sz w:val="20"/>
          <w:szCs w:val="20"/>
        </w:rPr>
      </w:pPr>
      <w:r w:rsidRPr="004951B8">
        <w:rPr>
          <w:rFonts w:eastAsia="Times New Roman"/>
          <w:b/>
          <w:sz w:val="20"/>
          <w:szCs w:val="20"/>
        </w:rPr>
        <w:t>General Information</w:t>
      </w:r>
    </w:p>
    <w:p w14:paraId="6F8A2DCE" w14:textId="77777777" w:rsidR="00286109" w:rsidRPr="004951B8" w:rsidRDefault="00AA7305">
      <w:pPr>
        <w:contextualSpacing w:val="0"/>
        <w:rPr>
          <w:rFonts w:eastAsia="Times New Roman"/>
          <w:sz w:val="20"/>
          <w:szCs w:val="20"/>
        </w:rPr>
      </w:pPr>
      <w:r w:rsidRPr="004951B8">
        <w:rPr>
          <w:rFonts w:eastAsia="Times New Roman"/>
          <w:b/>
          <w:sz w:val="20"/>
          <w:szCs w:val="20"/>
        </w:rPr>
        <w:t xml:space="preserve">Project Title:  </w:t>
      </w:r>
    </w:p>
    <w:p w14:paraId="230C2DDA"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MGMS Building a Culture of Kindness and Respect</w:t>
      </w:r>
    </w:p>
    <w:p w14:paraId="2547BAF8" w14:textId="77777777" w:rsidR="00286109" w:rsidRPr="004951B8" w:rsidRDefault="00286109">
      <w:pPr>
        <w:contextualSpacing w:val="0"/>
        <w:rPr>
          <w:rFonts w:eastAsia="Times New Roman"/>
          <w:sz w:val="20"/>
          <w:szCs w:val="20"/>
        </w:rPr>
      </w:pPr>
    </w:p>
    <w:p w14:paraId="4BDC8D77" w14:textId="77777777" w:rsidR="00286109" w:rsidRPr="004951B8" w:rsidRDefault="00AA7305">
      <w:pPr>
        <w:contextualSpacing w:val="0"/>
        <w:rPr>
          <w:rFonts w:eastAsia="Times New Roman"/>
          <w:b/>
          <w:sz w:val="20"/>
          <w:szCs w:val="20"/>
        </w:rPr>
      </w:pPr>
      <w:r w:rsidRPr="004951B8">
        <w:rPr>
          <w:rFonts w:eastAsia="Times New Roman"/>
          <w:b/>
          <w:sz w:val="20"/>
          <w:szCs w:val="20"/>
        </w:rPr>
        <w:t>Program Area:</w:t>
      </w:r>
    </w:p>
    <w:p w14:paraId="672BF21C"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Curriculum Enhancement - requires pre-approval from the Department of Curriculum, Instruction and Educational Standards (CIES)</w:t>
      </w:r>
    </w:p>
    <w:p w14:paraId="1BF3FAE2" w14:textId="77777777" w:rsidR="00286109" w:rsidRPr="004951B8" w:rsidRDefault="00286109">
      <w:pPr>
        <w:contextualSpacing w:val="0"/>
        <w:rPr>
          <w:rFonts w:eastAsia="Times New Roman"/>
          <w:sz w:val="20"/>
          <w:szCs w:val="20"/>
        </w:rPr>
      </w:pPr>
    </w:p>
    <w:p w14:paraId="79EC7A5A" w14:textId="77777777" w:rsidR="00286109" w:rsidRPr="004951B8" w:rsidRDefault="00AA7305">
      <w:pPr>
        <w:contextualSpacing w:val="0"/>
        <w:rPr>
          <w:rFonts w:eastAsia="Times New Roman"/>
          <w:b/>
          <w:sz w:val="20"/>
          <w:szCs w:val="20"/>
        </w:rPr>
      </w:pPr>
      <w:r w:rsidRPr="004951B8">
        <w:rPr>
          <w:rFonts w:eastAsia="Times New Roman"/>
          <w:b/>
          <w:sz w:val="20"/>
          <w:szCs w:val="20"/>
        </w:rPr>
        <w:t>What is the total project cost?</w:t>
      </w:r>
    </w:p>
    <w:p w14:paraId="001ECF20"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$2,011.72</w:t>
      </w:r>
    </w:p>
    <w:p w14:paraId="38FCBEFD" w14:textId="77777777" w:rsidR="00286109" w:rsidRPr="004951B8" w:rsidRDefault="00286109">
      <w:pPr>
        <w:contextualSpacing w:val="0"/>
        <w:rPr>
          <w:rFonts w:eastAsia="Times New Roman"/>
          <w:sz w:val="20"/>
          <w:szCs w:val="20"/>
        </w:rPr>
      </w:pPr>
    </w:p>
    <w:p w14:paraId="5337CAE0" w14:textId="77777777" w:rsidR="00286109" w:rsidRPr="004951B8" w:rsidRDefault="00AA7305">
      <w:pPr>
        <w:contextualSpacing w:val="0"/>
        <w:rPr>
          <w:rFonts w:eastAsia="Times New Roman"/>
          <w:b/>
          <w:sz w:val="20"/>
          <w:szCs w:val="20"/>
        </w:rPr>
      </w:pPr>
      <w:r w:rsidRPr="004951B8">
        <w:rPr>
          <w:rFonts w:eastAsia="Times New Roman"/>
          <w:b/>
          <w:sz w:val="20"/>
          <w:szCs w:val="20"/>
        </w:rPr>
        <w:t>List and describe the number of staff involved and their time commitment to this project.</w:t>
      </w:r>
    </w:p>
    <w:p w14:paraId="2EC9F98A" w14:textId="77777777" w:rsidR="004D21E1" w:rsidRPr="004951B8" w:rsidRDefault="00AA7305">
      <w:pPr>
        <w:contextualSpacing w:val="0"/>
        <w:rPr>
          <w:rFonts w:eastAsia="Times New Roman"/>
          <w:color w:val="222222"/>
          <w:sz w:val="20"/>
          <w:szCs w:val="20"/>
          <w:highlight w:val="white"/>
        </w:rPr>
      </w:pPr>
      <w:r w:rsidRPr="004951B8">
        <w:rPr>
          <w:rFonts w:eastAsia="Times New Roman"/>
          <w:color w:val="222222"/>
          <w:sz w:val="20"/>
          <w:szCs w:val="20"/>
          <w:highlight w:val="white"/>
        </w:rPr>
        <w:t xml:space="preserve">Staff members involved (20): </w:t>
      </w:r>
    </w:p>
    <w:p w14:paraId="70B35BE0" w14:textId="1223D5AE" w:rsidR="004D21E1"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 xml:space="preserve">4 Math Teachers (1 </w:t>
      </w:r>
      <w:r w:rsidR="004D21E1" w:rsidRPr="004951B8">
        <w:rPr>
          <w:rFonts w:eastAsia="Times New Roman"/>
          <w:color w:val="222222"/>
          <w:sz w:val="20"/>
          <w:szCs w:val="20"/>
          <w:highlight w:val="white"/>
        </w:rPr>
        <w:t xml:space="preserve">Trimester) Facilitate </w:t>
      </w:r>
      <w:r w:rsidRPr="004951B8">
        <w:rPr>
          <w:rFonts w:eastAsia="Times New Roman"/>
          <w:color w:val="222222"/>
          <w:sz w:val="20"/>
          <w:szCs w:val="20"/>
          <w:highlight w:val="white"/>
        </w:rPr>
        <w:t>lessons from the unit and guide the literature circles.</w:t>
      </w:r>
    </w:p>
    <w:p w14:paraId="4E03653B" w14:textId="62F73525" w:rsidR="004D21E1"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4 English Teachers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 xml:space="preserve">(1 </w:t>
      </w:r>
      <w:r w:rsidR="004D21E1" w:rsidRPr="004951B8">
        <w:rPr>
          <w:rFonts w:eastAsia="Times New Roman"/>
          <w:color w:val="222222"/>
          <w:sz w:val="20"/>
          <w:szCs w:val="20"/>
          <w:highlight w:val="white"/>
        </w:rPr>
        <w:t>Trimester) Facilitate</w:t>
      </w:r>
      <w:r w:rsidRPr="004951B8">
        <w:rPr>
          <w:rFonts w:eastAsia="Times New Roman"/>
          <w:color w:val="222222"/>
          <w:sz w:val="20"/>
          <w:szCs w:val="20"/>
          <w:highlight w:val="white"/>
        </w:rPr>
        <w:t xml:space="preserve"> lessons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from the unit and guide the literature circles.</w:t>
      </w:r>
      <w:r w:rsidRPr="004951B8">
        <w:rPr>
          <w:rFonts w:eastAsia="Times New Roman"/>
          <w:color w:val="222222"/>
          <w:sz w:val="20"/>
          <w:szCs w:val="20"/>
          <w:highlight w:val="white"/>
        </w:rPr>
        <w:br/>
        <w:t>Facilitate lessons from</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the unit and guide the literature circles.</w:t>
      </w:r>
    </w:p>
    <w:p w14:paraId="67848BC6" w14:textId="2E7629C2" w:rsidR="004D21E1"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4 Science Teachers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 xml:space="preserve">(1 </w:t>
      </w:r>
      <w:r w:rsidR="004D21E1" w:rsidRPr="004951B8">
        <w:rPr>
          <w:rFonts w:eastAsia="Times New Roman"/>
          <w:color w:val="222222"/>
          <w:sz w:val="20"/>
          <w:szCs w:val="20"/>
          <w:highlight w:val="white"/>
        </w:rPr>
        <w:t>Trimester) Facilitate</w:t>
      </w:r>
      <w:r w:rsidRPr="004951B8">
        <w:rPr>
          <w:rFonts w:eastAsia="Times New Roman"/>
          <w:color w:val="222222"/>
          <w:sz w:val="20"/>
          <w:szCs w:val="20"/>
          <w:highlight w:val="white"/>
        </w:rPr>
        <w:t xml:space="preserve"> lessons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from the unit and guide the literature circles.</w:t>
      </w:r>
    </w:p>
    <w:p w14:paraId="3A99FF0F" w14:textId="0A46EF08" w:rsidR="004D21E1"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4 Social Studies Teachers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 xml:space="preserve">(1 </w:t>
      </w:r>
      <w:r w:rsidR="004D21E1" w:rsidRPr="004951B8">
        <w:rPr>
          <w:rFonts w:eastAsia="Times New Roman"/>
          <w:color w:val="222222"/>
          <w:sz w:val="20"/>
          <w:szCs w:val="20"/>
          <w:highlight w:val="white"/>
        </w:rPr>
        <w:t xml:space="preserve">Trimester) Facilitate </w:t>
      </w:r>
      <w:r w:rsidRPr="004951B8">
        <w:rPr>
          <w:rFonts w:eastAsia="Times New Roman"/>
          <w:color w:val="222222"/>
          <w:sz w:val="20"/>
          <w:szCs w:val="20"/>
          <w:highlight w:val="white"/>
        </w:rPr>
        <w:t>lessons from the unit and guide the literature circles.</w:t>
      </w:r>
    </w:p>
    <w:p w14:paraId="7416B028" w14:textId="77777777" w:rsidR="004D21E1"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2 SPED Teachers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 xml:space="preserve">(1 </w:t>
      </w:r>
      <w:r w:rsidR="004D21E1" w:rsidRPr="004951B8">
        <w:rPr>
          <w:rFonts w:eastAsia="Times New Roman"/>
          <w:color w:val="222222"/>
          <w:sz w:val="20"/>
          <w:szCs w:val="20"/>
          <w:highlight w:val="white"/>
        </w:rPr>
        <w:t>Trimester) Facilitate</w:t>
      </w:r>
      <w:r w:rsidRPr="004951B8">
        <w:rPr>
          <w:rFonts w:eastAsia="Times New Roman"/>
          <w:color w:val="222222"/>
          <w:sz w:val="20"/>
          <w:szCs w:val="20"/>
          <w:highlight w:val="white"/>
        </w:rPr>
        <w:t xml:space="preserve"> lessons</w:t>
      </w:r>
      <w:r w:rsidR="004D21E1" w:rsidRPr="004951B8">
        <w:rPr>
          <w:rFonts w:eastAsia="Times New Roman"/>
          <w:color w:val="222222"/>
          <w:sz w:val="20"/>
          <w:szCs w:val="20"/>
          <w:highlight w:val="white"/>
        </w:rPr>
        <w:t xml:space="preserve"> </w:t>
      </w:r>
      <w:r w:rsidRPr="004951B8">
        <w:rPr>
          <w:rFonts w:eastAsia="Times New Roman"/>
          <w:color w:val="222222"/>
          <w:sz w:val="20"/>
          <w:szCs w:val="20"/>
          <w:highlight w:val="white"/>
        </w:rPr>
        <w:t>from the unit and guide the literature circles.</w:t>
      </w:r>
    </w:p>
    <w:p w14:paraId="18DD556C" w14:textId="77777777" w:rsidR="00B64DAD"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1 Differentiation and Assessment Coach</w:t>
      </w:r>
      <w:r w:rsidR="00B64DAD" w:rsidRPr="004951B8">
        <w:rPr>
          <w:rFonts w:eastAsia="Times New Roman"/>
          <w:color w:val="222222"/>
          <w:sz w:val="20"/>
          <w:szCs w:val="20"/>
          <w:highlight w:val="white"/>
        </w:rPr>
        <w:t xml:space="preserve"> </w:t>
      </w:r>
      <w:r w:rsidRPr="004951B8">
        <w:rPr>
          <w:rFonts w:eastAsia="Times New Roman"/>
          <w:color w:val="222222"/>
          <w:sz w:val="20"/>
          <w:szCs w:val="20"/>
          <w:highlight w:val="white"/>
        </w:rPr>
        <w:t>(3</w:t>
      </w:r>
      <w:r w:rsidR="00B64DAD" w:rsidRPr="004951B8">
        <w:rPr>
          <w:rFonts w:eastAsia="Times New Roman"/>
          <w:color w:val="222222"/>
          <w:sz w:val="20"/>
          <w:szCs w:val="20"/>
          <w:highlight w:val="white"/>
        </w:rPr>
        <w:t xml:space="preserve"> Trimesters) Support</w:t>
      </w:r>
      <w:r w:rsidRPr="004951B8">
        <w:rPr>
          <w:rFonts w:eastAsia="Times New Roman"/>
          <w:color w:val="222222"/>
          <w:sz w:val="20"/>
          <w:szCs w:val="20"/>
          <w:highlight w:val="white"/>
        </w:rPr>
        <w:t xml:space="preserve"> and manage the movement of materials from classrooms. Support collaboration between teams regarding lessons and assessments.</w:t>
      </w:r>
    </w:p>
    <w:p w14:paraId="1E6EC8DF" w14:textId="4DB84A29" w:rsidR="00286109" w:rsidRPr="004951B8" w:rsidRDefault="00AA7305" w:rsidP="004D21E1">
      <w:pPr>
        <w:pStyle w:val="ListParagraph"/>
        <w:numPr>
          <w:ilvl w:val="0"/>
          <w:numId w:val="1"/>
        </w:numPr>
        <w:contextualSpacing w:val="0"/>
        <w:rPr>
          <w:rFonts w:eastAsia="Times New Roman"/>
          <w:sz w:val="20"/>
          <w:szCs w:val="20"/>
        </w:rPr>
      </w:pPr>
      <w:r w:rsidRPr="004951B8">
        <w:rPr>
          <w:rFonts w:eastAsia="Times New Roman"/>
          <w:color w:val="222222"/>
          <w:sz w:val="20"/>
          <w:szCs w:val="20"/>
          <w:highlight w:val="white"/>
        </w:rPr>
        <w:t>1 Equity Specialist (3 Trimesters) Support collaboration for developing materials and providing culturally responsive instruction throughout the unit. In addition, provide support for group discussions using the Courageous Conversation Compass.</w:t>
      </w:r>
      <w:r w:rsidRPr="004951B8">
        <w:rPr>
          <w:rFonts w:eastAsia="Times New Roman"/>
          <w:color w:val="222222"/>
          <w:sz w:val="20"/>
          <w:szCs w:val="20"/>
          <w:highlight w:val="white"/>
        </w:rPr>
        <w:br/>
      </w:r>
    </w:p>
    <w:p w14:paraId="1B1CD028" w14:textId="77777777" w:rsidR="00286109" w:rsidRPr="004951B8" w:rsidRDefault="00AA7305">
      <w:pPr>
        <w:contextualSpacing w:val="0"/>
        <w:rPr>
          <w:rFonts w:eastAsia="Times New Roman"/>
          <w:b/>
          <w:sz w:val="20"/>
          <w:szCs w:val="20"/>
        </w:rPr>
      </w:pPr>
      <w:r w:rsidRPr="004951B8">
        <w:rPr>
          <w:rFonts w:eastAsia="Times New Roman"/>
          <w:b/>
          <w:sz w:val="20"/>
          <w:szCs w:val="20"/>
        </w:rPr>
        <w:t>List and describe the number on non-staff volunteers involved and their time commitment to this project.</w:t>
      </w:r>
    </w:p>
    <w:p w14:paraId="3B6A4A66" w14:textId="77777777" w:rsidR="00286109" w:rsidRPr="004951B8" w:rsidRDefault="00AA7305">
      <w:pPr>
        <w:contextualSpacing w:val="0"/>
        <w:rPr>
          <w:rFonts w:eastAsia="Times New Roman"/>
          <w:color w:val="222222"/>
          <w:sz w:val="20"/>
          <w:szCs w:val="20"/>
          <w:highlight w:val="white"/>
        </w:rPr>
      </w:pPr>
      <w:r w:rsidRPr="004951B8">
        <w:rPr>
          <w:rFonts w:eastAsia="Times New Roman"/>
          <w:color w:val="222222"/>
          <w:sz w:val="20"/>
          <w:szCs w:val="20"/>
          <w:highlight w:val="white"/>
        </w:rPr>
        <w:t xml:space="preserve">Community members and parents will be welcomed into the classroom to share cultural information that is connected to the books and discussions. In the past when we have invited volunteers, we have had about 10 volunteers. </w:t>
      </w:r>
    </w:p>
    <w:p w14:paraId="77B509E9" w14:textId="77777777" w:rsidR="00286109" w:rsidRPr="004951B8" w:rsidRDefault="00286109">
      <w:pPr>
        <w:contextualSpacing w:val="0"/>
        <w:rPr>
          <w:rFonts w:eastAsia="Times New Roman"/>
          <w:color w:val="222222"/>
          <w:sz w:val="20"/>
          <w:szCs w:val="20"/>
          <w:highlight w:val="white"/>
        </w:rPr>
      </w:pPr>
    </w:p>
    <w:p w14:paraId="774A2E32" w14:textId="77777777" w:rsidR="00286109" w:rsidRPr="004951B8" w:rsidRDefault="00AA7305">
      <w:pPr>
        <w:contextualSpacing w:val="0"/>
        <w:rPr>
          <w:rFonts w:eastAsia="Times New Roman"/>
          <w:b/>
          <w:sz w:val="20"/>
          <w:szCs w:val="20"/>
        </w:rPr>
      </w:pPr>
      <w:r w:rsidRPr="004951B8">
        <w:rPr>
          <w:rFonts w:eastAsia="Times New Roman"/>
          <w:b/>
          <w:sz w:val="20"/>
          <w:szCs w:val="20"/>
        </w:rPr>
        <w:t>Total dollar amount of this grant request:</w:t>
      </w:r>
    </w:p>
    <w:p w14:paraId="73DB2C6C"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2011.72</w:t>
      </w:r>
    </w:p>
    <w:p w14:paraId="3A44199B" w14:textId="77777777" w:rsidR="00286109" w:rsidRPr="004951B8" w:rsidRDefault="00286109">
      <w:pPr>
        <w:contextualSpacing w:val="0"/>
        <w:rPr>
          <w:rFonts w:eastAsia="Times New Roman"/>
          <w:sz w:val="20"/>
          <w:szCs w:val="20"/>
        </w:rPr>
      </w:pPr>
    </w:p>
    <w:p w14:paraId="61971836" w14:textId="77777777" w:rsidR="00286109" w:rsidRPr="004951B8" w:rsidRDefault="00AA7305">
      <w:pPr>
        <w:contextualSpacing w:val="0"/>
        <w:rPr>
          <w:rFonts w:eastAsia="Times New Roman"/>
          <w:b/>
          <w:sz w:val="20"/>
          <w:szCs w:val="20"/>
        </w:rPr>
      </w:pPr>
      <w:r w:rsidRPr="004951B8">
        <w:rPr>
          <w:rFonts w:eastAsia="Times New Roman"/>
          <w:b/>
          <w:sz w:val="20"/>
          <w:szCs w:val="20"/>
        </w:rPr>
        <w:t>Dollar amount per student for grant request:</w:t>
      </w:r>
    </w:p>
    <w:p w14:paraId="7C88C5B3"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3.48</w:t>
      </w:r>
    </w:p>
    <w:p w14:paraId="26156E6C" w14:textId="77777777" w:rsidR="00286109" w:rsidRPr="004951B8" w:rsidRDefault="00286109">
      <w:pPr>
        <w:contextualSpacing w:val="0"/>
        <w:rPr>
          <w:rFonts w:eastAsia="Times New Roman"/>
          <w:sz w:val="20"/>
          <w:szCs w:val="20"/>
        </w:rPr>
      </w:pPr>
    </w:p>
    <w:p w14:paraId="1F39EB98" w14:textId="77777777" w:rsidR="00286109" w:rsidRPr="004951B8" w:rsidRDefault="00AA7305">
      <w:pPr>
        <w:contextualSpacing w:val="0"/>
        <w:rPr>
          <w:rFonts w:eastAsia="Times New Roman"/>
          <w:b/>
          <w:sz w:val="20"/>
          <w:szCs w:val="20"/>
        </w:rPr>
      </w:pPr>
      <w:r w:rsidRPr="004951B8">
        <w:rPr>
          <w:rFonts w:eastAsia="Times New Roman"/>
          <w:b/>
          <w:sz w:val="20"/>
          <w:szCs w:val="20"/>
        </w:rPr>
        <w:t>School(s) included.</w:t>
      </w:r>
    </w:p>
    <w:p w14:paraId="0C0FEF34"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MGMS</w:t>
      </w:r>
    </w:p>
    <w:p w14:paraId="5A584E38" w14:textId="77777777" w:rsidR="00286109" w:rsidRPr="004951B8" w:rsidRDefault="00286109">
      <w:pPr>
        <w:contextualSpacing w:val="0"/>
        <w:rPr>
          <w:rFonts w:eastAsia="Times New Roman"/>
          <w:sz w:val="20"/>
          <w:szCs w:val="20"/>
        </w:rPr>
      </w:pPr>
    </w:p>
    <w:p w14:paraId="08BD9A41" w14:textId="77777777" w:rsidR="00286109" w:rsidRPr="004951B8" w:rsidRDefault="00AA7305">
      <w:pPr>
        <w:contextualSpacing w:val="0"/>
        <w:rPr>
          <w:rFonts w:eastAsia="Times New Roman"/>
          <w:b/>
          <w:sz w:val="20"/>
          <w:szCs w:val="20"/>
        </w:rPr>
      </w:pPr>
      <w:r w:rsidRPr="004951B8">
        <w:rPr>
          <w:rFonts w:eastAsia="Times New Roman"/>
          <w:b/>
          <w:sz w:val="20"/>
          <w:szCs w:val="20"/>
        </w:rPr>
        <w:t>If multiple schools, please enter which school would receive the funds.</w:t>
      </w:r>
    </w:p>
    <w:p w14:paraId="6CD37645" w14:textId="77777777" w:rsidR="00286109" w:rsidRPr="004951B8" w:rsidRDefault="00286109">
      <w:pPr>
        <w:contextualSpacing w:val="0"/>
        <w:rPr>
          <w:rFonts w:eastAsia="Times New Roman"/>
          <w:color w:val="222222"/>
          <w:sz w:val="20"/>
          <w:szCs w:val="20"/>
          <w:highlight w:val="white"/>
        </w:rPr>
      </w:pPr>
    </w:p>
    <w:p w14:paraId="076D19EC" w14:textId="77777777" w:rsidR="00286109" w:rsidRPr="004951B8" w:rsidRDefault="00AA7305">
      <w:pPr>
        <w:contextualSpacing w:val="0"/>
        <w:rPr>
          <w:rFonts w:eastAsia="Times New Roman"/>
          <w:b/>
          <w:sz w:val="20"/>
          <w:szCs w:val="20"/>
        </w:rPr>
      </w:pPr>
      <w:r w:rsidRPr="004951B8">
        <w:rPr>
          <w:rFonts w:eastAsia="Times New Roman"/>
          <w:b/>
          <w:sz w:val="20"/>
          <w:szCs w:val="20"/>
        </w:rPr>
        <w:t>Grant writer’s name:</w:t>
      </w:r>
    </w:p>
    <w:p w14:paraId="7F883917"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lastRenderedPageBreak/>
        <w:t>Shanon Whiteside</w:t>
      </w:r>
    </w:p>
    <w:p w14:paraId="280316B3" w14:textId="77777777" w:rsidR="00286109" w:rsidRPr="004951B8" w:rsidRDefault="00286109">
      <w:pPr>
        <w:contextualSpacing w:val="0"/>
        <w:rPr>
          <w:rFonts w:eastAsia="Times New Roman"/>
          <w:sz w:val="20"/>
          <w:szCs w:val="20"/>
        </w:rPr>
      </w:pPr>
    </w:p>
    <w:p w14:paraId="198AA7DF" w14:textId="77777777" w:rsidR="00286109" w:rsidRPr="004951B8" w:rsidRDefault="00AA7305">
      <w:pPr>
        <w:contextualSpacing w:val="0"/>
        <w:rPr>
          <w:rFonts w:eastAsia="Times New Roman"/>
          <w:b/>
          <w:sz w:val="20"/>
          <w:szCs w:val="20"/>
        </w:rPr>
      </w:pPr>
      <w:r w:rsidRPr="004951B8">
        <w:rPr>
          <w:rFonts w:eastAsia="Times New Roman"/>
          <w:b/>
          <w:sz w:val="20"/>
          <w:szCs w:val="20"/>
        </w:rPr>
        <w:t>Grant writer’s title:</w:t>
      </w:r>
    </w:p>
    <w:p w14:paraId="7756DD7E"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Science Teacher</w:t>
      </w:r>
    </w:p>
    <w:p w14:paraId="5A7C0F8D" w14:textId="77777777" w:rsidR="00286109" w:rsidRPr="004951B8" w:rsidRDefault="00286109">
      <w:pPr>
        <w:contextualSpacing w:val="0"/>
        <w:rPr>
          <w:rFonts w:eastAsia="Times New Roman"/>
          <w:sz w:val="20"/>
          <w:szCs w:val="20"/>
        </w:rPr>
      </w:pPr>
    </w:p>
    <w:p w14:paraId="646D79E6" w14:textId="77777777" w:rsidR="00286109" w:rsidRPr="004951B8" w:rsidRDefault="00AA7305">
      <w:pPr>
        <w:contextualSpacing w:val="0"/>
        <w:rPr>
          <w:rFonts w:eastAsia="Times New Roman"/>
          <w:b/>
          <w:sz w:val="20"/>
          <w:szCs w:val="20"/>
        </w:rPr>
      </w:pPr>
      <w:r w:rsidRPr="004951B8">
        <w:rPr>
          <w:rFonts w:eastAsia="Times New Roman"/>
          <w:b/>
          <w:sz w:val="20"/>
          <w:szCs w:val="20"/>
        </w:rPr>
        <w:t>Grant writer’s email address:</w:t>
      </w:r>
    </w:p>
    <w:p w14:paraId="56EA590D"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whitesides@district279.org</w:t>
      </w:r>
    </w:p>
    <w:p w14:paraId="77672228" w14:textId="77777777" w:rsidR="00286109" w:rsidRPr="004951B8" w:rsidRDefault="00286109">
      <w:pPr>
        <w:contextualSpacing w:val="0"/>
        <w:rPr>
          <w:rFonts w:eastAsia="Times New Roman"/>
          <w:sz w:val="20"/>
          <w:szCs w:val="20"/>
        </w:rPr>
      </w:pPr>
    </w:p>
    <w:p w14:paraId="4A9661F3" w14:textId="77777777" w:rsidR="00286109" w:rsidRPr="004951B8" w:rsidRDefault="00AA7305">
      <w:pPr>
        <w:contextualSpacing w:val="0"/>
        <w:rPr>
          <w:rFonts w:eastAsia="Times New Roman"/>
          <w:b/>
          <w:sz w:val="20"/>
          <w:szCs w:val="20"/>
        </w:rPr>
      </w:pPr>
      <w:r w:rsidRPr="004951B8">
        <w:rPr>
          <w:rFonts w:eastAsia="Times New Roman"/>
          <w:b/>
          <w:sz w:val="20"/>
          <w:szCs w:val="20"/>
        </w:rPr>
        <w:t>Grant writer’s telephone number:</w:t>
      </w:r>
    </w:p>
    <w:p w14:paraId="06388637" w14:textId="77777777" w:rsidR="00286109" w:rsidRPr="004951B8" w:rsidRDefault="00AA7305">
      <w:pPr>
        <w:contextualSpacing w:val="0"/>
        <w:rPr>
          <w:rFonts w:eastAsia="Times New Roman"/>
          <w:sz w:val="20"/>
          <w:szCs w:val="20"/>
        </w:rPr>
      </w:pPr>
      <w:r w:rsidRPr="004951B8">
        <w:rPr>
          <w:rFonts w:eastAsia="Roboto"/>
          <w:sz w:val="20"/>
          <w:szCs w:val="20"/>
          <w:highlight w:val="white"/>
        </w:rPr>
        <w:t>763-325-7600</w:t>
      </w:r>
    </w:p>
    <w:p w14:paraId="4181A4C7" w14:textId="77777777" w:rsidR="00286109" w:rsidRPr="004951B8" w:rsidRDefault="00286109">
      <w:pPr>
        <w:contextualSpacing w:val="0"/>
        <w:rPr>
          <w:rFonts w:eastAsia="Times New Roman"/>
          <w:sz w:val="20"/>
          <w:szCs w:val="20"/>
        </w:rPr>
      </w:pPr>
    </w:p>
    <w:p w14:paraId="259B33FF" w14:textId="77777777" w:rsidR="00286109" w:rsidRPr="004951B8" w:rsidRDefault="00AA7305">
      <w:pPr>
        <w:contextualSpacing w:val="0"/>
        <w:rPr>
          <w:rFonts w:eastAsia="Times New Roman"/>
          <w:b/>
          <w:sz w:val="20"/>
          <w:szCs w:val="20"/>
        </w:rPr>
      </w:pPr>
      <w:r w:rsidRPr="004951B8">
        <w:rPr>
          <w:rFonts w:eastAsia="Times New Roman"/>
          <w:b/>
          <w:sz w:val="20"/>
          <w:szCs w:val="20"/>
        </w:rPr>
        <w:t>Project Questions</w:t>
      </w:r>
    </w:p>
    <w:p w14:paraId="4E267EF9" w14:textId="3B967842" w:rsidR="00286109" w:rsidRPr="004951B8" w:rsidRDefault="00AA7305">
      <w:pPr>
        <w:contextualSpacing w:val="0"/>
        <w:rPr>
          <w:rFonts w:eastAsia="Times New Roman"/>
          <w:b/>
          <w:sz w:val="20"/>
          <w:szCs w:val="20"/>
        </w:rPr>
      </w:pPr>
      <w:r w:rsidRPr="004951B8">
        <w:rPr>
          <w:rFonts w:eastAsia="Times New Roman"/>
          <w:b/>
          <w:sz w:val="20"/>
          <w:szCs w:val="20"/>
        </w:rPr>
        <w:t xml:space="preserve">Provide </w:t>
      </w:r>
      <w:r w:rsidR="00923060" w:rsidRPr="004951B8">
        <w:rPr>
          <w:rFonts w:eastAsia="Times New Roman"/>
          <w:b/>
          <w:sz w:val="20"/>
          <w:szCs w:val="20"/>
        </w:rPr>
        <w:t>a summary</w:t>
      </w:r>
      <w:r w:rsidRPr="004951B8">
        <w:rPr>
          <w:rFonts w:eastAsia="Times New Roman"/>
          <w:b/>
          <w:sz w:val="20"/>
          <w:szCs w:val="20"/>
        </w:rPr>
        <w:t xml:space="preserve"> of your project request.</w:t>
      </w:r>
    </w:p>
    <w:p w14:paraId="35E1FF48" w14:textId="6A001315" w:rsidR="00286109" w:rsidRPr="004951B8" w:rsidRDefault="00AA7305" w:rsidP="00B64DAD">
      <w:pPr>
        <w:pStyle w:val="NoSpacing"/>
        <w:rPr>
          <w:sz w:val="20"/>
          <w:szCs w:val="20"/>
        </w:rPr>
      </w:pPr>
      <w:r w:rsidRPr="004951B8">
        <w:rPr>
          <w:sz w:val="20"/>
          <w:szCs w:val="20"/>
          <w:highlight w:val="white"/>
        </w:rPr>
        <w:t>The multicultural book project actually begins with lessons that include the following topics:  If you would like to view the lessons, they would be available in Schoology for anyone to view using the access code J2MGK-9P9XX</w:t>
      </w:r>
      <w:r w:rsidRPr="004951B8">
        <w:rPr>
          <w:sz w:val="20"/>
          <w:szCs w:val="20"/>
          <w:highlight w:val="white"/>
        </w:rPr>
        <w:br/>
      </w:r>
      <w:r w:rsidRPr="004951B8">
        <w:rPr>
          <w:rFonts w:eastAsia="Times New Roman"/>
          <w:color w:val="222222"/>
          <w:sz w:val="20"/>
          <w:szCs w:val="20"/>
          <w:highlight w:val="white"/>
        </w:rPr>
        <w:t>Mind Set/Racial Awareness</w:t>
      </w:r>
      <w:r w:rsidRPr="004951B8">
        <w:rPr>
          <w:rFonts w:eastAsia="Times New Roman"/>
          <w:color w:val="222222"/>
          <w:sz w:val="20"/>
          <w:szCs w:val="20"/>
          <w:highlight w:val="white"/>
        </w:rPr>
        <w:br/>
        <w:t>Danger of a Single Story</w:t>
      </w:r>
      <w:r w:rsidRPr="004951B8">
        <w:rPr>
          <w:rFonts w:eastAsia="Times New Roman"/>
          <w:color w:val="222222"/>
          <w:sz w:val="20"/>
          <w:szCs w:val="20"/>
          <w:highlight w:val="white"/>
        </w:rPr>
        <w:br/>
        <w:t>Icebergs:  Above and</w:t>
      </w:r>
      <w:r w:rsidR="00B64DAD" w:rsidRPr="004951B8">
        <w:rPr>
          <w:rFonts w:eastAsia="Times New Roman"/>
          <w:color w:val="222222"/>
          <w:sz w:val="20"/>
          <w:szCs w:val="20"/>
          <w:highlight w:val="white"/>
        </w:rPr>
        <w:t xml:space="preserve"> </w:t>
      </w:r>
      <w:r w:rsidRPr="004951B8">
        <w:rPr>
          <w:rFonts w:eastAsia="Times New Roman"/>
          <w:color w:val="222222"/>
          <w:sz w:val="20"/>
          <w:szCs w:val="20"/>
          <w:highlight w:val="white"/>
        </w:rPr>
        <w:t>Below the Line Information</w:t>
      </w:r>
      <w:r w:rsidRPr="004951B8">
        <w:rPr>
          <w:rFonts w:eastAsia="Times New Roman"/>
          <w:color w:val="222222"/>
          <w:sz w:val="20"/>
          <w:szCs w:val="20"/>
          <w:highlight w:val="white"/>
        </w:rPr>
        <w:br/>
        <w:t>Biology of Skin Color</w:t>
      </w:r>
      <w:r w:rsidRPr="004951B8">
        <w:rPr>
          <w:rFonts w:eastAsia="Times New Roman"/>
          <w:color w:val="222222"/>
          <w:sz w:val="20"/>
          <w:szCs w:val="20"/>
          <w:highlight w:val="white"/>
        </w:rPr>
        <w:br/>
        <w:t>Prejudice and Stereotypes</w:t>
      </w:r>
      <w:r w:rsidRPr="004951B8">
        <w:rPr>
          <w:rFonts w:eastAsia="Times New Roman"/>
          <w:color w:val="222222"/>
          <w:sz w:val="20"/>
          <w:szCs w:val="20"/>
          <w:highlight w:val="white"/>
        </w:rPr>
        <w:br/>
        <w:t>Stereotypes – Judge Not</w:t>
      </w:r>
      <w:r w:rsidRPr="004951B8">
        <w:rPr>
          <w:rFonts w:eastAsia="Times New Roman"/>
          <w:color w:val="222222"/>
          <w:sz w:val="20"/>
          <w:szCs w:val="20"/>
          <w:highlight w:val="white"/>
        </w:rPr>
        <w:br/>
        <w:t>Understanding Race</w:t>
      </w:r>
      <w:r w:rsidRPr="004951B8">
        <w:rPr>
          <w:rFonts w:eastAsia="Times New Roman"/>
          <w:color w:val="222222"/>
          <w:sz w:val="20"/>
          <w:szCs w:val="20"/>
          <w:highlight w:val="white"/>
        </w:rPr>
        <w:br/>
        <w:t>Black History Month</w:t>
      </w:r>
      <w:r w:rsidRPr="004951B8">
        <w:rPr>
          <w:rFonts w:eastAsia="Times New Roman"/>
          <w:color w:val="222222"/>
          <w:sz w:val="20"/>
          <w:szCs w:val="20"/>
          <w:highlight w:val="white"/>
        </w:rPr>
        <w:br/>
        <w:t>Discrimination</w:t>
      </w:r>
      <w:r w:rsidRPr="004951B8">
        <w:rPr>
          <w:rFonts w:eastAsia="Times New Roman"/>
          <w:color w:val="222222"/>
          <w:sz w:val="20"/>
          <w:szCs w:val="20"/>
          <w:highlight w:val="white"/>
        </w:rPr>
        <w:br/>
        <w:t>Friendship/Empathy/Diversity</w:t>
      </w:r>
      <w:r w:rsidRPr="004951B8">
        <w:rPr>
          <w:rFonts w:eastAsia="Times New Roman"/>
          <w:color w:val="222222"/>
          <w:sz w:val="20"/>
          <w:szCs w:val="20"/>
          <w:highlight w:val="white"/>
        </w:rPr>
        <w:br/>
        <w:t>Diversity</w:t>
      </w:r>
      <w:r w:rsidRPr="004951B8">
        <w:rPr>
          <w:rFonts w:eastAsia="Times New Roman"/>
          <w:color w:val="222222"/>
          <w:sz w:val="20"/>
          <w:szCs w:val="20"/>
          <w:highlight w:val="white"/>
        </w:rPr>
        <w:br/>
        <w:t>Courage</w:t>
      </w:r>
      <w:r w:rsidRPr="004951B8">
        <w:rPr>
          <w:rFonts w:eastAsia="Times New Roman"/>
          <w:color w:val="222222"/>
          <w:sz w:val="20"/>
          <w:szCs w:val="20"/>
          <w:highlight w:val="white"/>
        </w:rPr>
        <w:br/>
        <w:t>Compassion and Tolerance</w:t>
      </w:r>
      <w:r w:rsidRPr="004951B8">
        <w:rPr>
          <w:rFonts w:eastAsia="Times New Roman"/>
          <w:color w:val="222222"/>
          <w:sz w:val="20"/>
          <w:szCs w:val="20"/>
          <w:highlight w:val="white"/>
        </w:rPr>
        <w:br/>
        <w:t>Immigrants and Refugees</w:t>
      </w:r>
      <w:r w:rsidRPr="004951B8">
        <w:rPr>
          <w:rFonts w:eastAsia="Times New Roman"/>
          <w:color w:val="222222"/>
          <w:sz w:val="20"/>
          <w:szCs w:val="20"/>
          <w:highlight w:val="white"/>
        </w:rPr>
        <w:br/>
        <w:t>Multicultural Literature Circles</w:t>
      </w:r>
      <w:r w:rsidRPr="004951B8">
        <w:rPr>
          <w:rFonts w:eastAsia="Times New Roman"/>
          <w:color w:val="222222"/>
          <w:sz w:val="20"/>
          <w:szCs w:val="20"/>
          <w:highlight w:val="white"/>
        </w:rPr>
        <w:br/>
        <w:t>Creating Our Anthology</w:t>
      </w:r>
      <w:r w:rsidRPr="004951B8">
        <w:rPr>
          <w:rFonts w:eastAsia="Times New Roman"/>
          <w:color w:val="222222"/>
          <w:sz w:val="20"/>
          <w:szCs w:val="20"/>
          <w:highlight w:val="white"/>
        </w:rPr>
        <w:br/>
      </w:r>
      <w:r w:rsidRPr="004951B8">
        <w:rPr>
          <w:sz w:val="20"/>
          <w:szCs w:val="20"/>
          <w:highlight w:val="white"/>
        </w:rPr>
        <w:t xml:space="preserve"> </w:t>
      </w:r>
      <w:r w:rsidRPr="004951B8">
        <w:rPr>
          <w:sz w:val="20"/>
          <w:szCs w:val="20"/>
          <w:highlight w:val="white"/>
        </w:rPr>
        <w:br/>
        <w:t>Following the mini lessons</w:t>
      </w:r>
      <w:r w:rsidRPr="004951B8">
        <w:rPr>
          <w:sz w:val="20"/>
          <w:szCs w:val="20"/>
          <w:highlight w:val="white"/>
        </w:rPr>
        <w:br/>
        <w:t>6-8 weeks, students will use their new learning and awareness while reading and</w:t>
      </w:r>
      <w:r w:rsidR="004951B8" w:rsidRPr="004951B8">
        <w:rPr>
          <w:sz w:val="20"/>
          <w:szCs w:val="20"/>
          <w:highlight w:val="white"/>
        </w:rPr>
        <w:t xml:space="preserve"> </w:t>
      </w:r>
      <w:r w:rsidRPr="004951B8">
        <w:rPr>
          <w:sz w:val="20"/>
          <w:szCs w:val="20"/>
          <w:highlight w:val="white"/>
        </w:rPr>
        <w:t>analyzing a book of their choice from the grant. Parents will be notified</w:t>
      </w:r>
      <w:r w:rsidR="004951B8" w:rsidRPr="004951B8">
        <w:rPr>
          <w:sz w:val="20"/>
          <w:szCs w:val="20"/>
          <w:highlight w:val="white"/>
        </w:rPr>
        <w:t xml:space="preserve"> </w:t>
      </w:r>
      <w:r w:rsidRPr="004951B8">
        <w:rPr>
          <w:sz w:val="20"/>
          <w:szCs w:val="20"/>
          <w:highlight w:val="white"/>
        </w:rPr>
        <w:t>of the book choices and invited to be a guest in the class if they choose to</w:t>
      </w:r>
      <w:r w:rsidR="004951B8" w:rsidRPr="004951B8">
        <w:rPr>
          <w:sz w:val="20"/>
          <w:szCs w:val="20"/>
          <w:highlight w:val="white"/>
        </w:rPr>
        <w:t xml:space="preserve"> </w:t>
      </w:r>
      <w:r w:rsidRPr="004951B8">
        <w:rPr>
          <w:sz w:val="20"/>
          <w:szCs w:val="20"/>
          <w:highlight w:val="white"/>
        </w:rPr>
        <w:t>participate. The students will be guided</w:t>
      </w:r>
      <w:r w:rsidR="004951B8" w:rsidRPr="004951B8">
        <w:rPr>
          <w:sz w:val="20"/>
          <w:szCs w:val="20"/>
          <w:highlight w:val="white"/>
        </w:rPr>
        <w:t xml:space="preserve"> </w:t>
      </w:r>
      <w:r w:rsidRPr="004951B8">
        <w:rPr>
          <w:sz w:val="20"/>
          <w:szCs w:val="20"/>
          <w:highlight w:val="white"/>
        </w:rPr>
        <w:t>in their books with essential questions (See attached). The questions will guide theme discussions</w:t>
      </w:r>
      <w:r w:rsidR="004951B8" w:rsidRPr="004951B8">
        <w:rPr>
          <w:sz w:val="20"/>
          <w:szCs w:val="20"/>
          <w:highlight w:val="white"/>
        </w:rPr>
        <w:t xml:space="preserve"> </w:t>
      </w:r>
      <w:r w:rsidRPr="004951B8">
        <w:rPr>
          <w:sz w:val="20"/>
          <w:szCs w:val="20"/>
          <w:highlight w:val="white"/>
        </w:rPr>
        <w:t>based on the differentiated book choice topics and reading levels.</w:t>
      </w:r>
      <w:r w:rsidRPr="004951B8">
        <w:rPr>
          <w:sz w:val="20"/>
          <w:szCs w:val="20"/>
          <w:highlight w:val="white"/>
        </w:rPr>
        <w:br/>
        <w:t xml:space="preserve"> </w:t>
      </w:r>
      <w:r w:rsidRPr="004951B8">
        <w:rPr>
          <w:sz w:val="20"/>
          <w:szCs w:val="20"/>
          <w:highlight w:val="white"/>
        </w:rPr>
        <w:br/>
        <w:t>Students will engage in</w:t>
      </w:r>
      <w:r w:rsidR="004951B8" w:rsidRPr="004951B8">
        <w:rPr>
          <w:sz w:val="20"/>
          <w:szCs w:val="20"/>
          <w:highlight w:val="white"/>
        </w:rPr>
        <w:t xml:space="preserve"> </w:t>
      </w:r>
      <w:r w:rsidRPr="004951B8">
        <w:rPr>
          <w:sz w:val="20"/>
          <w:szCs w:val="20"/>
          <w:highlight w:val="white"/>
        </w:rPr>
        <w:t>materials from various cultures at various reading levels. The novels</w:t>
      </w:r>
      <w:r w:rsidRPr="004951B8">
        <w:rPr>
          <w:sz w:val="20"/>
          <w:szCs w:val="20"/>
          <w:highlight w:val="white"/>
        </w:rPr>
        <w:br/>
        <w:t>will allow students to practice the skills taught in the mini lessons, while engaging</w:t>
      </w:r>
      <w:r w:rsidR="004951B8" w:rsidRPr="004951B8">
        <w:rPr>
          <w:sz w:val="20"/>
          <w:szCs w:val="20"/>
          <w:highlight w:val="white"/>
        </w:rPr>
        <w:t xml:space="preserve"> </w:t>
      </w:r>
      <w:r w:rsidRPr="004951B8">
        <w:rPr>
          <w:sz w:val="20"/>
          <w:szCs w:val="20"/>
          <w:highlight w:val="white"/>
        </w:rPr>
        <w:t>in real-world, relevant topics regarding race, religion, age, gender, and</w:t>
      </w:r>
      <w:r w:rsidR="004951B8" w:rsidRPr="004951B8">
        <w:rPr>
          <w:sz w:val="20"/>
          <w:szCs w:val="20"/>
          <w:highlight w:val="white"/>
        </w:rPr>
        <w:t xml:space="preserve"> </w:t>
      </w:r>
      <w:r w:rsidRPr="004951B8">
        <w:rPr>
          <w:sz w:val="20"/>
          <w:szCs w:val="20"/>
          <w:highlight w:val="white"/>
        </w:rPr>
        <w:t>sexual orientation topics.</w:t>
      </w:r>
      <w:r w:rsidRPr="004951B8">
        <w:rPr>
          <w:sz w:val="20"/>
          <w:szCs w:val="20"/>
          <w:highlight w:val="white"/>
        </w:rPr>
        <w:br/>
        <w:t xml:space="preserve"> </w:t>
      </w:r>
      <w:r w:rsidRPr="004951B8">
        <w:rPr>
          <w:sz w:val="20"/>
          <w:szCs w:val="20"/>
          <w:highlight w:val="white"/>
        </w:rPr>
        <w:br/>
        <w:t>The novels will allow</w:t>
      </w:r>
      <w:r w:rsidR="004951B8" w:rsidRPr="004951B8">
        <w:rPr>
          <w:sz w:val="20"/>
          <w:szCs w:val="20"/>
          <w:highlight w:val="white"/>
        </w:rPr>
        <w:t xml:space="preserve"> </w:t>
      </w:r>
      <w:r w:rsidRPr="004951B8">
        <w:rPr>
          <w:sz w:val="20"/>
          <w:szCs w:val="20"/>
          <w:highlight w:val="white"/>
        </w:rPr>
        <w:t xml:space="preserve">students to experience whole group reading, partner reading, and </w:t>
      </w:r>
      <w:r w:rsidR="004951B8" w:rsidRPr="004951B8">
        <w:rPr>
          <w:sz w:val="20"/>
          <w:szCs w:val="20"/>
          <w:highlight w:val="white"/>
        </w:rPr>
        <w:t>i</w:t>
      </w:r>
      <w:r w:rsidRPr="004951B8">
        <w:rPr>
          <w:sz w:val="20"/>
          <w:szCs w:val="20"/>
          <w:highlight w:val="white"/>
        </w:rPr>
        <w:t>ndependent</w:t>
      </w:r>
      <w:r w:rsidR="004951B8" w:rsidRPr="004951B8">
        <w:rPr>
          <w:sz w:val="20"/>
          <w:szCs w:val="20"/>
          <w:highlight w:val="white"/>
        </w:rPr>
        <w:t xml:space="preserve"> </w:t>
      </w:r>
      <w:r w:rsidRPr="004951B8">
        <w:rPr>
          <w:sz w:val="20"/>
          <w:szCs w:val="20"/>
          <w:highlight w:val="white"/>
        </w:rPr>
        <w:t>reading. Throughout the reading they will engage in courageous</w:t>
      </w:r>
      <w:r w:rsidR="004951B8" w:rsidRPr="004951B8">
        <w:rPr>
          <w:sz w:val="20"/>
          <w:szCs w:val="20"/>
          <w:highlight w:val="white"/>
        </w:rPr>
        <w:t xml:space="preserve"> </w:t>
      </w:r>
      <w:r w:rsidRPr="004951B8">
        <w:rPr>
          <w:sz w:val="20"/>
          <w:szCs w:val="20"/>
          <w:highlight w:val="white"/>
        </w:rPr>
        <w:t>conversations using the Compass to guide their thinking, feeling, believing,</w:t>
      </w:r>
      <w:r w:rsidR="004951B8" w:rsidRPr="004951B8">
        <w:rPr>
          <w:sz w:val="20"/>
          <w:szCs w:val="20"/>
          <w:highlight w:val="white"/>
        </w:rPr>
        <w:t xml:space="preserve"> </w:t>
      </w:r>
      <w:r w:rsidRPr="004951B8">
        <w:rPr>
          <w:sz w:val="20"/>
          <w:szCs w:val="20"/>
          <w:highlight w:val="white"/>
        </w:rPr>
        <w:t>and acting quadrants with the support of the Equity Specialist.</w:t>
      </w:r>
      <w:r w:rsidRPr="004951B8">
        <w:rPr>
          <w:sz w:val="20"/>
          <w:szCs w:val="20"/>
          <w:highlight w:val="white"/>
        </w:rPr>
        <w:br/>
        <w:t xml:space="preserve"> </w:t>
      </w:r>
      <w:r w:rsidRPr="004951B8">
        <w:rPr>
          <w:sz w:val="20"/>
          <w:szCs w:val="20"/>
          <w:highlight w:val="white"/>
        </w:rPr>
        <w:br/>
        <w:t>Using higher order thinking</w:t>
      </w:r>
      <w:r w:rsidR="004951B8" w:rsidRPr="004951B8">
        <w:rPr>
          <w:sz w:val="20"/>
          <w:szCs w:val="20"/>
          <w:highlight w:val="white"/>
        </w:rPr>
        <w:t xml:space="preserve"> </w:t>
      </w:r>
      <w:r w:rsidRPr="004951B8">
        <w:rPr>
          <w:sz w:val="20"/>
          <w:szCs w:val="20"/>
          <w:highlight w:val="white"/>
        </w:rPr>
        <w:t>questions, students will engage in collaborative conversations with peers</w:t>
      </w:r>
      <w:r w:rsidR="004951B8" w:rsidRPr="004951B8">
        <w:rPr>
          <w:sz w:val="20"/>
          <w:szCs w:val="20"/>
          <w:highlight w:val="white"/>
        </w:rPr>
        <w:t xml:space="preserve"> </w:t>
      </w:r>
      <w:r w:rsidRPr="004951B8">
        <w:rPr>
          <w:sz w:val="20"/>
          <w:szCs w:val="20"/>
          <w:highlight w:val="white"/>
        </w:rPr>
        <w:t>reading alike books. In addition, they will become experts to students</w:t>
      </w:r>
      <w:r w:rsidR="004951B8" w:rsidRPr="004951B8">
        <w:rPr>
          <w:sz w:val="20"/>
          <w:szCs w:val="20"/>
          <w:highlight w:val="white"/>
        </w:rPr>
        <w:t xml:space="preserve"> </w:t>
      </w:r>
      <w:r w:rsidRPr="004951B8">
        <w:rPr>
          <w:sz w:val="20"/>
          <w:szCs w:val="20"/>
          <w:highlight w:val="white"/>
        </w:rPr>
        <w:t>reading different books to share out their learning and compare/contrast</w:t>
      </w:r>
      <w:r w:rsidR="004951B8" w:rsidRPr="004951B8">
        <w:rPr>
          <w:sz w:val="20"/>
          <w:szCs w:val="20"/>
          <w:highlight w:val="white"/>
        </w:rPr>
        <w:t xml:space="preserve"> </w:t>
      </w:r>
      <w:r w:rsidRPr="004951B8">
        <w:rPr>
          <w:sz w:val="20"/>
          <w:szCs w:val="20"/>
          <w:highlight w:val="white"/>
        </w:rPr>
        <w:t>information.</w:t>
      </w:r>
      <w:r w:rsidRPr="004951B8">
        <w:rPr>
          <w:sz w:val="20"/>
          <w:szCs w:val="20"/>
          <w:highlight w:val="white"/>
        </w:rPr>
        <w:br/>
      </w:r>
    </w:p>
    <w:p w14:paraId="3A0B4B6B" w14:textId="77777777" w:rsidR="00286109" w:rsidRPr="004951B8" w:rsidRDefault="00AA7305">
      <w:pPr>
        <w:contextualSpacing w:val="0"/>
        <w:rPr>
          <w:rFonts w:eastAsia="Times New Roman"/>
          <w:b/>
          <w:sz w:val="20"/>
          <w:szCs w:val="20"/>
        </w:rPr>
      </w:pPr>
      <w:r w:rsidRPr="004951B8">
        <w:rPr>
          <w:rFonts w:eastAsia="Times New Roman"/>
          <w:b/>
          <w:sz w:val="20"/>
          <w:szCs w:val="20"/>
        </w:rPr>
        <w:t>Explain the need for this project.</w:t>
      </w:r>
    </w:p>
    <w:p w14:paraId="5E590EAD" w14:textId="26B5DC52"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lastRenderedPageBreak/>
        <w:t>The purpose of the assignment is to help build a culture of kindness and respect among students and staff alike. The materials will provide students access to a rich experience of celebrating diversity. The experience will allow students to identify with their own cultural identity or learn about a culture that is different from their own.</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The experience will allow</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the opportunity for students to reflect on their own experiences and values.</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By engaging in reading, writing, listening, and speaking opportunities,</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students will have an opportunity to develop an environment of respect. The</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higher order thinking questions will allow students to think critically and</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analyze not only the book’s perspective but reflect on their own.</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The final assessment is a</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RAFT activity where students can choose a role (perspective, Audience (Format)</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and topic to share out their new learning in a way that is unique to them.</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They will be able to represent their knowledge and skills in various ways</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that meets their own personal learning style. The assessment can be shared in the auditorium</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as a celebration of kindness and respect.</w:t>
      </w:r>
      <w:r w:rsidRPr="004951B8">
        <w:rPr>
          <w:rFonts w:eastAsia="Times New Roman"/>
          <w:color w:val="222222"/>
          <w:sz w:val="20"/>
          <w:szCs w:val="20"/>
          <w:highlight w:val="white"/>
        </w:rPr>
        <w:br/>
      </w:r>
    </w:p>
    <w:p w14:paraId="1994F5A4" w14:textId="77777777" w:rsidR="00286109" w:rsidRPr="004951B8" w:rsidRDefault="00AA7305">
      <w:pPr>
        <w:contextualSpacing w:val="0"/>
        <w:rPr>
          <w:rFonts w:eastAsia="Times New Roman"/>
          <w:b/>
          <w:sz w:val="20"/>
          <w:szCs w:val="20"/>
        </w:rPr>
      </w:pPr>
      <w:r w:rsidRPr="004951B8">
        <w:rPr>
          <w:rFonts w:eastAsia="Times New Roman"/>
          <w:b/>
          <w:sz w:val="20"/>
          <w:szCs w:val="20"/>
        </w:rPr>
        <w:t>Describe the activities that will take place in detail.</w:t>
      </w:r>
    </w:p>
    <w:p w14:paraId="02A0528C" w14:textId="1F3B70C6"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Using circle time activities in the room, students will engage in activities to build a culture of respect within the classroom. Students will also learn about courageous conversations and how to use a tool called the Compass to engage in difficult conversations. For six weeks, students will experience mini lessons (See attached List) around race, stereotypes, discrimination, empathy, etc.</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 xml:space="preserve">After, student will be given choice of a trade book/novel to read and participate in literature groups to analyze and reflect. (See attached). The work will include independent reflection, partner reading and discussions using the National Urban Alliance strategies for discussion. The unit will end with a </w:t>
      </w:r>
      <w:r w:rsidR="004951B8" w:rsidRPr="004951B8">
        <w:rPr>
          <w:rFonts w:eastAsia="Times New Roman"/>
          <w:color w:val="222222"/>
          <w:sz w:val="20"/>
          <w:szCs w:val="20"/>
          <w:highlight w:val="white"/>
        </w:rPr>
        <w:t>s</w:t>
      </w:r>
      <w:r w:rsidRPr="004951B8">
        <w:rPr>
          <w:rFonts w:eastAsia="Times New Roman"/>
          <w:color w:val="222222"/>
          <w:sz w:val="20"/>
          <w:szCs w:val="20"/>
          <w:highlight w:val="white"/>
        </w:rPr>
        <w:t>ummative differentiated assessment where students will choose a way to share out their learning based on interest or multiple intelligence. (See attached)</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Although the experience will</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take place in the classroom, students will be encouraged to learn more about</w:t>
      </w:r>
      <w:r w:rsidRPr="004951B8">
        <w:rPr>
          <w:rFonts w:eastAsia="Times New Roman"/>
          <w:color w:val="222222"/>
          <w:sz w:val="20"/>
          <w:szCs w:val="20"/>
          <w:highlight w:val="white"/>
        </w:rPr>
        <w:br/>
        <w:t>themselves through activities posed in the classroom and taken home to</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families. In addition, students will reflect on how this learning is</w:t>
      </w:r>
      <w:r w:rsidR="004951B8" w:rsidRPr="004951B8">
        <w:rPr>
          <w:rFonts w:eastAsia="Times New Roman"/>
          <w:color w:val="222222"/>
          <w:sz w:val="20"/>
          <w:szCs w:val="20"/>
          <w:highlight w:val="white"/>
        </w:rPr>
        <w:t xml:space="preserve"> </w:t>
      </w:r>
      <w:r w:rsidRPr="004951B8">
        <w:rPr>
          <w:rFonts w:eastAsia="Times New Roman"/>
          <w:color w:val="222222"/>
          <w:sz w:val="20"/>
          <w:szCs w:val="20"/>
          <w:highlight w:val="white"/>
        </w:rPr>
        <w:t>connected to their school and the community.</w:t>
      </w:r>
      <w:r w:rsidRPr="004951B8">
        <w:rPr>
          <w:rFonts w:eastAsia="Times New Roman"/>
          <w:color w:val="222222"/>
          <w:sz w:val="20"/>
          <w:szCs w:val="20"/>
          <w:highlight w:val="white"/>
        </w:rPr>
        <w:br/>
      </w:r>
    </w:p>
    <w:p w14:paraId="5B8B80A7" w14:textId="77777777" w:rsidR="00286109" w:rsidRPr="004951B8" w:rsidRDefault="00AA7305">
      <w:pPr>
        <w:contextualSpacing w:val="0"/>
        <w:rPr>
          <w:rFonts w:eastAsia="Times New Roman"/>
          <w:b/>
          <w:sz w:val="20"/>
          <w:szCs w:val="20"/>
        </w:rPr>
      </w:pPr>
      <w:r w:rsidRPr="004951B8">
        <w:rPr>
          <w:rFonts w:eastAsia="Times New Roman"/>
          <w:b/>
          <w:sz w:val="20"/>
          <w:szCs w:val="20"/>
        </w:rPr>
        <w:t>Describe the innovative or creative components of the project.</w:t>
      </w:r>
    </w:p>
    <w:p w14:paraId="11D35E90" w14:textId="3B42E63E"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The project incorporates MGMS goal of developing a culture of kindness and respect. The students will be using the Courageous Conversation Compass from the buildings equity team that staff also use for conversations. Therefore, they are developing life skills.</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 xml:space="preserve">Students will have the opportunity to see of Osseo Area Schools represent a global environment that includes multiple cultures. </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The topics from mini lessons connect to goals of the 16 Characteristics of an Effective Middle School in which the middle school model is focused. Therefore, the unit will support one of the priorities in the middle school of extensions in advisory classes.</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 xml:space="preserve">As the project grows over the years, it can </w:t>
      </w:r>
      <w:r w:rsidR="004951B8" w:rsidRPr="004951B8">
        <w:rPr>
          <w:rFonts w:eastAsia="Times New Roman"/>
          <w:color w:val="222222"/>
          <w:sz w:val="20"/>
          <w:szCs w:val="20"/>
          <w:highlight w:val="white"/>
        </w:rPr>
        <w:t>possibly</w:t>
      </w:r>
      <w:r w:rsidRPr="004951B8">
        <w:rPr>
          <w:rFonts w:eastAsia="Times New Roman"/>
          <w:color w:val="222222"/>
          <w:sz w:val="20"/>
          <w:szCs w:val="20"/>
          <w:highlight w:val="white"/>
        </w:rPr>
        <w:t xml:space="preserve"> expand into some of the school student-led groups such as Kind, Real Talk, and Student Council.</w:t>
      </w:r>
      <w:r w:rsidRPr="004951B8">
        <w:rPr>
          <w:rFonts w:eastAsia="Times New Roman"/>
          <w:color w:val="222222"/>
          <w:sz w:val="20"/>
          <w:szCs w:val="20"/>
          <w:highlight w:val="white"/>
        </w:rPr>
        <w:br/>
      </w:r>
    </w:p>
    <w:p w14:paraId="74DF8743" w14:textId="77777777" w:rsidR="00286109" w:rsidRPr="004951B8" w:rsidRDefault="00AA7305">
      <w:pPr>
        <w:contextualSpacing w:val="0"/>
        <w:rPr>
          <w:rFonts w:eastAsia="Times New Roman"/>
          <w:b/>
          <w:sz w:val="20"/>
          <w:szCs w:val="20"/>
        </w:rPr>
      </w:pPr>
      <w:r w:rsidRPr="004951B8">
        <w:rPr>
          <w:rFonts w:eastAsia="Times New Roman"/>
          <w:b/>
          <w:sz w:val="20"/>
          <w:szCs w:val="20"/>
        </w:rPr>
        <w:t>Describe the impact it is likely to have beyond the period of the grant.</w:t>
      </w:r>
    </w:p>
    <w:p w14:paraId="3E550416" w14:textId="20252FCF"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 xml:space="preserve">If the grant is funded, all </w:t>
      </w:r>
      <w:r w:rsidR="004951B8" w:rsidRPr="004951B8">
        <w:rPr>
          <w:rFonts w:eastAsia="Times New Roman"/>
          <w:color w:val="222222"/>
          <w:sz w:val="20"/>
          <w:szCs w:val="20"/>
          <w:highlight w:val="white"/>
        </w:rPr>
        <w:t>seventh-grade</w:t>
      </w:r>
      <w:r w:rsidRPr="004951B8">
        <w:rPr>
          <w:rFonts w:eastAsia="Times New Roman"/>
          <w:color w:val="222222"/>
          <w:sz w:val="20"/>
          <w:szCs w:val="20"/>
          <w:highlight w:val="white"/>
        </w:rPr>
        <w:t xml:space="preserve"> students would have the opportunity to learn more about themselves and others. Academically, it would allow students to engage in relevant material that is </w:t>
      </w:r>
      <w:r w:rsidRPr="004951B8">
        <w:rPr>
          <w:rFonts w:eastAsia="Times New Roman"/>
          <w:color w:val="222222"/>
          <w:sz w:val="20"/>
          <w:szCs w:val="20"/>
          <w:highlight w:val="white"/>
        </w:rPr>
        <w:lastRenderedPageBreak/>
        <w:t xml:space="preserve">meaningful to them at a level that is appropriate. In addition, it will enhance many skills in the area of reading, writing, listening, and speaking. </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 xml:space="preserve">By receiving these books that focus on multiple cultures, the grant has the opportunity to positively impact the culture and climate for the entire building. </w:t>
      </w:r>
      <w:r w:rsidRPr="004951B8">
        <w:rPr>
          <w:rFonts w:eastAsia="Times New Roman"/>
          <w:color w:val="222222"/>
          <w:sz w:val="20"/>
          <w:szCs w:val="20"/>
          <w:highlight w:val="white"/>
        </w:rPr>
        <w:br/>
      </w:r>
    </w:p>
    <w:p w14:paraId="5E8A8573" w14:textId="4E2A97F1" w:rsidR="00286109" w:rsidRPr="004951B8" w:rsidRDefault="00AA7305">
      <w:pPr>
        <w:contextualSpacing w:val="0"/>
        <w:rPr>
          <w:rFonts w:eastAsia="Times New Roman"/>
          <w:b/>
          <w:sz w:val="20"/>
          <w:szCs w:val="20"/>
        </w:rPr>
      </w:pPr>
      <w:r w:rsidRPr="004951B8">
        <w:rPr>
          <w:rFonts w:eastAsia="Times New Roman"/>
          <w:b/>
          <w:sz w:val="20"/>
          <w:szCs w:val="20"/>
        </w:rPr>
        <w:t xml:space="preserve">How many students will be served by this </w:t>
      </w:r>
      <w:r w:rsidR="004951B8" w:rsidRPr="004951B8">
        <w:rPr>
          <w:rFonts w:eastAsia="Times New Roman"/>
          <w:b/>
          <w:sz w:val="20"/>
          <w:szCs w:val="20"/>
        </w:rPr>
        <w:t>project?</w:t>
      </w:r>
    </w:p>
    <w:p w14:paraId="032E753B" w14:textId="74D89E60" w:rsidR="00286109" w:rsidRPr="004951B8" w:rsidRDefault="00AA7305">
      <w:pPr>
        <w:contextualSpacing w:val="0"/>
        <w:rPr>
          <w:rFonts w:eastAsia="Times New Roman"/>
          <w:color w:val="222222"/>
          <w:sz w:val="20"/>
          <w:szCs w:val="20"/>
          <w:highlight w:val="white"/>
        </w:rPr>
      </w:pPr>
      <w:r w:rsidRPr="004951B8">
        <w:rPr>
          <w:rFonts w:eastAsia="Times New Roman"/>
          <w:color w:val="222222"/>
          <w:sz w:val="20"/>
          <w:szCs w:val="20"/>
          <w:highlight w:val="white"/>
        </w:rPr>
        <w:t>During this school year, 578 students will have the opportunity access these materials. Since the books can be used for multiple years, thousands of students will benefit.</w:t>
      </w:r>
    </w:p>
    <w:p w14:paraId="285413DA" w14:textId="77777777" w:rsidR="00286109" w:rsidRPr="004951B8" w:rsidRDefault="00286109">
      <w:pPr>
        <w:contextualSpacing w:val="0"/>
        <w:rPr>
          <w:rFonts w:eastAsia="Times New Roman"/>
          <w:color w:val="222222"/>
          <w:sz w:val="20"/>
          <w:szCs w:val="20"/>
          <w:highlight w:val="white"/>
        </w:rPr>
      </w:pPr>
    </w:p>
    <w:p w14:paraId="3C8A6D9C" w14:textId="77777777" w:rsidR="00286109" w:rsidRPr="004951B8" w:rsidRDefault="00AA7305">
      <w:pPr>
        <w:contextualSpacing w:val="0"/>
        <w:rPr>
          <w:rFonts w:eastAsia="Times New Roman"/>
          <w:b/>
          <w:sz w:val="20"/>
          <w:szCs w:val="20"/>
        </w:rPr>
      </w:pPr>
      <w:r w:rsidRPr="004951B8">
        <w:rPr>
          <w:rFonts w:eastAsia="Times New Roman"/>
          <w:b/>
          <w:sz w:val="20"/>
          <w:szCs w:val="20"/>
        </w:rPr>
        <w:t>When will the project take place?</w:t>
      </w:r>
    </w:p>
    <w:p w14:paraId="259BDB3B" w14:textId="6B1F945E" w:rsidR="00286109" w:rsidRPr="004951B8" w:rsidRDefault="00923060">
      <w:pPr>
        <w:contextualSpacing w:val="0"/>
        <w:rPr>
          <w:rFonts w:eastAsia="Times New Roman"/>
          <w:sz w:val="20"/>
          <w:szCs w:val="20"/>
        </w:rPr>
      </w:pPr>
      <w:r w:rsidRPr="004951B8">
        <w:rPr>
          <w:rFonts w:eastAsia="Times New Roman"/>
          <w:color w:val="222222"/>
          <w:sz w:val="20"/>
          <w:szCs w:val="20"/>
          <w:highlight w:val="white"/>
        </w:rPr>
        <w:t>the</w:t>
      </w:r>
      <w:r w:rsidR="00AA7305" w:rsidRPr="004951B8">
        <w:rPr>
          <w:rFonts w:eastAsia="Times New Roman"/>
          <w:color w:val="222222"/>
          <w:sz w:val="20"/>
          <w:szCs w:val="20"/>
          <w:highlight w:val="white"/>
        </w:rPr>
        <w:t xml:space="preserve"> project will take place during trimester two and three this year. It will continue each year in advisory class.</w:t>
      </w:r>
    </w:p>
    <w:p w14:paraId="67362CF0" w14:textId="77777777" w:rsidR="00286109" w:rsidRPr="004951B8" w:rsidRDefault="00286109">
      <w:pPr>
        <w:contextualSpacing w:val="0"/>
        <w:rPr>
          <w:rFonts w:eastAsia="Times New Roman"/>
          <w:b/>
          <w:sz w:val="20"/>
          <w:szCs w:val="20"/>
        </w:rPr>
      </w:pPr>
    </w:p>
    <w:p w14:paraId="2466F078" w14:textId="77777777" w:rsidR="00286109" w:rsidRPr="004951B8" w:rsidRDefault="00AA7305">
      <w:pPr>
        <w:contextualSpacing w:val="0"/>
        <w:rPr>
          <w:rFonts w:eastAsia="Times New Roman"/>
          <w:b/>
          <w:sz w:val="20"/>
          <w:szCs w:val="20"/>
        </w:rPr>
      </w:pPr>
      <w:r w:rsidRPr="004951B8">
        <w:rPr>
          <w:rFonts w:eastAsia="Times New Roman"/>
          <w:b/>
          <w:sz w:val="20"/>
          <w:szCs w:val="20"/>
        </w:rPr>
        <w:t>How much student contact time will the project involve?</w:t>
      </w:r>
    </w:p>
    <w:p w14:paraId="1C23FA0C"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Since the unit starts with 4-6 weeks on mini lessons, it will take nearly a trimester to complete.</w:t>
      </w:r>
    </w:p>
    <w:p w14:paraId="2B3C58A8" w14:textId="77777777" w:rsidR="00286109" w:rsidRDefault="00286109">
      <w:pPr>
        <w:contextualSpacing w:val="0"/>
        <w:rPr>
          <w:rFonts w:ascii="Times New Roman" w:eastAsia="Times New Roman" w:hAnsi="Times New Roman" w:cs="Times New Roman"/>
        </w:rPr>
      </w:pPr>
    </w:p>
    <w:p w14:paraId="4521E4A5" w14:textId="77777777" w:rsidR="00286109" w:rsidRPr="00923060" w:rsidRDefault="00AA7305">
      <w:pPr>
        <w:contextualSpacing w:val="0"/>
        <w:rPr>
          <w:rFonts w:eastAsia="Times New Roman"/>
          <w:b/>
        </w:rPr>
      </w:pPr>
      <w:r w:rsidRPr="00923060">
        <w:rPr>
          <w:rFonts w:eastAsia="Times New Roman"/>
          <w:b/>
        </w:rPr>
        <w:t>Budget</w:t>
      </w:r>
    </w:p>
    <w:p w14:paraId="404D6FF3" w14:textId="77777777" w:rsidR="00286109" w:rsidRDefault="00286109">
      <w:pPr>
        <w:contextualSpacing w:val="0"/>
        <w:rPr>
          <w:rFonts w:ascii="Times New Roman" w:eastAsia="Times New Roman" w:hAnsi="Times New Roman" w:cs="Times New Roman"/>
          <w:color w:val="222222"/>
          <w:highlight w:val="white"/>
        </w:rPr>
      </w:pPr>
    </w:p>
    <w:tbl>
      <w:tblPr>
        <w:tblStyle w:val="a"/>
        <w:tblW w:w="936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320"/>
        <w:gridCol w:w="5981"/>
        <w:gridCol w:w="2059"/>
      </w:tblGrid>
      <w:tr w:rsidR="00286109" w14:paraId="426CC6FD" w14:textId="77777777">
        <w:trPr>
          <w:trHeight w:val="320"/>
        </w:trPr>
        <w:tc>
          <w:tcPr>
            <w:tcW w:w="9359"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CC873B" w14:textId="77777777" w:rsidR="00286109" w:rsidRDefault="00AA7305">
            <w:pPr>
              <w:widowControl w:val="0"/>
              <w:contextualSpacing w:val="0"/>
              <w:jc w:val="center"/>
              <w:rPr>
                <w:sz w:val="20"/>
                <w:szCs w:val="20"/>
              </w:rPr>
            </w:pPr>
            <w:r>
              <w:rPr>
                <w:rFonts w:ascii="Calibri" w:eastAsia="Calibri" w:hAnsi="Calibri" w:cs="Calibri"/>
                <w:b/>
              </w:rPr>
              <w:t>DISTRICT 279 FOUNDATION</w:t>
            </w:r>
          </w:p>
        </w:tc>
      </w:tr>
      <w:tr w:rsidR="00286109" w14:paraId="33C8F3F1" w14:textId="77777777">
        <w:trPr>
          <w:trHeight w:val="320"/>
        </w:trPr>
        <w:tc>
          <w:tcPr>
            <w:tcW w:w="9359"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AA8C2" w14:textId="77777777" w:rsidR="00286109" w:rsidRDefault="00AA7305">
            <w:pPr>
              <w:widowControl w:val="0"/>
              <w:contextualSpacing w:val="0"/>
              <w:jc w:val="center"/>
              <w:rPr>
                <w:sz w:val="20"/>
                <w:szCs w:val="20"/>
              </w:rPr>
            </w:pPr>
            <w:r>
              <w:rPr>
                <w:rFonts w:ascii="Calibri" w:eastAsia="Calibri" w:hAnsi="Calibri" w:cs="Calibri"/>
                <w:b/>
              </w:rPr>
              <w:t>Project Budget Form</w:t>
            </w:r>
          </w:p>
        </w:tc>
      </w:tr>
      <w:tr w:rsidR="00286109" w14:paraId="110B1C05" w14:textId="77777777">
        <w:trPr>
          <w:trHeight w:val="320"/>
        </w:trPr>
        <w:tc>
          <w:tcPr>
            <w:tcW w:w="9359"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339BF" w14:textId="77777777" w:rsidR="00286109" w:rsidRDefault="00AA7305">
            <w:pPr>
              <w:widowControl w:val="0"/>
              <w:contextualSpacing w:val="0"/>
              <w:jc w:val="center"/>
              <w:rPr>
                <w:sz w:val="20"/>
                <w:szCs w:val="20"/>
              </w:rPr>
            </w:pPr>
            <w:r>
              <w:rPr>
                <w:rFonts w:ascii="Calibri" w:eastAsia="Calibri" w:hAnsi="Calibri" w:cs="Calibri"/>
                <w:b/>
              </w:rPr>
              <w:t>Provide a description of each Funding Source and Expense Item</w:t>
            </w:r>
          </w:p>
        </w:tc>
      </w:tr>
      <w:tr w:rsidR="00286109" w14:paraId="6B2C26FB" w14:textId="77777777">
        <w:trPr>
          <w:trHeight w:val="300"/>
        </w:trPr>
        <w:tc>
          <w:tcPr>
            <w:tcW w:w="9359"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EB82A" w14:textId="77777777" w:rsidR="00286109" w:rsidRDefault="00286109">
            <w:pPr>
              <w:widowControl w:val="0"/>
              <w:contextualSpacing w:val="0"/>
              <w:rPr>
                <w:sz w:val="20"/>
                <w:szCs w:val="20"/>
              </w:rPr>
            </w:pPr>
          </w:p>
        </w:tc>
      </w:tr>
      <w:tr w:rsidR="00286109" w14:paraId="47C850AC" w14:textId="77777777">
        <w:trPr>
          <w:trHeight w:val="320"/>
        </w:trPr>
        <w:tc>
          <w:tcPr>
            <w:tcW w:w="1320"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17E0519D" w14:textId="77777777" w:rsidR="00286109" w:rsidRDefault="00AA7305">
            <w:pPr>
              <w:widowControl w:val="0"/>
              <w:contextualSpacing w:val="0"/>
              <w:jc w:val="center"/>
              <w:rPr>
                <w:sz w:val="20"/>
                <w:szCs w:val="20"/>
              </w:rPr>
            </w:pPr>
            <w:r>
              <w:rPr>
                <w:rFonts w:ascii="Calibri" w:eastAsia="Calibri" w:hAnsi="Calibri" w:cs="Calibri"/>
                <w:b/>
              </w:rPr>
              <w:t>INCOME</w:t>
            </w:r>
          </w:p>
        </w:tc>
        <w:tc>
          <w:tcPr>
            <w:tcW w:w="5980"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13A7B334"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23928A17" w14:textId="77777777" w:rsidR="00286109" w:rsidRDefault="00286109">
            <w:pPr>
              <w:widowControl w:val="0"/>
              <w:contextualSpacing w:val="0"/>
              <w:rPr>
                <w:sz w:val="20"/>
                <w:szCs w:val="20"/>
              </w:rPr>
            </w:pPr>
          </w:p>
        </w:tc>
      </w:tr>
      <w:tr w:rsidR="00286109" w14:paraId="0F702CF5" w14:textId="77777777">
        <w:trPr>
          <w:trHeight w:val="980"/>
        </w:trPr>
        <w:tc>
          <w:tcPr>
            <w:tcW w:w="1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CBB8CA" w14:textId="77777777" w:rsidR="00286109" w:rsidRDefault="00AA7305">
            <w:pPr>
              <w:widowControl w:val="0"/>
              <w:contextualSpacing w:val="0"/>
              <w:rPr>
                <w:sz w:val="20"/>
                <w:szCs w:val="20"/>
              </w:rPr>
            </w:pPr>
            <w:r>
              <w:rPr>
                <w:rFonts w:ascii="Calibri" w:eastAsia="Calibri" w:hAnsi="Calibri" w:cs="Calibri"/>
                <w:b/>
              </w:rPr>
              <w:t>Amount</w:t>
            </w:r>
          </w:p>
        </w:tc>
        <w:tc>
          <w:tcPr>
            <w:tcW w:w="59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7D0336" w14:textId="77777777" w:rsidR="00286109" w:rsidRDefault="00AA7305">
            <w:pPr>
              <w:widowControl w:val="0"/>
              <w:contextualSpacing w:val="0"/>
              <w:rPr>
                <w:sz w:val="20"/>
                <w:szCs w:val="20"/>
              </w:rPr>
            </w:pPr>
            <w:r>
              <w:rPr>
                <w:rFonts w:ascii="Calibri" w:eastAsia="Calibri" w:hAnsi="Calibri" w:cs="Calibri"/>
                <w:b/>
              </w:rPr>
              <w:t>Please list all Funding Source(s) approached and the status</w:t>
            </w:r>
          </w:p>
        </w:tc>
        <w:tc>
          <w:tcPr>
            <w:tcW w:w="20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F102C2" w14:textId="77777777" w:rsidR="00286109" w:rsidRDefault="00AA7305">
            <w:pPr>
              <w:widowControl w:val="0"/>
              <w:contextualSpacing w:val="0"/>
              <w:rPr>
                <w:rFonts w:ascii="Calibri" w:eastAsia="Calibri" w:hAnsi="Calibri" w:cs="Calibri"/>
                <w:b/>
              </w:rPr>
            </w:pPr>
            <w:r>
              <w:rPr>
                <w:rFonts w:ascii="Calibri" w:eastAsia="Calibri" w:hAnsi="Calibri" w:cs="Calibri"/>
                <w:b/>
              </w:rPr>
              <w:t>Status</w:t>
            </w:r>
          </w:p>
          <w:p w14:paraId="3B03CC01" w14:textId="51334138" w:rsidR="00286109" w:rsidRDefault="00AA7305">
            <w:pPr>
              <w:widowControl w:val="0"/>
              <w:contextualSpacing w:val="0"/>
              <w:rPr>
                <w:rFonts w:ascii="Calibri" w:eastAsia="Calibri" w:hAnsi="Calibri" w:cs="Calibri"/>
                <w:b/>
                <w:sz w:val="18"/>
                <w:szCs w:val="18"/>
              </w:rPr>
            </w:pPr>
            <w:r>
              <w:rPr>
                <w:rFonts w:ascii="Calibri" w:eastAsia="Calibri" w:hAnsi="Calibri" w:cs="Calibri"/>
                <w:b/>
                <w:sz w:val="18"/>
                <w:szCs w:val="18"/>
              </w:rPr>
              <w:t>(</w:t>
            </w:r>
            <w:r w:rsidR="00923060">
              <w:rPr>
                <w:rFonts w:ascii="Calibri" w:eastAsia="Calibri" w:hAnsi="Calibri" w:cs="Calibri"/>
                <w:b/>
                <w:sz w:val="18"/>
                <w:szCs w:val="18"/>
              </w:rPr>
              <w:t>Choose</w:t>
            </w:r>
            <w:r>
              <w:rPr>
                <w:rFonts w:ascii="Calibri" w:eastAsia="Calibri" w:hAnsi="Calibri" w:cs="Calibri"/>
                <w:b/>
                <w:sz w:val="18"/>
                <w:szCs w:val="18"/>
              </w:rPr>
              <w:t xml:space="preserve"> the </w:t>
            </w:r>
            <w:r w:rsidR="004951B8">
              <w:rPr>
                <w:rFonts w:ascii="Calibri" w:eastAsia="Calibri" w:hAnsi="Calibri" w:cs="Calibri"/>
                <w:b/>
                <w:sz w:val="18"/>
                <w:szCs w:val="18"/>
              </w:rPr>
              <w:t>appropriate</w:t>
            </w:r>
          </w:p>
          <w:p w14:paraId="1BB62233" w14:textId="77777777" w:rsidR="00286109" w:rsidRDefault="00AA7305">
            <w:pPr>
              <w:widowControl w:val="0"/>
              <w:contextualSpacing w:val="0"/>
              <w:rPr>
                <w:rFonts w:ascii="Calibri" w:eastAsia="Calibri" w:hAnsi="Calibri" w:cs="Calibri"/>
                <w:b/>
                <w:sz w:val="18"/>
                <w:szCs w:val="18"/>
              </w:rPr>
            </w:pPr>
            <w:r>
              <w:rPr>
                <w:rFonts w:ascii="Calibri" w:eastAsia="Calibri" w:hAnsi="Calibri" w:cs="Calibri"/>
                <w:b/>
                <w:sz w:val="18"/>
                <w:szCs w:val="18"/>
              </w:rPr>
              <w:t>response from drop</w:t>
            </w:r>
          </w:p>
          <w:p w14:paraId="354ABE38" w14:textId="77777777" w:rsidR="00286109" w:rsidRDefault="00AA7305">
            <w:pPr>
              <w:widowControl w:val="0"/>
              <w:contextualSpacing w:val="0"/>
              <w:rPr>
                <w:sz w:val="20"/>
                <w:szCs w:val="20"/>
              </w:rPr>
            </w:pPr>
            <w:r>
              <w:rPr>
                <w:rFonts w:ascii="Calibri" w:eastAsia="Calibri" w:hAnsi="Calibri" w:cs="Calibri"/>
                <w:b/>
                <w:sz w:val="18"/>
                <w:szCs w:val="18"/>
              </w:rPr>
              <w:t>down list)</w:t>
            </w:r>
          </w:p>
        </w:tc>
      </w:tr>
      <w:tr w:rsidR="00286109" w14:paraId="650615AE"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D7978D6"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181D8EAC" w14:textId="77777777" w:rsidR="00286109" w:rsidRDefault="00AA7305">
            <w:pPr>
              <w:widowControl w:val="0"/>
              <w:contextualSpacing w:val="0"/>
              <w:rPr>
                <w:sz w:val="20"/>
                <w:szCs w:val="20"/>
              </w:rPr>
            </w:pPr>
            <w:r>
              <w:rPr>
                <w:rFonts w:ascii="Calibri" w:eastAsia="Calibri" w:hAnsi="Calibri" w:cs="Calibri"/>
              </w:rPr>
              <w:t>District 279 Foundation Grant</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0F729A9" w14:textId="77777777" w:rsidR="00286109" w:rsidRDefault="00AA7305">
            <w:pPr>
              <w:widowControl w:val="0"/>
              <w:contextualSpacing w:val="0"/>
              <w:rPr>
                <w:sz w:val="20"/>
                <w:szCs w:val="20"/>
              </w:rPr>
            </w:pPr>
            <w:r>
              <w:rPr>
                <w:rFonts w:ascii="Calibri" w:eastAsia="Calibri" w:hAnsi="Calibri" w:cs="Calibri"/>
              </w:rPr>
              <w:t>Applied for</w:t>
            </w:r>
          </w:p>
        </w:tc>
      </w:tr>
      <w:tr w:rsidR="00286109" w14:paraId="420608A8" w14:textId="77777777">
        <w:trPr>
          <w:trHeight w:val="30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357A9385"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3A7A30F4"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CB4E019" w14:textId="77777777" w:rsidR="00286109" w:rsidRDefault="00286109">
            <w:pPr>
              <w:widowControl w:val="0"/>
              <w:contextualSpacing w:val="0"/>
              <w:rPr>
                <w:sz w:val="20"/>
                <w:szCs w:val="20"/>
              </w:rPr>
            </w:pPr>
          </w:p>
        </w:tc>
      </w:tr>
      <w:tr w:rsidR="00286109" w14:paraId="15187711"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9FC5E8"/>
            <w:tcMar>
              <w:top w:w="40" w:type="dxa"/>
              <w:left w:w="40" w:type="dxa"/>
              <w:bottom w:w="40" w:type="dxa"/>
              <w:right w:w="40" w:type="dxa"/>
            </w:tcMar>
            <w:vAlign w:val="bottom"/>
          </w:tcPr>
          <w:p w14:paraId="7C86EC52" w14:textId="77777777" w:rsidR="00286109" w:rsidRDefault="00AA7305">
            <w:pPr>
              <w:widowControl w:val="0"/>
              <w:contextualSpacing w:val="0"/>
              <w:jc w:val="right"/>
              <w:rPr>
                <w:sz w:val="20"/>
                <w:szCs w:val="20"/>
              </w:rPr>
            </w:pPr>
            <w:r>
              <w:rPr>
                <w:rFonts w:ascii="Calibri" w:eastAsia="Calibri" w:hAnsi="Calibri" w:cs="Calibri"/>
                <w:b/>
              </w:rPr>
              <w:t>$0.00</w:t>
            </w:r>
          </w:p>
        </w:tc>
        <w:tc>
          <w:tcPr>
            <w:tcW w:w="5980" w:type="dxa"/>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5F24F714" w14:textId="77777777" w:rsidR="00286109" w:rsidRDefault="00AA7305">
            <w:pPr>
              <w:widowControl w:val="0"/>
              <w:contextualSpacing w:val="0"/>
              <w:rPr>
                <w:sz w:val="20"/>
                <w:szCs w:val="20"/>
              </w:rPr>
            </w:pPr>
            <w:r>
              <w:rPr>
                <w:rFonts w:ascii="Calibri" w:eastAsia="Calibri" w:hAnsi="Calibri" w:cs="Calibri"/>
                <w:b/>
              </w:rPr>
              <w:t>TOTAL</w:t>
            </w:r>
          </w:p>
        </w:tc>
        <w:tc>
          <w:tcPr>
            <w:tcW w:w="2059" w:type="dxa"/>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2827ACAF" w14:textId="77777777" w:rsidR="00286109" w:rsidRDefault="00286109">
            <w:pPr>
              <w:widowControl w:val="0"/>
              <w:contextualSpacing w:val="0"/>
              <w:rPr>
                <w:sz w:val="20"/>
                <w:szCs w:val="20"/>
              </w:rPr>
            </w:pPr>
          </w:p>
        </w:tc>
      </w:tr>
      <w:tr w:rsidR="00286109" w14:paraId="63239F50" w14:textId="77777777">
        <w:trPr>
          <w:trHeight w:val="300"/>
        </w:trPr>
        <w:tc>
          <w:tcPr>
            <w:tcW w:w="13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C7135"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FFAA3"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F06C5" w14:textId="77777777" w:rsidR="00286109" w:rsidRDefault="00286109">
            <w:pPr>
              <w:widowControl w:val="0"/>
              <w:contextualSpacing w:val="0"/>
              <w:rPr>
                <w:sz w:val="20"/>
                <w:szCs w:val="20"/>
              </w:rPr>
            </w:pPr>
          </w:p>
        </w:tc>
      </w:tr>
      <w:tr w:rsidR="00286109" w14:paraId="36014A33" w14:textId="77777777">
        <w:trPr>
          <w:trHeight w:val="300"/>
        </w:trPr>
        <w:tc>
          <w:tcPr>
            <w:tcW w:w="13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3A1B1"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EF723"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BF2DF" w14:textId="77777777" w:rsidR="00286109" w:rsidRDefault="00286109">
            <w:pPr>
              <w:widowControl w:val="0"/>
              <w:contextualSpacing w:val="0"/>
              <w:rPr>
                <w:sz w:val="20"/>
                <w:szCs w:val="20"/>
              </w:rPr>
            </w:pPr>
          </w:p>
        </w:tc>
      </w:tr>
      <w:tr w:rsidR="00286109" w14:paraId="5CB8565B" w14:textId="77777777">
        <w:trPr>
          <w:trHeight w:val="320"/>
        </w:trPr>
        <w:tc>
          <w:tcPr>
            <w:tcW w:w="1320"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6A8863A9" w14:textId="77777777" w:rsidR="00286109" w:rsidRDefault="00AA7305">
            <w:pPr>
              <w:widowControl w:val="0"/>
              <w:contextualSpacing w:val="0"/>
              <w:jc w:val="center"/>
              <w:rPr>
                <w:sz w:val="20"/>
                <w:szCs w:val="20"/>
              </w:rPr>
            </w:pPr>
            <w:r>
              <w:rPr>
                <w:rFonts w:ascii="Calibri" w:eastAsia="Calibri" w:hAnsi="Calibri" w:cs="Calibri"/>
                <w:b/>
              </w:rPr>
              <w:t>EXPENSE</w:t>
            </w:r>
          </w:p>
        </w:tc>
        <w:tc>
          <w:tcPr>
            <w:tcW w:w="5980"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0D644222"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5A49CFDE" w14:textId="77777777" w:rsidR="00286109" w:rsidRDefault="00286109">
            <w:pPr>
              <w:widowControl w:val="0"/>
              <w:contextualSpacing w:val="0"/>
              <w:rPr>
                <w:sz w:val="20"/>
                <w:szCs w:val="20"/>
              </w:rPr>
            </w:pPr>
          </w:p>
        </w:tc>
      </w:tr>
      <w:tr w:rsidR="00286109" w14:paraId="01D7D83A"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6D5D1AD" w14:textId="77777777" w:rsidR="00286109" w:rsidRDefault="00AA7305">
            <w:pPr>
              <w:widowControl w:val="0"/>
              <w:contextualSpacing w:val="0"/>
              <w:rPr>
                <w:sz w:val="20"/>
                <w:szCs w:val="20"/>
              </w:rPr>
            </w:pPr>
            <w:r>
              <w:rPr>
                <w:rFonts w:ascii="Calibri" w:eastAsia="Calibri" w:hAnsi="Calibri" w:cs="Calibri"/>
                <w:b/>
              </w:rPr>
              <w:t>Amount</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D9B3E9" w14:textId="77777777" w:rsidR="00286109" w:rsidRDefault="00AA7305">
            <w:pPr>
              <w:widowControl w:val="0"/>
              <w:contextualSpacing w:val="0"/>
              <w:rPr>
                <w:sz w:val="20"/>
                <w:szCs w:val="20"/>
              </w:rPr>
            </w:pPr>
            <w:r>
              <w:rPr>
                <w:rFonts w:ascii="Calibri" w:eastAsia="Calibri" w:hAnsi="Calibri" w:cs="Calibri"/>
                <w:b/>
              </w:rPr>
              <w:t>Please list all expense items for this request</w:t>
            </w:r>
          </w:p>
        </w:tc>
      </w:tr>
      <w:tr w:rsidR="00286109" w14:paraId="1C84D863"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08ECFCF" w14:textId="77777777" w:rsidR="00286109" w:rsidRDefault="00AA7305">
            <w:pPr>
              <w:widowControl w:val="0"/>
              <w:contextualSpacing w:val="0"/>
              <w:jc w:val="right"/>
              <w:rPr>
                <w:sz w:val="20"/>
                <w:szCs w:val="20"/>
              </w:rPr>
            </w:pPr>
            <w:r>
              <w:rPr>
                <w:rFonts w:ascii="Calibri" w:eastAsia="Calibri" w:hAnsi="Calibri" w:cs="Calibri"/>
              </w:rPr>
              <w:t>$71.91</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11C70E86" w14:textId="77777777" w:rsidR="00286109" w:rsidRDefault="00AA7305">
            <w:pPr>
              <w:widowControl w:val="0"/>
              <w:contextualSpacing w:val="0"/>
              <w:rPr>
                <w:sz w:val="20"/>
                <w:szCs w:val="20"/>
              </w:rPr>
            </w:pPr>
            <w:r>
              <w:rPr>
                <w:sz w:val="20"/>
                <w:szCs w:val="20"/>
              </w:rPr>
              <w:t>Amena's Voice by Hena Khan (9 copies @ $7.99)</w:t>
            </w:r>
          </w:p>
        </w:tc>
      </w:tr>
      <w:tr w:rsidR="00286109" w14:paraId="2F58B2C5"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2F6E202A" w14:textId="77777777" w:rsidR="00286109" w:rsidRDefault="00AA7305">
            <w:pPr>
              <w:widowControl w:val="0"/>
              <w:contextualSpacing w:val="0"/>
              <w:jc w:val="right"/>
              <w:rPr>
                <w:sz w:val="20"/>
                <w:szCs w:val="20"/>
              </w:rPr>
            </w:pPr>
            <w:r>
              <w:rPr>
                <w:rFonts w:ascii="Calibri" w:eastAsia="Calibri" w:hAnsi="Calibri" w:cs="Calibri"/>
              </w:rPr>
              <w:t>$61.04</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ED4A8B3" w14:textId="77777777" w:rsidR="00286109" w:rsidRDefault="00AA7305">
            <w:pPr>
              <w:widowControl w:val="0"/>
              <w:contextualSpacing w:val="0"/>
              <w:rPr>
                <w:sz w:val="20"/>
                <w:szCs w:val="20"/>
              </w:rPr>
            </w:pPr>
            <w:r>
              <w:rPr>
                <w:sz w:val="20"/>
                <w:szCs w:val="20"/>
              </w:rPr>
              <w:t>One of a Kind, Like Me by Robert Liu -Trujillo and Laurin Maveno (4 copies @ $15.26)</w:t>
            </w:r>
          </w:p>
        </w:tc>
      </w:tr>
      <w:tr w:rsidR="00286109" w14:paraId="2ED76E56"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8CEFDF0" w14:textId="77777777" w:rsidR="00286109" w:rsidRDefault="00AA7305">
            <w:pPr>
              <w:widowControl w:val="0"/>
              <w:contextualSpacing w:val="0"/>
              <w:jc w:val="right"/>
              <w:rPr>
                <w:sz w:val="20"/>
                <w:szCs w:val="20"/>
              </w:rPr>
            </w:pPr>
            <w:r>
              <w:rPr>
                <w:rFonts w:ascii="Calibri" w:eastAsia="Calibri" w:hAnsi="Calibri" w:cs="Calibri"/>
              </w:rPr>
              <w:t>$67.95</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37F0E03E" w14:textId="77777777" w:rsidR="00286109" w:rsidRDefault="00AA7305">
            <w:pPr>
              <w:widowControl w:val="0"/>
              <w:contextualSpacing w:val="0"/>
              <w:rPr>
                <w:sz w:val="20"/>
                <w:szCs w:val="20"/>
              </w:rPr>
            </w:pPr>
            <w:r>
              <w:rPr>
                <w:sz w:val="20"/>
                <w:szCs w:val="20"/>
              </w:rPr>
              <w:t>Inside Out and Back Again and Listen Slowly by Thanhha Lai (9 copies @ $7.55)</w:t>
            </w:r>
          </w:p>
        </w:tc>
      </w:tr>
      <w:tr w:rsidR="00286109" w14:paraId="4ACE5DCE"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9B09B7B" w14:textId="77777777" w:rsidR="00286109" w:rsidRDefault="00AA7305">
            <w:pPr>
              <w:widowControl w:val="0"/>
              <w:contextualSpacing w:val="0"/>
              <w:jc w:val="right"/>
              <w:rPr>
                <w:sz w:val="20"/>
                <w:szCs w:val="20"/>
              </w:rPr>
            </w:pPr>
            <w:r>
              <w:rPr>
                <w:rFonts w:ascii="Calibri" w:eastAsia="Calibri" w:hAnsi="Calibri" w:cs="Calibri"/>
              </w:rPr>
              <w:t>$111.87</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749870A" w14:textId="77777777" w:rsidR="00286109" w:rsidRDefault="00AA7305">
            <w:pPr>
              <w:widowControl w:val="0"/>
              <w:contextualSpacing w:val="0"/>
              <w:rPr>
                <w:sz w:val="20"/>
                <w:szCs w:val="20"/>
              </w:rPr>
            </w:pPr>
            <w:r>
              <w:rPr>
                <w:sz w:val="20"/>
                <w:szCs w:val="20"/>
              </w:rPr>
              <w:t>The Hate You Give by Angie Thomas (9 copies @ $12.43)</w:t>
            </w:r>
          </w:p>
        </w:tc>
      </w:tr>
      <w:tr w:rsidR="00286109" w14:paraId="60E6D7EA"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69F17323" w14:textId="77777777" w:rsidR="00286109" w:rsidRDefault="00AA7305">
            <w:pPr>
              <w:widowControl w:val="0"/>
              <w:contextualSpacing w:val="0"/>
              <w:jc w:val="right"/>
              <w:rPr>
                <w:sz w:val="20"/>
                <w:szCs w:val="20"/>
              </w:rPr>
            </w:pPr>
            <w:r>
              <w:rPr>
                <w:rFonts w:ascii="Calibri" w:eastAsia="Calibri" w:hAnsi="Calibri" w:cs="Calibri"/>
              </w:rPr>
              <w:lastRenderedPageBreak/>
              <w:t>$62.91</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EDAF49B" w14:textId="77777777" w:rsidR="00286109" w:rsidRDefault="00AA7305">
            <w:pPr>
              <w:widowControl w:val="0"/>
              <w:contextualSpacing w:val="0"/>
              <w:rPr>
                <w:sz w:val="20"/>
                <w:szCs w:val="20"/>
              </w:rPr>
            </w:pPr>
            <w:r>
              <w:rPr>
                <w:sz w:val="20"/>
                <w:szCs w:val="20"/>
              </w:rPr>
              <w:t>Gone Crazy in Alabama by Rita Williams Garcia (9 copies @ $6.99)</w:t>
            </w:r>
          </w:p>
        </w:tc>
      </w:tr>
      <w:tr w:rsidR="00286109" w14:paraId="3638F461"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2F624B8" w14:textId="77777777" w:rsidR="00286109" w:rsidRDefault="00AA7305">
            <w:pPr>
              <w:widowControl w:val="0"/>
              <w:contextualSpacing w:val="0"/>
              <w:jc w:val="right"/>
              <w:rPr>
                <w:sz w:val="20"/>
                <w:szCs w:val="20"/>
              </w:rPr>
            </w:pPr>
            <w:r>
              <w:rPr>
                <w:rFonts w:ascii="Calibri" w:eastAsia="Calibri" w:hAnsi="Calibri" w:cs="Calibri"/>
              </w:rPr>
              <w:t>$127.92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7EB723A" w14:textId="77777777" w:rsidR="00286109" w:rsidRDefault="00AA7305">
            <w:pPr>
              <w:widowControl w:val="0"/>
              <w:contextualSpacing w:val="0"/>
              <w:rPr>
                <w:sz w:val="20"/>
                <w:szCs w:val="20"/>
              </w:rPr>
            </w:pPr>
            <w:r>
              <w:rPr>
                <w:sz w:val="20"/>
                <w:szCs w:val="20"/>
              </w:rPr>
              <w:t>Echo by Pam Munoz Ryan (8 copies @ $15.99)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E89C434" w14:textId="77777777" w:rsidR="00286109" w:rsidRDefault="00286109">
            <w:pPr>
              <w:widowControl w:val="0"/>
              <w:contextualSpacing w:val="0"/>
              <w:rPr>
                <w:sz w:val="20"/>
                <w:szCs w:val="20"/>
              </w:rPr>
            </w:pPr>
          </w:p>
        </w:tc>
      </w:tr>
      <w:tr w:rsidR="00286109" w14:paraId="4EA6EB86"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4203FFE2" w14:textId="77777777" w:rsidR="00286109" w:rsidRDefault="00AA7305">
            <w:pPr>
              <w:widowControl w:val="0"/>
              <w:contextualSpacing w:val="0"/>
              <w:jc w:val="right"/>
              <w:rPr>
                <w:sz w:val="20"/>
                <w:szCs w:val="20"/>
              </w:rPr>
            </w:pPr>
            <w:r>
              <w:rPr>
                <w:rFonts w:ascii="Calibri" w:eastAsia="Calibri" w:hAnsi="Calibri" w:cs="Calibri"/>
              </w:rPr>
              <w:t>$92.16</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E7C685B" w14:textId="77777777" w:rsidR="00286109" w:rsidRDefault="00AA7305">
            <w:pPr>
              <w:widowControl w:val="0"/>
              <w:contextualSpacing w:val="0"/>
              <w:rPr>
                <w:sz w:val="20"/>
                <w:szCs w:val="20"/>
              </w:rPr>
            </w:pPr>
            <w:r>
              <w:rPr>
                <w:sz w:val="20"/>
                <w:szCs w:val="20"/>
              </w:rPr>
              <w:t>All American Boys by Jason Reynolds ( 9 copies @ $10.24)</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5BC2A12" w14:textId="77777777" w:rsidR="00286109" w:rsidRDefault="00286109">
            <w:pPr>
              <w:widowControl w:val="0"/>
              <w:contextualSpacing w:val="0"/>
              <w:rPr>
                <w:sz w:val="20"/>
                <w:szCs w:val="20"/>
              </w:rPr>
            </w:pPr>
          </w:p>
        </w:tc>
      </w:tr>
      <w:tr w:rsidR="00286109" w14:paraId="1A98D52C"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4A65E99" w14:textId="77777777" w:rsidR="00286109" w:rsidRDefault="00AA7305">
            <w:pPr>
              <w:widowControl w:val="0"/>
              <w:contextualSpacing w:val="0"/>
              <w:jc w:val="right"/>
              <w:rPr>
                <w:sz w:val="20"/>
                <w:szCs w:val="20"/>
              </w:rPr>
            </w:pPr>
            <w:r>
              <w:rPr>
                <w:rFonts w:ascii="Calibri" w:eastAsia="Calibri" w:hAnsi="Calibri" w:cs="Calibri"/>
              </w:rPr>
              <w:t>$89.90</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D881B81" w14:textId="77777777" w:rsidR="00286109" w:rsidRDefault="00AA7305">
            <w:pPr>
              <w:widowControl w:val="0"/>
              <w:contextualSpacing w:val="0"/>
              <w:rPr>
                <w:sz w:val="20"/>
                <w:szCs w:val="20"/>
              </w:rPr>
            </w:pPr>
            <w:r>
              <w:rPr>
                <w:sz w:val="20"/>
                <w:szCs w:val="20"/>
              </w:rPr>
              <w:t>The Misfits by James Howe (10 copies @ $8.99)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5993EA85" w14:textId="77777777" w:rsidR="00286109" w:rsidRDefault="00286109">
            <w:pPr>
              <w:widowControl w:val="0"/>
              <w:contextualSpacing w:val="0"/>
              <w:rPr>
                <w:sz w:val="20"/>
                <w:szCs w:val="20"/>
              </w:rPr>
            </w:pPr>
          </w:p>
        </w:tc>
      </w:tr>
      <w:tr w:rsidR="00286109" w14:paraId="37C31CAC"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436BF30" w14:textId="77777777" w:rsidR="00286109" w:rsidRDefault="00AA7305">
            <w:pPr>
              <w:widowControl w:val="0"/>
              <w:contextualSpacing w:val="0"/>
              <w:jc w:val="right"/>
              <w:rPr>
                <w:sz w:val="20"/>
                <w:szCs w:val="20"/>
              </w:rPr>
            </w:pPr>
            <w:r>
              <w:rPr>
                <w:rFonts w:ascii="Calibri" w:eastAsia="Calibri" w:hAnsi="Calibri" w:cs="Calibri"/>
              </w:rPr>
              <w:t>$95.92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3519C34" w14:textId="77777777" w:rsidR="00286109" w:rsidRDefault="00AA7305">
            <w:pPr>
              <w:widowControl w:val="0"/>
              <w:contextualSpacing w:val="0"/>
              <w:rPr>
                <w:sz w:val="20"/>
                <w:szCs w:val="20"/>
              </w:rPr>
            </w:pPr>
            <w:r>
              <w:rPr>
                <w:sz w:val="20"/>
                <w:szCs w:val="20"/>
              </w:rPr>
              <w:t>Aristotle and Dante Discover the Secrets of the Universe by Benjamin Alire Saenz ( 8 copies @ $11.99)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1CE27C31" w14:textId="77777777" w:rsidR="00286109" w:rsidRDefault="00286109">
            <w:pPr>
              <w:widowControl w:val="0"/>
              <w:contextualSpacing w:val="0"/>
              <w:rPr>
                <w:sz w:val="20"/>
                <w:szCs w:val="20"/>
              </w:rPr>
            </w:pPr>
          </w:p>
        </w:tc>
      </w:tr>
      <w:tr w:rsidR="00286109" w14:paraId="3694733B"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32FC727" w14:textId="77777777" w:rsidR="00286109" w:rsidRDefault="00AA7305">
            <w:pPr>
              <w:widowControl w:val="0"/>
              <w:contextualSpacing w:val="0"/>
              <w:jc w:val="right"/>
              <w:rPr>
                <w:sz w:val="20"/>
                <w:szCs w:val="20"/>
              </w:rPr>
            </w:pPr>
            <w:r>
              <w:rPr>
                <w:rFonts w:ascii="Calibri" w:eastAsia="Calibri" w:hAnsi="Calibri" w:cs="Calibri"/>
              </w:rPr>
              <w:t>$63.92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AF806BF" w14:textId="77777777" w:rsidR="00286109" w:rsidRDefault="00AA7305">
            <w:pPr>
              <w:widowControl w:val="0"/>
              <w:contextualSpacing w:val="0"/>
              <w:rPr>
                <w:sz w:val="20"/>
                <w:szCs w:val="20"/>
              </w:rPr>
            </w:pPr>
            <w:r>
              <w:rPr>
                <w:sz w:val="20"/>
                <w:szCs w:val="20"/>
              </w:rPr>
              <w:t>Lily and Dunkin by Donna Gephart ( 8 copies @ $7.99)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827B696" w14:textId="77777777" w:rsidR="00286109" w:rsidRDefault="00286109">
            <w:pPr>
              <w:widowControl w:val="0"/>
              <w:contextualSpacing w:val="0"/>
              <w:rPr>
                <w:sz w:val="20"/>
                <w:szCs w:val="20"/>
              </w:rPr>
            </w:pPr>
          </w:p>
        </w:tc>
      </w:tr>
      <w:tr w:rsidR="00286109" w14:paraId="2632D165"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81576FF" w14:textId="77777777" w:rsidR="00286109" w:rsidRDefault="00AA7305">
            <w:pPr>
              <w:widowControl w:val="0"/>
              <w:contextualSpacing w:val="0"/>
              <w:jc w:val="right"/>
              <w:rPr>
                <w:sz w:val="20"/>
                <w:szCs w:val="20"/>
              </w:rPr>
            </w:pPr>
            <w:r>
              <w:rPr>
                <w:rFonts w:ascii="Calibri" w:eastAsia="Calibri" w:hAnsi="Calibri" w:cs="Calibri"/>
              </w:rPr>
              <w:t>$122.08</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A83094C" w14:textId="77777777" w:rsidR="00286109" w:rsidRDefault="00AA7305">
            <w:pPr>
              <w:widowControl w:val="0"/>
              <w:contextualSpacing w:val="0"/>
              <w:rPr>
                <w:sz w:val="20"/>
                <w:szCs w:val="20"/>
              </w:rPr>
            </w:pPr>
            <w:r>
              <w:rPr>
                <w:sz w:val="20"/>
                <w:szCs w:val="20"/>
              </w:rPr>
              <w:t>In the Footsteps of Crazy Horse by Joseph Marshall III (8 copies @ 15.26)</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008A1C5" w14:textId="77777777" w:rsidR="00286109" w:rsidRDefault="00286109">
            <w:pPr>
              <w:widowControl w:val="0"/>
              <w:contextualSpacing w:val="0"/>
              <w:rPr>
                <w:sz w:val="20"/>
                <w:szCs w:val="20"/>
              </w:rPr>
            </w:pPr>
          </w:p>
        </w:tc>
      </w:tr>
      <w:tr w:rsidR="00286109" w14:paraId="792C6C5C"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0697C678" w14:textId="77777777" w:rsidR="00286109" w:rsidRDefault="00AA7305">
            <w:pPr>
              <w:widowControl w:val="0"/>
              <w:contextualSpacing w:val="0"/>
              <w:jc w:val="right"/>
              <w:rPr>
                <w:sz w:val="20"/>
                <w:szCs w:val="20"/>
              </w:rPr>
            </w:pPr>
            <w:r>
              <w:rPr>
                <w:rFonts w:ascii="Calibri" w:eastAsia="Calibri" w:hAnsi="Calibri" w:cs="Calibri"/>
              </w:rPr>
              <w:t>$110.40</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7A5949B" w14:textId="77777777" w:rsidR="00286109" w:rsidRDefault="00AA7305">
            <w:pPr>
              <w:widowControl w:val="0"/>
              <w:contextualSpacing w:val="0"/>
              <w:rPr>
                <w:sz w:val="20"/>
                <w:szCs w:val="20"/>
              </w:rPr>
            </w:pPr>
            <w:r>
              <w:rPr>
                <w:sz w:val="20"/>
                <w:szCs w:val="20"/>
              </w:rPr>
              <w:t>Salvage the Bones by Jesmyn Ward (8 copies @ 13.80)</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642BBD2" w14:textId="77777777" w:rsidR="00286109" w:rsidRDefault="00286109">
            <w:pPr>
              <w:widowControl w:val="0"/>
              <w:contextualSpacing w:val="0"/>
              <w:rPr>
                <w:sz w:val="20"/>
                <w:szCs w:val="20"/>
              </w:rPr>
            </w:pPr>
          </w:p>
        </w:tc>
      </w:tr>
      <w:tr w:rsidR="00286109" w14:paraId="07159798"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3845F60A" w14:textId="77777777" w:rsidR="00286109" w:rsidRDefault="00AA7305">
            <w:pPr>
              <w:widowControl w:val="0"/>
              <w:contextualSpacing w:val="0"/>
              <w:jc w:val="right"/>
              <w:rPr>
                <w:sz w:val="20"/>
                <w:szCs w:val="20"/>
              </w:rPr>
            </w:pPr>
            <w:r>
              <w:rPr>
                <w:rFonts w:ascii="Calibri" w:eastAsia="Calibri" w:hAnsi="Calibri" w:cs="Calibri"/>
              </w:rPr>
              <w:t>$63.92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EFCB7C5" w14:textId="77777777" w:rsidR="00286109" w:rsidRDefault="00AA7305">
            <w:pPr>
              <w:widowControl w:val="0"/>
              <w:contextualSpacing w:val="0"/>
              <w:rPr>
                <w:sz w:val="20"/>
                <w:szCs w:val="20"/>
              </w:rPr>
            </w:pPr>
            <w:r>
              <w:rPr>
                <w:sz w:val="20"/>
                <w:szCs w:val="20"/>
              </w:rPr>
              <w:t>90 Miles to Havana by Enrique Flores-Galbis (8 copies @ 7.99)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022EE1C" w14:textId="77777777" w:rsidR="00286109" w:rsidRDefault="00286109">
            <w:pPr>
              <w:widowControl w:val="0"/>
              <w:contextualSpacing w:val="0"/>
              <w:rPr>
                <w:sz w:val="20"/>
                <w:szCs w:val="20"/>
              </w:rPr>
            </w:pPr>
          </w:p>
        </w:tc>
      </w:tr>
      <w:tr w:rsidR="00286109" w14:paraId="125142A0"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62655997" w14:textId="77777777" w:rsidR="00286109" w:rsidRDefault="00AA7305">
            <w:pPr>
              <w:widowControl w:val="0"/>
              <w:contextualSpacing w:val="0"/>
              <w:jc w:val="right"/>
              <w:rPr>
                <w:sz w:val="20"/>
                <w:szCs w:val="20"/>
              </w:rPr>
            </w:pPr>
            <w:r>
              <w:rPr>
                <w:rFonts w:ascii="Calibri" w:eastAsia="Calibri" w:hAnsi="Calibri" w:cs="Calibri"/>
              </w:rPr>
              <w:t>$55.92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52AD89C" w14:textId="77777777" w:rsidR="00286109" w:rsidRDefault="00AA7305">
            <w:pPr>
              <w:widowControl w:val="0"/>
              <w:contextualSpacing w:val="0"/>
              <w:rPr>
                <w:sz w:val="20"/>
                <w:szCs w:val="20"/>
              </w:rPr>
            </w:pPr>
            <w:r>
              <w:rPr>
                <w:sz w:val="20"/>
                <w:szCs w:val="20"/>
              </w:rPr>
              <w:t>Listen Slowly Thanhha Lai (8 copies @ 6.99)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37C4C1F2" w14:textId="77777777" w:rsidR="00286109" w:rsidRDefault="00286109">
            <w:pPr>
              <w:widowControl w:val="0"/>
              <w:contextualSpacing w:val="0"/>
              <w:rPr>
                <w:sz w:val="20"/>
                <w:szCs w:val="20"/>
              </w:rPr>
            </w:pPr>
          </w:p>
        </w:tc>
      </w:tr>
      <w:tr w:rsidR="00286109" w14:paraId="4BE14302"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275A235" w14:textId="77777777" w:rsidR="00286109" w:rsidRDefault="00AA7305">
            <w:pPr>
              <w:widowControl w:val="0"/>
              <w:contextualSpacing w:val="0"/>
              <w:jc w:val="right"/>
              <w:rPr>
                <w:sz w:val="20"/>
                <w:szCs w:val="20"/>
              </w:rPr>
            </w:pPr>
            <w:r>
              <w:rPr>
                <w:rFonts w:ascii="Calibri" w:eastAsia="Calibri" w:hAnsi="Calibri" w:cs="Calibri"/>
              </w:rPr>
              <w:t>$119.70</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5DC99EF" w14:textId="77777777" w:rsidR="00286109" w:rsidRDefault="00AA7305">
            <w:pPr>
              <w:widowControl w:val="0"/>
              <w:contextualSpacing w:val="0"/>
              <w:rPr>
                <w:sz w:val="20"/>
                <w:szCs w:val="20"/>
              </w:rPr>
            </w:pPr>
            <w:r>
              <w:rPr>
                <w:sz w:val="20"/>
                <w:szCs w:val="20"/>
              </w:rPr>
              <w:t>Between the World and Me by Ta-Nehsi Coates (10 copies @ 11.97)</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B0A0EA8" w14:textId="77777777" w:rsidR="00286109" w:rsidRDefault="00286109">
            <w:pPr>
              <w:widowControl w:val="0"/>
              <w:contextualSpacing w:val="0"/>
              <w:rPr>
                <w:sz w:val="20"/>
                <w:szCs w:val="20"/>
              </w:rPr>
            </w:pPr>
          </w:p>
        </w:tc>
      </w:tr>
      <w:tr w:rsidR="00286109" w14:paraId="46E6D093"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BD486DC" w14:textId="77777777" w:rsidR="00286109" w:rsidRDefault="00AA7305">
            <w:pPr>
              <w:widowControl w:val="0"/>
              <w:contextualSpacing w:val="0"/>
              <w:jc w:val="right"/>
              <w:rPr>
                <w:sz w:val="20"/>
                <w:szCs w:val="20"/>
              </w:rPr>
            </w:pPr>
            <w:r>
              <w:rPr>
                <w:rFonts w:ascii="Calibri" w:eastAsia="Calibri" w:hAnsi="Calibri" w:cs="Calibri"/>
              </w:rPr>
              <w:t>$198.00</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3466550" w14:textId="77777777" w:rsidR="00286109" w:rsidRDefault="00AA7305">
            <w:pPr>
              <w:widowControl w:val="0"/>
              <w:contextualSpacing w:val="0"/>
              <w:rPr>
                <w:sz w:val="20"/>
                <w:szCs w:val="20"/>
              </w:rPr>
            </w:pPr>
            <w:r>
              <w:rPr>
                <w:sz w:val="20"/>
                <w:szCs w:val="20"/>
              </w:rPr>
              <w:t>Long Way DownJason Nehisl (10 copies @ 19.08)</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EA97B29" w14:textId="77777777" w:rsidR="00286109" w:rsidRDefault="00286109">
            <w:pPr>
              <w:widowControl w:val="0"/>
              <w:contextualSpacing w:val="0"/>
              <w:rPr>
                <w:sz w:val="20"/>
                <w:szCs w:val="20"/>
              </w:rPr>
            </w:pPr>
          </w:p>
        </w:tc>
      </w:tr>
      <w:tr w:rsidR="00286109" w14:paraId="1235FBC5" w14:textId="77777777">
        <w:trPr>
          <w:trHeight w:val="50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FDC7AD6" w14:textId="77777777" w:rsidR="00286109" w:rsidRDefault="00AA7305">
            <w:pPr>
              <w:widowControl w:val="0"/>
              <w:contextualSpacing w:val="0"/>
              <w:jc w:val="right"/>
              <w:rPr>
                <w:sz w:val="20"/>
                <w:szCs w:val="20"/>
              </w:rPr>
            </w:pPr>
            <w:r>
              <w:rPr>
                <w:rFonts w:ascii="Calibri" w:eastAsia="Calibri" w:hAnsi="Calibri" w:cs="Calibri"/>
              </w:rPr>
              <w:t>$139.84</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86118A4" w14:textId="77777777" w:rsidR="00286109" w:rsidRDefault="00AA7305">
            <w:pPr>
              <w:widowControl w:val="0"/>
              <w:contextualSpacing w:val="0"/>
              <w:rPr>
                <w:sz w:val="20"/>
                <w:szCs w:val="20"/>
              </w:rPr>
            </w:pPr>
            <w:r>
              <w:rPr>
                <w:sz w:val="20"/>
                <w:szCs w:val="20"/>
              </w:rPr>
              <w:t>Fred Korematsu Speaks Up by Laura Atkins and Stan Yogi (8 copies @ 17.48)</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FFB2E8E" w14:textId="77777777" w:rsidR="00286109" w:rsidRDefault="00286109">
            <w:pPr>
              <w:widowControl w:val="0"/>
              <w:contextualSpacing w:val="0"/>
              <w:rPr>
                <w:sz w:val="20"/>
                <w:szCs w:val="20"/>
              </w:rPr>
            </w:pPr>
          </w:p>
        </w:tc>
      </w:tr>
      <w:tr w:rsidR="00286109" w14:paraId="12CE0FA7"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3C08638C" w14:textId="77777777" w:rsidR="00286109" w:rsidRDefault="00AA7305">
            <w:pPr>
              <w:widowControl w:val="0"/>
              <w:contextualSpacing w:val="0"/>
              <w:jc w:val="right"/>
              <w:rPr>
                <w:sz w:val="20"/>
                <w:szCs w:val="20"/>
              </w:rPr>
            </w:pPr>
            <w:r>
              <w:rPr>
                <w:rFonts w:ascii="Calibri" w:eastAsia="Calibri" w:hAnsi="Calibri" w:cs="Calibri"/>
              </w:rPr>
              <w:t>$67.92</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8DFC76E" w14:textId="77777777" w:rsidR="00286109" w:rsidRDefault="00AA7305">
            <w:pPr>
              <w:widowControl w:val="0"/>
              <w:contextualSpacing w:val="0"/>
              <w:rPr>
                <w:sz w:val="20"/>
                <w:szCs w:val="20"/>
              </w:rPr>
            </w:pPr>
            <w:r>
              <w:rPr>
                <w:sz w:val="20"/>
                <w:szCs w:val="20"/>
              </w:rPr>
              <w:t>My Name is Not Easy by Debby Dahl Edwardson (8 copies @8.49)</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BF28B13" w14:textId="77777777" w:rsidR="00286109" w:rsidRDefault="00286109">
            <w:pPr>
              <w:widowControl w:val="0"/>
              <w:contextualSpacing w:val="0"/>
              <w:rPr>
                <w:sz w:val="20"/>
                <w:szCs w:val="20"/>
              </w:rPr>
            </w:pPr>
          </w:p>
        </w:tc>
      </w:tr>
      <w:tr w:rsidR="00286109" w14:paraId="0F8F93ED"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063B328B" w14:textId="77777777" w:rsidR="00286109" w:rsidRDefault="00AA7305">
            <w:pPr>
              <w:widowControl w:val="0"/>
              <w:contextualSpacing w:val="0"/>
              <w:jc w:val="right"/>
              <w:rPr>
                <w:sz w:val="20"/>
                <w:szCs w:val="20"/>
              </w:rPr>
            </w:pPr>
            <w:r>
              <w:rPr>
                <w:rFonts w:ascii="Calibri" w:eastAsia="Calibri" w:hAnsi="Calibri" w:cs="Calibri"/>
              </w:rPr>
              <w:t>$75.64</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80EACCE" w14:textId="77777777" w:rsidR="00286109" w:rsidRDefault="00AA7305">
            <w:pPr>
              <w:widowControl w:val="0"/>
              <w:contextualSpacing w:val="0"/>
              <w:rPr>
                <w:sz w:val="20"/>
                <w:szCs w:val="20"/>
              </w:rPr>
            </w:pPr>
            <w:r>
              <w:rPr>
                <w:sz w:val="20"/>
                <w:szCs w:val="20"/>
              </w:rPr>
              <w:t>Sitting Bull by S.D. Nelson (4 copies @ 18.91)</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5608180D" w14:textId="77777777" w:rsidR="00286109" w:rsidRDefault="00286109">
            <w:pPr>
              <w:widowControl w:val="0"/>
              <w:contextualSpacing w:val="0"/>
              <w:rPr>
                <w:sz w:val="20"/>
                <w:szCs w:val="20"/>
              </w:rPr>
            </w:pPr>
          </w:p>
        </w:tc>
      </w:tr>
      <w:tr w:rsidR="00286109" w14:paraId="3BA1EEE8"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22A9F7A" w14:textId="77777777" w:rsidR="00286109" w:rsidRDefault="00AA7305">
            <w:pPr>
              <w:widowControl w:val="0"/>
              <w:contextualSpacing w:val="0"/>
              <w:jc w:val="right"/>
              <w:rPr>
                <w:sz w:val="20"/>
                <w:szCs w:val="20"/>
              </w:rPr>
            </w:pPr>
            <w:r>
              <w:rPr>
                <w:rFonts w:ascii="Calibri" w:eastAsia="Calibri" w:hAnsi="Calibri" w:cs="Calibri"/>
              </w:rPr>
              <w:t>$74.16</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834BD87" w14:textId="77777777" w:rsidR="00286109" w:rsidRDefault="00AA7305">
            <w:pPr>
              <w:widowControl w:val="0"/>
              <w:contextualSpacing w:val="0"/>
              <w:rPr>
                <w:sz w:val="20"/>
                <w:szCs w:val="20"/>
              </w:rPr>
            </w:pPr>
            <w:r>
              <w:rPr>
                <w:sz w:val="20"/>
                <w:szCs w:val="20"/>
              </w:rPr>
              <w:t>Stepping Stones by Margriet Ruurs (4 copies @ $18.54)</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A578BFA" w14:textId="77777777" w:rsidR="00286109" w:rsidRDefault="00286109">
            <w:pPr>
              <w:widowControl w:val="0"/>
              <w:contextualSpacing w:val="0"/>
              <w:rPr>
                <w:sz w:val="20"/>
                <w:szCs w:val="20"/>
              </w:rPr>
            </w:pPr>
          </w:p>
        </w:tc>
      </w:tr>
      <w:tr w:rsidR="00286109" w14:paraId="579AA79E"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4E570223" w14:textId="77777777" w:rsidR="00286109" w:rsidRDefault="00AA7305">
            <w:pPr>
              <w:widowControl w:val="0"/>
              <w:contextualSpacing w:val="0"/>
              <w:jc w:val="right"/>
              <w:rPr>
                <w:sz w:val="20"/>
                <w:szCs w:val="20"/>
              </w:rPr>
            </w:pPr>
            <w:r>
              <w:rPr>
                <w:rFonts w:ascii="Calibri" w:eastAsia="Calibri" w:hAnsi="Calibri" w:cs="Calibri"/>
              </w:rPr>
              <w:t>$66.00</w:t>
            </w:r>
          </w:p>
        </w:tc>
        <w:tc>
          <w:tcPr>
            <w:tcW w:w="598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AF9D9F8" w14:textId="77777777" w:rsidR="00286109" w:rsidRDefault="00AA7305">
            <w:pPr>
              <w:widowControl w:val="0"/>
              <w:contextualSpacing w:val="0"/>
              <w:rPr>
                <w:sz w:val="20"/>
                <w:szCs w:val="20"/>
              </w:rPr>
            </w:pPr>
            <w:r>
              <w:rPr>
                <w:sz w:val="20"/>
                <w:szCs w:val="20"/>
              </w:rPr>
              <w:t>George by Alex Gino ( 10 copies @ $6.60)</w:t>
            </w:r>
          </w:p>
        </w:tc>
        <w:tc>
          <w:tcPr>
            <w:tcW w:w="2059"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5E2BF674" w14:textId="77777777" w:rsidR="00286109" w:rsidRDefault="00286109">
            <w:pPr>
              <w:widowControl w:val="0"/>
              <w:contextualSpacing w:val="0"/>
              <w:rPr>
                <w:sz w:val="20"/>
                <w:szCs w:val="20"/>
              </w:rPr>
            </w:pPr>
          </w:p>
        </w:tc>
      </w:tr>
      <w:tr w:rsidR="00286109" w14:paraId="5AA05A68"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631D2C51" w14:textId="77777777" w:rsidR="00286109" w:rsidRDefault="00AA7305">
            <w:pPr>
              <w:widowControl w:val="0"/>
              <w:contextualSpacing w:val="0"/>
              <w:jc w:val="right"/>
              <w:rPr>
                <w:sz w:val="20"/>
                <w:szCs w:val="20"/>
              </w:rPr>
            </w:pPr>
            <w:r>
              <w:rPr>
                <w:rFonts w:ascii="Calibri" w:eastAsia="Calibri" w:hAnsi="Calibri" w:cs="Calibri"/>
              </w:rPr>
              <w:t>$72.64</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13A0A0C" w14:textId="77777777" w:rsidR="00286109" w:rsidRDefault="00AA7305">
            <w:pPr>
              <w:widowControl w:val="0"/>
              <w:contextualSpacing w:val="0"/>
              <w:rPr>
                <w:sz w:val="20"/>
                <w:szCs w:val="20"/>
              </w:rPr>
            </w:pPr>
            <w:r>
              <w:rPr>
                <w:sz w:val="20"/>
                <w:szCs w:val="20"/>
              </w:rPr>
              <w:t>X: A Novel by Ilyasah Shbazz (8 copies @ $ 9.08)</w:t>
            </w:r>
          </w:p>
        </w:tc>
      </w:tr>
      <w:tr w:rsidR="00286109" w14:paraId="37BC71A7"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9FC5E8"/>
            <w:tcMar>
              <w:top w:w="40" w:type="dxa"/>
              <w:left w:w="40" w:type="dxa"/>
              <w:bottom w:w="40" w:type="dxa"/>
              <w:right w:w="40" w:type="dxa"/>
            </w:tcMar>
            <w:vAlign w:val="bottom"/>
          </w:tcPr>
          <w:p w14:paraId="54B91EEC" w14:textId="77777777" w:rsidR="00286109" w:rsidRDefault="00AA7305">
            <w:pPr>
              <w:widowControl w:val="0"/>
              <w:contextualSpacing w:val="0"/>
              <w:jc w:val="right"/>
              <w:rPr>
                <w:sz w:val="20"/>
                <w:szCs w:val="20"/>
              </w:rPr>
            </w:pPr>
            <w:r>
              <w:rPr>
                <w:rFonts w:ascii="Calibri" w:eastAsia="Calibri" w:hAnsi="Calibri" w:cs="Calibri"/>
                <w:b/>
              </w:rPr>
              <w:t>$2,011.72</w:t>
            </w:r>
          </w:p>
        </w:tc>
        <w:tc>
          <w:tcPr>
            <w:tcW w:w="8039" w:type="dxa"/>
            <w:gridSpan w:val="2"/>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5CE42716" w14:textId="77777777" w:rsidR="00286109" w:rsidRDefault="00AA7305">
            <w:pPr>
              <w:widowControl w:val="0"/>
              <w:contextualSpacing w:val="0"/>
              <w:rPr>
                <w:sz w:val="20"/>
                <w:szCs w:val="20"/>
              </w:rPr>
            </w:pPr>
            <w:r>
              <w:rPr>
                <w:rFonts w:ascii="Calibri" w:eastAsia="Calibri" w:hAnsi="Calibri" w:cs="Calibri"/>
                <w:b/>
              </w:rPr>
              <w:t>TOTAL EXPENSE</w:t>
            </w:r>
          </w:p>
        </w:tc>
      </w:tr>
      <w:tr w:rsidR="00286109" w14:paraId="39E87B37" w14:textId="77777777">
        <w:trPr>
          <w:trHeight w:val="300"/>
        </w:trPr>
        <w:tc>
          <w:tcPr>
            <w:tcW w:w="13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0D468"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17139" w14:textId="77777777" w:rsidR="00286109" w:rsidRDefault="00286109">
            <w:pPr>
              <w:widowControl w:val="0"/>
              <w:contextualSpacing w:val="0"/>
              <w:rPr>
                <w:sz w:val="20"/>
                <w:szCs w:val="20"/>
              </w:rPr>
            </w:pP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17092" w14:textId="77777777" w:rsidR="00286109" w:rsidRDefault="00286109">
            <w:pPr>
              <w:widowControl w:val="0"/>
              <w:contextualSpacing w:val="0"/>
              <w:rPr>
                <w:sz w:val="20"/>
                <w:szCs w:val="20"/>
              </w:rPr>
            </w:pPr>
          </w:p>
        </w:tc>
      </w:tr>
      <w:tr w:rsidR="00286109" w14:paraId="73AB7DFA" w14:textId="77777777">
        <w:trPr>
          <w:trHeight w:val="320"/>
        </w:trPr>
        <w:tc>
          <w:tcPr>
            <w:tcW w:w="1320"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26CBAF38" w14:textId="77777777" w:rsidR="00286109" w:rsidRDefault="00AA7305">
            <w:pPr>
              <w:widowControl w:val="0"/>
              <w:contextualSpacing w:val="0"/>
              <w:jc w:val="right"/>
              <w:rPr>
                <w:sz w:val="20"/>
                <w:szCs w:val="20"/>
              </w:rPr>
            </w:pPr>
            <w:r>
              <w:rPr>
                <w:rFonts w:ascii="Calibri" w:eastAsia="Calibri" w:hAnsi="Calibri" w:cs="Calibri"/>
                <w:b/>
              </w:rPr>
              <w:t>-$2,011.72</w:t>
            </w:r>
          </w:p>
        </w:tc>
        <w:tc>
          <w:tcPr>
            <w:tcW w:w="5980"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6F0DC0B2" w14:textId="77777777" w:rsidR="00286109" w:rsidRDefault="00AA7305">
            <w:pPr>
              <w:widowControl w:val="0"/>
              <w:contextualSpacing w:val="0"/>
              <w:rPr>
                <w:sz w:val="20"/>
                <w:szCs w:val="20"/>
              </w:rPr>
            </w:pPr>
            <w:r>
              <w:rPr>
                <w:rFonts w:ascii="Calibri" w:eastAsia="Calibri" w:hAnsi="Calibri" w:cs="Calibri"/>
                <w:b/>
              </w:rPr>
              <w:t>Difference (Income less Expense)</w:t>
            </w:r>
          </w:p>
        </w:tc>
        <w:tc>
          <w:tcPr>
            <w:tcW w:w="2059"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7DA66632" w14:textId="77777777" w:rsidR="00286109" w:rsidRDefault="00286109">
            <w:pPr>
              <w:widowControl w:val="0"/>
              <w:contextualSpacing w:val="0"/>
              <w:rPr>
                <w:sz w:val="20"/>
                <w:szCs w:val="20"/>
              </w:rPr>
            </w:pPr>
          </w:p>
        </w:tc>
      </w:tr>
      <w:tr w:rsidR="00286109" w14:paraId="2CB78C45" w14:textId="77777777">
        <w:trPr>
          <w:trHeight w:val="300"/>
        </w:trPr>
        <w:tc>
          <w:tcPr>
            <w:tcW w:w="13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50CDCBB" w14:textId="77777777" w:rsidR="00286109" w:rsidRDefault="00286109">
            <w:pPr>
              <w:widowControl w:val="0"/>
              <w:contextualSpacing w:val="0"/>
              <w:rPr>
                <w:sz w:val="20"/>
                <w:szCs w:val="20"/>
              </w:rPr>
            </w:pPr>
          </w:p>
        </w:tc>
        <w:tc>
          <w:tcPr>
            <w:tcW w:w="8039"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97C9D9E" w14:textId="77777777" w:rsidR="00286109" w:rsidRDefault="00286109">
            <w:pPr>
              <w:widowControl w:val="0"/>
              <w:contextualSpacing w:val="0"/>
              <w:rPr>
                <w:sz w:val="20"/>
                <w:szCs w:val="20"/>
              </w:rPr>
            </w:pPr>
          </w:p>
        </w:tc>
      </w:tr>
      <w:tr w:rsidR="00286109" w14:paraId="7C0D0503"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88CECB0" w14:textId="77777777" w:rsidR="00286109" w:rsidRDefault="00AA7305">
            <w:pPr>
              <w:widowControl w:val="0"/>
              <w:contextualSpacing w:val="0"/>
              <w:jc w:val="right"/>
              <w:rPr>
                <w:sz w:val="20"/>
                <w:szCs w:val="20"/>
              </w:rPr>
            </w:pPr>
            <w:r>
              <w:rPr>
                <w:rFonts w:ascii="Calibri" w:eastAsia="Calibri" w:hAnsi="Calibri" w:cs="Calibri"/>
              </w:rPr>
              <w:t>$2,004.56</w:t>
            </w:r>
          </w:p>
        </w:tc>
        <w:tc>
          <w:tcPr>
            <w:tcW w:w="59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60E98F" w14:textId="77777777" w:rsidR="00286109" w:rsidRDefault="00AA7305">
            <w:pPr>
              <w:widowControl w:val="0"/>
              <w:contextualSpacing w:val="0"/>
              <w:rPr>
                <w:sz w:val="20"/>
                <w:szCs w:val="20"/>
              </w:rPr>
            </w:pPr>
            <w:r>
              <w:rPr>
                <w:rFonts w:ascii="Calibri" w:eastAsia="Calibri" w:hAnsi="Calibri" w:cs="Calibri"/>
              </w:rPr>
              <w:t>Amount of your request to District 279 Foundation</w:t>
            </w: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D1A0C" w14:textId="77777777" w:rsidR="00286109" w:rsidRDefault="00286109">
            <w:pPr>
              <w:widowControl w:val="0"/>
              <w:contextualSpacing w:val="0"/>
              <w:rPr>
                <w:sz w:val="20"/>
                <w:szCs w:val="20"/>
              </w:rPr>
            </w:pPr>
          </w:p>
        </w:tc>
      </w:tr>
      <w:tr w:rsidR="00286109" w14:paraId="4F570AA7"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A864F4F" w14:textId="77777777" w:rsidR="00286109" w:rsidRDefault="00AA7305">
            <w:pPr>
              <w:widowControl w:val="0"/>
              <w:contextualSpacing w:val="0"/>
              <w:jc w:val="right"/>
              <w:rPr>
                <w:sz w:val="20"/>
                <w:szCs w:val="20"/>
              </w:rPr>
            </w:pPr>
            <w:r>
              <w:rPr>
                <w:rFonts w:ascii="Calibri" w:eastAsia="Calibri" w:hAnsi="Calibri" w:cs="Calibri"/>
              </w:rPr>
              <w:t>578</w:t>
            </w:r>
          </w:p>
        </w:tc>
        <w:tc>
          <w:tcPr>
            <w:tcW w:w="59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9D500F" w14:textId="77777777" w:rsidR="00286109" w:rsidRDefault="00AA7305">
            <w:pPr>
              <w:widowControl w:val="0"/>
              <w:contextualSpacing w:val="0"/>
              <w:rPr>
                <w:sz w:val="20"/>
                <w:szCs w:val="20"/>
              </w:rPr>
            </w:pPr>
            <w:r>
              <w:rPr>
                <w:rFonts w:ascii="Calibri" w:eastAsia="Calibri" w:hAnsi="Calibri" w:cs="Calibri"/>
              </w:rPr>
              <w:t>Number of Students Served by Project</w:t>
            </w: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5186F" w14:textId="77777777" w:rsidR="00286109" w:rsidRDefault="00286109">
            <w:pPr>
              <w:widowControl w:val="0"/>
              <w:contextualSpacing w:val="0"/>
              <w:rPr>
                <w:sz w:val="20"/>
                <w:szCs w:val="20"/>
              </w:rPr>
            </w:pPr>
          </w:p>
        </w:tc>
      </w:tr>
      <w:tr w:rsidR="00286109" w14:paraId="2EB0B891" w14:textId="77777777">
        <w:trPr>
          <w:trHeight w:val="320"/>
        </w:trPr>
        <w:tc>
          <w:tcPr>
            <w:tcW w:w="132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9408893" w14:textId="77777777" w:rsidR="00286109" w:rsidRDefault="00AA7305">
            <w:pPr>
              <w:widowControl w:val="0"/>
              <w:contextualSpacing w:val="0"/>
              <w:jc w:val="right"/>
              <w:rPr>
                <w:sz w:val="20"/>
                <w:szCs w:val="20"/>
              </w:rPr>
            </w:pPr>
            <w:r>
              <w:rPr>
                <w:rFonts w:ascii="Calibri" w:eastAsia="Calibri" w:hAnsi="Calibri" w:cs="Calibri"/>
              </w:rPr>
              <w:t>$3.47</w:t>
            </w:r>
          </w:p>
        </w:tc>
        <w:tc>
          <w:tcPr>
            <w:tcW w:w="59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C45C6D" w14:textId="77777777" w:rsidR="00286109" w:rsidRDefault="00AA7305">
            <w:pPr>
              <w:widowControl w:val="0"/>
              <w:contextualSpacing w:val="0"/>
              <w:rPr>
                <w:sz w:val="20"/>
                <w:szCs w:val="20"/>
              </w:rPr>
            </w:pPr>
            <w:r>
              <w:rPr>
                <w:rFonts w:ascii="Calibri" w:eastAsia="Calibri" w:hAnsi="Calibri" w:cs="Calibri"/>
              </w:rPr>
              <w:t>Estimated Cost Per Student*</w:t>
            </w: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A8016" w14:textId="77777777" w:rsidR="00286109" w:rsidRDefault="00286109">
            <w:pPr>
              <w:widowControl w:val="0"/>
              <w:contextualSpacing w:val="0"/>
              <w:rPr>
                <w:sz w:val="20"/>
                <w:szCs w:val="20"/>
              </w:rPr>
            </w:pPr>
          </w:p>
        </w:tc>
      </w:tr>
      <w:tr w:rsidR="00286109" w14:paraId="6776B6FD" w14:textId="77777777">
        <w:trPr>
          <w:trHeight w:val="600"/>
        </w:trPr>
        <w:tc>
          <w:tcPr>
            <w:tcW w:w="13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54DB8" w14:textId="77777777" w:rsidR="00286109" w:rsidRDefault="00286109">
            <w:pPr>
              <w:widowControl w:val="0"/>
              <w:contextualSpacing w:val="0"/>
              <w:rPr>
                <w:sz w:val="20"/>
                <w:szCs w:val="20"/>
              </w:rPr>
            </w:pPr>
          </w:p>
        </w:tc>
        <w:tc>
          <w:tcPr>
            <w:tcW w:w="59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36AC6" w14:textId="77777777" w:rsidR="00286109" w:rsidRDefault="00AA7305">
            <w:pPr>
              <w:widowControl w:val="0"/>
              <w:contextualSpacing w:val="0"/>
              <w:rPr>
                <w:sz w:val="20"/>
                <w:szCs w:val="20"/>
              </w:rPr>
            </w:pPr>
            <w:r>
              <w:rPr>
                <w:rFonts w:ascii="Calibri" w:eastAsia="Calibri" w:hAnsi="Calibri" w:cs="Calibri"/>
                <w:color w:val="FF0000"/>
              </w:rPr>
              <w:t>The books can be used multiple times, so it will be lower than the data shows.</w:t>
            </w:r>
          </w:p>
        </w:tc>
        <w:tc>
          <w:tcPr>
            <w:tcW w:w="205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43374" w14:textId="77777777" w:rsidR="00286109" w:rsidRDefault="00286109">
            <w:pPr>
              <w:widowControl w:val="0"/>
              <w:contextualSpacing w:val="0"/>
              <w:rPr>
                <w:sz w:val="20"/>
                <w:szCs w:val="20"/>
              </w:rPr>
            </w:pPr>
          </w:p>
        </w:tc>
      </w:tr>
    </w:tbl>
    <w:p w14:paraId="5056FD8C" w14:textId="77777777" w:rsidR="00286109" w:rsidRDefault="00286109">
      <w:pPr>
        <w:contextualSpacing w:val="0"/>
        <w:rPr>
          <w:rFonts w:ascii="Times New Roman" w:eastAsia="Times New Roman" w:hAnsi="Times New Roman" w:cs="Times New Roman"/>
          <w:color w:val="222222"/>
          <w:highlight w:val="white"/>
        </w:rPr>
      </w:pPr>
    </w:p>
    <w:p w14:paraId="3449C471" w14:textId="42E9007C" w:rsidR="00286109" w:rsidRPr="004951B8" w:rsidRDefault="00AA7305">
      <w:pPr>
        <w:contextualSpacing w:val="0"/>
        <w:rPr>
          <w:rFonts w:eastAsia="Times New Roman"/>
          <w:b/>
          <w:sz w:val="20"/>
          <w:szCs w:val="20"/>
        </w:rPr>
      </w:pPr>
      <w:r w:rsidRPr="004951B8">
        <w:rPr>
          <w:rFonts w:eastAsia="Times New Roman"/>
          <w:b/>
          <w:sz w:val="20"/>
          <w:szCs w:val="20"/>
        </w:rPr>
        <w:t>Indicate if students will be charged any fees for participation in the project.</w:t>
      </w:r>
    </w:p>
    <w:p w14:paraId="2115DF94" w14:textId="2365C688" w:rsidR="00286109" w:rsidRPr="004951B8" w:rsidRDefault="00AA7305">
      <w:pPr>
        <w:contextualSpacing w:val="0"/>
        <w:rPr>
          <w:rFonts w:eastAsia="Times New Roman"/>
          <w:color w:val="222222"/>
          <w:sz w:val="20"/>
          <w:szCs w:val="20"/>
          <w:highlight w:val="white"/>
        </w:rPr>
      </w:pPr>
      <w:r w:rsidRPr="004951B8">
        <w:rPr>
          <w:rFonts w:eastAsia="Times New Roman"/>
          <w:color w:val="222222"/>
          <w:sz w:val="20"/>
          <w:szCs w:val="20"/>
          <w:highlight w:val="white"/>
        </w:rPr>
        <w:lastRenderedPageBreak/>
        <w:t>no fees</w:t>
      </w:r>
      <w:r w:rsidRPr="004951B8">
        <w:rPr>
          <w:rFonts w:eastAsia="Times New Roman"/>
          <w:color w:val="222222"/>
          <w:sz w:val="20"/>
          <w:szCs w:val="20"/>
          <w:highlight w:val="white"/>
        </w:rPr>
        <w:br/>
      </w:r>
    </w:p>
    <w:p w14:paraId="5F2EFA58" w14:textId="77777777" w:rsidR="00286109" w:rsidRPr="004951B8" w:rsidRDefault="00AA7305">
      <w:pPr>
        <w:contextualSpacing w:val="0"/>
        <w:rPr>
          <w:rFonts w:eastAsia="Times New Roman"/>
          <w:b/>
          <w:sz w:val="20"/>
          <w:szCs w:val="20"/>
        </w:rPr>
      </w:pPr>
      <w:r w:rsidRPr="004951B8">
        <w:rPr>
          <w:rFonts w:eastAsia="Times New Roman"/>
          <w:b/>
          <w:sz w:val="20"/>
          <w:szCs w:val="20"/>
        </w:rPr>
        <w:t>If you are awarded funding for your project, explain how you will publicly acknowledge the financial support provided by District 279 Foundation.</w:t>
      </w:r>
    </w:p>
    <w:p w14:paraId="2846EA0C" w14:textId="2F295809" w:rsidR="00286109" w:rsidRPr="004951B8" w:rsidRDefault="00AA7305">
      <w:pPr>
        <w:contextualSpacing w:val="0"/>
        <w:rPr>
          <w:rFonts w:eastAsia="Times New Roman"/>
          <w:sz w:val="20"/>
          <w:szCs w:val="20"/>
          <w:highlight w:val="white"/>
        </w:rPr>
      </w:pPr>
      <w:r w:rsidRPr="004951B8">
        <w:rPr>
          <w:sz w:val="20"/>
          <w:szCs w:val="20"/>
          <w:highlight w:val="white"/>
        </w:rPr>
        <w:t>Book stamps in the books</w:t>
      </w:r>
      <w:r w:rsidRPr="004951B8">
        <w:rPr>
          <w:sz w:val="20"/>
          <w:szCs w:val="20"/>
          <w:highlight w:val="white"/>
        </w:rPr>
        <w:br/>
      </w:r>
      <w:r w:rsidR="00923060" w:rsidRPr="004951B8">
        <w:rPr>
          <w:sz w:val="20"/>
          <w:szCs w:val="20"/>
          <w:highlight w:val="white"/>
        </w:rPr>
        <w:t>Bookmarks</w:t>
      </w:r>
      <w:r w:rsidRPr="004951B8">
        <w:rPr>
          <w:sz w:val="20"/>
          <w:szCs w:val="20"/>
          <w:highlight w:val="white"/>
        </w:rPr>
        <w:t xml:space="preserve"> for students</w:t>
      </w:r>
      <w:r w:rsidRPr="004951B8">
        <w:rPr>
          <w:sz w:val="20"/>
          <w:szCs w:val="20"/>
          <w:highlight w:val="white"/>
        </w:rPr>
        <w:br/>
        <w:t>Parent Newsletter regarding experience and invitation to speak/share</w:t>
      </w:r>
      <w:r w:rsidR="004951B8" w:rsidRPr="004951B8">
        <w:rPr>
          <w:sz w:val="20"/>
          <w:szCs w:val="20"/>
          <w:highlight w:val="white"/>
        </w:rPr>
        <w:t xml:space="preserve">. </w:t>
      </w:r>
      <w:r w:rsidRPr="004951B8">
        <w:rPr>
          <w:sz w:val="20"/>
          <w:szCs w:val="20"/>
          <w:highlight w:val="white"/>
        </w:rPr>
        <w:t>The summative for the unit is attached (RAFT).</w:t>
      </w:r>
    </w:p>
    <w:p w14:paraId="438D8D4D" w14:textId="77777777" w:rsidR="00286109" w:rsidRPr="004951B8" w:rsidRDefault="00286109">
      <w:pPr>
        <w:contextualSpacing w:val="0"/>
        <w:rPr>
          <w:rFonts w:eastAsia="Times New Roman"/>
          <w:sz w:val="20"/>
          <w:szCs w:val="20"/>
          <w:highlight w:val="white"/>
        </w:rPr>
      </w:pPr>
    </w:p>
    <w:p w14:paraId="28728CA1" w14:textId="61DA4B6D" w:rsidR="00286109" w:rsidRPr="004951B8" w:rsidRDefault="00AA7305">
      <w:pPr>
        <w:contextualSpacing w:val="0"/>
        <w:rPr>
          <w:rFonts w:eastAsia="Times New Roman"/>
          <w:b/>
          <w:sz w:val="20"/>
          <w:szCs w:val="20"/>
        </w:rPr>
      </w:pPr>
      <w:r w:rsidRPr="004951B8">
        <w:rPr>
          <w:rFonts w:eastAsia="Times New Roman"/>
          <w:b/>
          <w:sz w:val="20"/>
          <w:szCs w:val="20"/>
        </w:rPr>
        <w:t xml:space="preserve">What are the anticipated outcomes as they relate to your curriculum and learning </w:t>
      </w:r>
      <w:r w:rsidR="004951B8" w:rsidRPr="004951B8">
        <w:rPr>
          <w:rFonts w:eastAsia="Times New Roman"/>
          <w:b/>
          <w:sz w:val="20"/>
          <w:szCs w:val="20"/>
        </w:rPr>
        <w:t xml:space="preserve">objectives? </w:t>
      </w:r>
      <w:r w:rsidRPr="004951B8">
        <w:rPr>
          <w:rFonts w:eastAsia="Times New Roman"/>
          <w:b/>
          <w:sz w:val="20"/>
          <w:szCs w:val="20"/>
        </w:rPr>
        <w:t>Describe how you will know if you achieved your intended outcomes.</w:t>
      </w:r>
    </w:p>
    <w:p w14:paraId="4D89C52B" w14:textId="127E2102" w:rsidR="00286109" w:rsidRPr="004951B8" w:rsidRDefault="00AA7305">
      <w:pPr>
        <w:contextualSpacing w:val="0"/>
        <w:rPr>
          <w:rFonts w:eastAsia="Times New Roman"/>
          <w:color w:val="222222"/>
          <w:sz w:val="20"/>
          <w:szCs w:val="20"/>
          <w:highlight w:val="white"/>
        </w:rPr>
      </w:pPr>
      <w:r w:rsidRPr="004951B8">
        <w:rPr>
          <w:rFonts w:eastAsia="Times New Roman"/>
          <w:color w:val="222222"/>
          <w:sz w:val="20"/>
          <w:szCs w:val="20"/>
          <w:highlight w:val="white"/>
        </w:rPr>
        <w:t>The summative for the unit is attached (RAFT).</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Academic Standards</w:t>
      </w:r>
      <w:r w:rsidRPr="004951B8">
        <w:rPr>
          <w:rFonts w:eastAsia="Times New Roman"/>
          <w:color w:val="222222"/>
          <w:sz w:val="20"/>
          <w:szCs w:val="20"/>
          <w:highlight w:val="white"/>
        </w:rPr>
        <w:br/>
        <w:t>7.4.1.1 Cite several pieces of textual evidence to support analysis of what the text says explicitly as well as inferences drawn from the text</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7.4.6.6 Analyze how an author develops and contrasts the points of view of different characters or narrators in a text, including those from diverse cultures.</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7.7.2.2 Write informative/explanatory texts to examine a topic and convey ideas, concepts, and information through the selection, organization, and analysis of relevant content.</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7.7.4.4 Produce clear and coherent writing in which the development, organization, and style are appropriate to task, purpose, and audience</w:t>
      </w:r>
      <w:r w:rsidRPr="004951B8">
        <w:rPr>
          <w:rFonts w:eastAsia="Times New Roman"/>
          <w:color w:val="222222"/>
          <w:sz w:val="20"/>
          <w:szCs w:val="20"/>
          <w:highlight w:val="white"/>
        </w:rPr>
        <w:br/>
        <w:t xml:space="preserve"> </w:t>
      </w:r>
      <w:r w:rsidRPr="004951B8">
        <w:rPr>
          <w:rFonts w:eastAsia="Times New Roman"/>
          <w:color w:val="222222"/>
          <w:sz w:val="20"/>
          <w:szCs w:val="20"/>
          <w:highlight w:val="white"/>
        </w:rPr>
        <w:br/>
        <w:t>Additional Outcomes:</w:t>
      </w:r>
      <w:r w:rsidRPr="004951B8">
        <w:rPr>
          <w:rFonts w:eastAsia="Times New Roman"/>
          <w:color w:val="222222"/>
          <w:sz w:val="20"/>
          <w:szCs w:val="20"/>
          <w:highlight w:val="white"/>
        </w:rPr>
        <w:br/>
        <w:t>Students will be able to recognize similarities and differences in cultures.</w:t>
      </w:r>
      <w:r w:rsidRPr="004951B8">
        <w:rPr>
          <w:rFonts w:eastAsia="Times New Roman"/>
          <w:color w:val="222222"/>
          <w:sz w:val="20"/>
          <w:szCs w:val="20"/>
          <w:highlight w:val="white"/>
        </w:rPr>
        <w:br/>
        <w:t>Students will be able to collaborate with classmates.</w:t>
      </w:r>
      <w:r w:rsidRPr="004951B8">
        <w:rPr>
          <w:rFonts w:eastAsia="Times New Roman"/>
          <w:color w:val="222222"/>
          <w:sz w:val="20"/>
          <w:szCs w:val="20"/>
          <w:highlight w:val="white"/>
        </w:rPr>
        <w:br/>
        <w:t>Students will be able to communicate effectively using the Courageous Conversation Compass.</w:t>
      </w:r>
      <w:r w:rsidRPr="004951B8">
        <w:rPr>
          <w:rFonts w:eastAsia="Times New Roman"/>
          <w:color w:val="222222"/>
          <w:sz w:val="20"/>
          <w:szCs w:val="20"/>
          <w:highlight w:val="white"/>
        </w:rPr>
        <w:br/>
        <w:t>Students will be able to reflect on their own beliefs.</w:t>
      </w:r>
      <w:r w:rsidRPr="004951B8">
        <w:rPr>
          <w:rFonts w:eastAsia="Times New Roman"/>
          <w:color w:val="222222"/>
          <w:sz w:val="20"/>
          <w:szCs w:val="20"/>
          <w:highlight w:val="white"/>
        </w:rPr>
        <w:br/>
        <w:t>Students will be able to have a better understanding of different cultures.</w:t>
      </w:r>
      <w:r w:rsidRPr="004951B8">
        <w:rPr>
          <w:rFonts w:eastAsia="Times New Roman"/>
          <w:color w:val="222222"/>
          <w:sz w:val="20"/>
          <w:szCs w:val="20"/>
          <w:highlight w:val="white"/>
        </w:rPr>
        <w:br/>
      </w:r>
      <w:r w:rsidRPr="004951B8">
        <w:rPr>
          <w:rFonts w:eastAsia="Times New Roman"/>
          <w:color w:val="222222"/>
          <w:sz w:val="20"/>
          <w:szCs w:val="20"/>
          <w:highlight w:val="white"/>
        </w:rPr>
        <w:br/>
        <w:t>LINK to Materials: (CLEAR Model and National Urban Alliance Strategies Embedded)</w:t>
      </w:r>
      <w:r w:rsidRPr="004951B8">
        <w:rPr>
          <w:rFonts w:eastAsia="Times New Roman"/>
          <w:color w:val="222222"/>
          <w:sz w:val="20"/>
          <w:szCs w:val="20"/>
          <w:highlight w:val="white"/>
        </w:rPr>
        <w:br/>
        <w:t>https://docs.google.com/document/d/1o9_eQMdqCwF8LmMbcFB_yGKNMm2tpHpKd96HeCCbLK0/edit?usp=sharing</w:t>
      </w:r>
    </w:p>
    <w:p w14:paraId="395DE3CE" w14:textId="77777777" w:rsidR="00286109" w:rsidRPr="004951B8" w:rsidRDefault="00286109">
      <w:pPr>
        <w:contextualSpacing w:val="0"/>
        <w:rPr>
          <w:rFonts w:eastAsia="Times New Roman"/>
          <w:color w:val="222222"/>
          <w:sz w:val="20"/>
          <w:szCs w:val="20"/>
          <w:highlight w:val="white"/>
        </w:rPr>
      </w:pPr>
    </w:p>
    <w:p w14:paraId="61F91FDD" w14:textId="77777777" w:rsidR="00286109" w:rsidRPr="004951B8" w:rsidRDefault="00AA7305">
      <w:pPr>
        <w:contextualSpacing w:val="0"/>
        <w:rPr>
          <w:rFonts w:eastAsia="Times New Roman"/>
          <w:b/>
          <w:sz w:val="20"/>
          <w:szCs w:val="20"/>
        </w:rPr>
      </w:pPr>
      <w:r w:rsidRPr="004951B8">
        <w:rPr>
          <w:rFonts w:eastAsia="Times New Roman"/>
          <w:b/>
          <w:sz w:val="20"/>
          <w:szCs w:val="20"/>
        </w:rPr>
        <w:t>Principal/Site Leader/CIES Information</w:t>
      </w:r>
    </w:p>
    <w:p w14:paraId="2D484CCF" w14:textId="77777777" w:rsidR="00286109" w:rsidRPr="004951B8" w:rsidRDefault="00AA7305">
      <w:pPr>
        <w:contextualSpacing w:val="0"/>
        <w:rPr>
          <w:rFonts w:eastAsia="Times New Roman"/>
          <w:b/>
          <w:sz w:val="20"/>
          <w:szCs w:val="20"/>
        </w:rPr>
      </w:pPr>
      <w:r w:rsidRPr="004951B8">
        <w:rPr>
          <w:rFonts w:eastAsia="Times New Roman"/>
          <w:b/>
          <w:sz w:val="20"/>
          <w:szCs w:val="20"/>
        </w:rPr>
        <w:t>Name of Principal/Sitel Leader:</w:t>
      </w:r>
    </w:p>
    <w:p w14:paraId="49B76DC7"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Lisa Hartman</w:t>
      </w:r>
    </w:p>
    <w:p w14:paraId="1CFB3733" w14:textId="77777777" w:rsidR="00286109" w:rsidRPr="004951B8" w:rsidRDefault="00286109">
      <w:pPr>
        <w:contextualSpacing w:val="0"/>
        <w:rPr>
          <w:rFonts w:eastAsia="Times New Roman"/>
          <w:sz w:val="20"/>
          <w:szCs w:val="20"/>
        </w:rPr>
      </w:pPr>
    </w:p>
    <w:p w14:paraId="6C815313" w14:textId="77777777" w:rsidR="00286109" w:rsidRPr="004951B8" w:rsidRDefault="00AA7305">
      <w:pPr>
        <w:contextualSpacing w:val="0"/>
        <w:rPr>
          <w:rFonts w:eastAsia="Times New Roman"/>
          <w:b/>
          <w:sz w:val="20"/>
          <w:szCs w:val="20"/>
        </w:rPr>
      </w:pPr>
      <w:r w:rsidRPr="004951B8">
        <w:rPr>
          <w:rFonts w:eastAsia="Times New Roman"/>
          <w:b/>
          <w:sz w:val="20"/>
          <w:szCs w:val="20"/>
        </w:rPr>
        <w:t>Email Principal/Site Leader:</w:t>
      </w:r>
    </w:p>
    <w:p w14:paraId="385CFEE8"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hartmanl@district279.org</w:t>
      </w:r>
    </w:p>
    <w:p w14:paraId="62ABDF9F" w14:textId="77777777" w:rsidR="00286109" w:rsidRPr="004951B8" w:rsidRDefault="00286109">
      <w:pPr>
        <w:contextualSpacing w:val="0"/>
        <w:rPr>
          <w:rFonts w:eastAsia="Times New Roman"/>
          <w:sz w:val="20"/>
          <w:szCs w:val="20"/>
        </w:rPr>
      </w:pPr>
    </w:p>
    <w:p w14:paraId="76AED2B1" w14:textId="77777777" w:rsidR="00286109" w:rsidRPr="004951B8" w:rsidRDefault="00AA7305">
      <w:pPr>
        <w:contextualSpacing w:val="0"/>
        <w:rPr>
          <w:rFonts w:eastAsia="Times New Roman"/>
          <w:b/>
          <w:sz w:val="20"/>
          <w:szCs w:val="20"/>
        </w:rPr>
      </w:pPr>
      <w:r w:rsidRPr="004951B8">
        <w:rPr>
          <w:rFonts w:eastAsia="Times New Roman"/>
          <w:b/>
          <w:sz w:val="20"/>
          <w:szCs w:val="20"/>
        </w:rPr>
        <w:t>Name of CIES:</w:t>
      </w:r>
    </w:p>
    <w:p w14:paraId="2BD5BAC7" w14:textId="77777777" w:rsidR="00286109" w:rsidRPr="004951B8" w:rsidRDefault="00AA7305">
      <w:pPr>
        <w:contextualSpacing w:val="0"/>
        <w:rPr>
          <w:rFonts w:eastAsia="Times New Roman"/>
          <w:sz w:val="20"/>
          <w:szCs w:val="20"/>
        </w:rPr>
      </w:pPr>
      <w:r w:rsidRPr="004951B8">
        <w:rPr>
          <w:rFonts w:eastAsia="Times New Roman"/>
          <w:color w:val="222222"/>
          <w:sz w:val="20"/>
          <w:szCs w:val="20"/>
          <w:highlight w:val="white"/>
        </w:rPr>
        <w:t>Jill Kind</w:t>
      </w:r>
    </w:p>
    <w:p w14:paraId="416B1C1D" w14:textId="77777777" w:rsidR="00286109" w:rsidRPr="004951B8" w:rsidRDefault="00286109">
      <w:pPr>
        <w:contextualSpacing w:val="0"/>
        <w:rPr>
          <w:rFonts w:eastAsia="Times New Roman"/>
          <w:sz w:val="20"/>
          <w:szCs w:val="20"/>
        </w:rPr>
      </w:pPr>
    </w:p>
    <w:p w14:paraId="45226ABD" w14:textId="77777777" w:rsidR="00286109" w:rsidRPr="004951B8" w:rsidRDefault="00AA7305">
      <w:pPr>
        <w:contextualSpacing w:val="0"/>
        <w:rPr>
          <w:rFonts w:eastAsia="Times New Roman"/>
          <w:b/>
          <w:sz w:val="20"/>
          <w:szCs w:val="20"/>
        </w:rPr>
      </w:pPr>
      <w:r w:rsidRPr="004951B8">
        <w:rPr>
          <w:rFonts w:eastAsia="Times New Roman"/>
          <w:b/>
          <w:sz w:val="20"/>
          <w:szCs w:val="20"/>
        </w:rPr>
        <w:t>Email for CIES:</w:t>
      </w:r>
    </w:p>
    <w:p w14:paraId="72E3C4EE" w14:textId="28F1578B" w:rsidR="00286109" w:rsidRPr="004951B8" w:rsidRDefault="004951B8">
      <w:pPr>
        <w:contextualSpacing w:val="0"/>
        <w:rPr>
          <w:rFonts w:eastAsia="Times New Roman"/>
          <w:b/>
          <w:sz w:val="20"/>
          <w:szCs w:val="20"/>
        </w:rPr>
      </w:pPr>
      <w:hyperlink r:id="rId7" w:history="1">
        <w:r w:rsidRPr="004951B8">
          <w:rPr>
            <w:rStyle w:val="Hyperlink"/>
            <w:rFonts w:eastAsia="Times New Roman"/>
            <w:sz w:val="20"/>
            <w:szCs w:val="20"/>
            <w:highlight w:val="white"/>
          </w:rPr>
          <w:t>Kindj@district279.org</w:t>
        </w:r>
      </w:hyperlink>
      <w:r w:rsidRPr="004951B8">
        <w:rPr>
          <w:rFonts w:eastAsia="Times New Roman"/>
          <w:color w:val="222222"/>
          <w:sz w:val="20"/>
          <w:szCs w:val="20"/>
        </w:rPr>
        <w:t xml:space="preserve"> </w:t>
      </w:r>
    </w:p>
    <w:sectPr w:rsidR="00286109" w:rsidRPr="004951B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0ECF" w14:textId="77777777" w:rsidR="004B5123" w:rsidRDefault="004B5123" w:rsidP="004B5123">
      <w:pPr>
        <w:spacing w:line="240" w:lineRule="auto"/>
      </w:pPr>
      <w:r>
        <w:separator/>
      </w:r>
    </w:p>
  </w:endnote>
  <w:endnote w:type="continuationSeparator" w:id="0">
    <w:p w14:paraId="02E60BCE" w14:textId="77777777" w:rsidR="004B5123" w:rsidRDefault="004B5123" w:rsidP="004B5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2883" w14:textId="77777777" w:rsidR="004B5123" w:rsidRDefault="004B5123" w:rsidP="004B5123">
      <w:pPr>
        <w:spacing w:line="240" w:lineRule="auto"/>
      </w:pPr>
      <w:r>
        <w:separator/>
      </w:r>
    </w:p>
  </w:footnote>
  <w:footnote w:type="continuationSeparator" w:id="0">
    <w:p w14:paraId="0946FF1C" w14:textId="77777777" w:rsidR="004B5123" w:rsidRDefault="004B5123" w:rsidP="004B51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C72F9"/>
    <w:multiLevelType w:val="hybridMultilevel"/>
    <w:tmpl w:val="2704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09"/>
    <w:rsid w:val="00286109"/>
    <w:rsid w:val="004951B8"/>
    <w:rsid w:val="004B5123"/>
    <w:rsid w:val="004D21E1"/>
    <w:rsid w:val="00923060"/>
    <w:rsid w:val="00AA7305"/>
    <w:rsid w:val="00B6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F371"/>
  <w15:docId w15:val="{5CCB2E86-7FA2-40FA-B97C-C997DF03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D21E1"/>
    <w:pPr>
      <w:ind w:left="720"/>
    </w:pPr>
  </w:style>
  <w:style w:type="paragraph" w:styleId="NoSpacing">
    <w:name w:val="No Spacing"/>
    <w:uiPriority w:val="1"/>
    <w:qFormat/>
    <w:rsid w:val="00B64DAD"/>
    <w:pPr>
      <w:spacing w:line="240" w:lineRule="auto"/>
    </w:pPr>
  </w:style>
  <w:style w:type="character" w:styleId="Hyperlink">
    <w:name w:val="Hyperlink"/>
    <w:basedOn w:val="DefaultParagraphFont"/>
    <w:uiPriority w:val="99"/>
    <w:unhideWhenUsed/>
    <w:rsid w:val="004951B8"/>
    <w:rPr>
      <w:color w:val="0000FF" w:themeColor="hyperlink"/>
      <w:u w:val="single"/>
    </w:rPr>
  </w:style>
  <w:style w:type="character" w:styleId="UnresolvedMention">
    <w:name w:val="Unresolved Mention"/>
    <w:basedOn w:val="DefaultParagraphFont"/>
    <w:uiPriority w:val="99"/>
    <w:semiHidden/>
    <w:unhideWhenUsed/>
    <w:rsid w:val="0049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dj@district279.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ISD 279</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Debra (ESC)</dc:creator>
  <cp:lastModifiedBy>Wineland, Susan (ISD279)</cp:lastModifiedBy>
  <cp:revision>3</cp:revision>
  <dcterms:created xsi:type="dcterms:W3CDTF">2021-10-18T19:13:00Z</dcterms:created>
  <dcterms:modified xsi:type="dcterms:W3CDTF">2021-10-18T19:22:00Z</dcterms:modified>
</cp:coreProperties>
</file>