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FFAA" w14:textId="4CC669EF" w:rsidR="00CD44D1" w:rsidRPr="004C5F7C" w:rsidRDefault="00BC5BAA" w:rsidP="004C5F7C">
      <w:pPr>
        <w:shd w:val="clear" w:color="auto" w:fill="FFFFFF"/>
        <w:spacing w:after="0" w:line="240" w:lineRule="auto"/>
        <w:ind w:left="630" w:hanging="720"/>
        <w:outlineLvl w:val="1"/>
        <w:rPr>
          <w:rFonts w:asciiTheme="majorHAnsi" w:eastAsia="Times New Roman" w:hAnsiTheme="majorHAnsi" w:cstheme="majorHAnsi"/>
          <w:b/>
          <w:bCs/>
          <w:i/>
          <w:color w:val="212121"/>
        </w:rPr>
      </w:pPr>
      <w:r>
        <w:rPr>
          <w:noProof/>
        </w:rPr>
        <w:drawing>
          <wp:inline distT="0" distB="0" distL="0" distR="0" wp14:anchorId="4B245448" wp14:editId="6C93CAD9">
            <wp:extent cx="557977" cy="528320"/>
            <wp:effectExtent l="0" t="0" r="0" b="5080"/>
            <wp:docPr id="2" name="Picture 2" descr="https://www.epa.gov/sites/production/files/2013-06/epa_seal_verysmall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pa.gov/sites/production/files/2013-06/epa_seal_verysmall_tri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83" cy="543191"/>
                    </a:xfrm>
                    <a:prstGeom prst="rect">
                      <a:avLst/>
                    </a:prstGeom>
                    <a:noFill/>
                    <a:ln>
                      <a:noFill/>
                    </a:ln>
                  </pic:spPr>
                </pic:pic>
              </a:graphicData>
            </a:graphic>
          </wp:inline>
        </w:drawing>
      </w:r>
      <w:r w:rsidR="00CD44D1">
        <w:rPr>
          <w:rFonts w:asciiTheme="majorHAnsi" w:eastAsia="Times New Roman" w:hAnsiTheme="majorHAnsi" w:cstheme="majorHAnsi"/>
          <w:b/>
          <w:bCs/>
          <w:i/>
          <w:color w:val="212121"/>
        </w:rPr>
        <w:t xml:space="preserve">   </w:t>
      </w:r>
    </w:p>
    <w:p w14:paraId="1595FFF1" w14:textId="77777777" w:rsidR="00322956" w:rsidRDefault="00322956" w:rsidP="00BC5BAA">
      <w:pPr>
        <w:shd w:val="clear" w:color="auto" w:fill="FFFFFF"/>
        <w:spacing w:after="0" w:line="240" w:lineRule="auto"/>
        <w:rPr>
          <w:rFonts w:asciiTheme="majorHAnsi" w:eastAsia="Times New Roman" w:hAnsiTheme="majorHAnsi" w:cstheme="majorHAnsi"/>
          <w:bCs/>
          <w:color w:val="212121"/>
        </w:rPr>
      </w:pPr>
    </w:p>
    <w:p w14:paraId="1CBB7860" w14:textId="4FDCFCB0" w:rsidR="00196D20" w:rsidRPr="00322956" w:rsidRDefault="00322956" w:rsidP="00BC5BAA">
      <w:pPr>
        <w:shd w:val="clear" w:color="auto" w:fill="FFFFFF"/>
        <w:spacing w:after="0" w:line="240" w:lineRule="auto"/>
        <w:rPr>
          <w:rFonts w:asciiTheme="majorHAnsi" w:eastAsia="Times New Roman" w:hAnsiTheme="majorHAnsi" w:cstheme="majorHAnsi"/>
          <w:bCs/>
          <w:color w:val="212121"/>
        </w:rPr>
      </w:pPr>
      <w:r w:rsidRPr="00322956">
        <w:rPr>
          <w:rFonts w:asciiTheme="majorHAnsi" w:eastAsia="Times New Roman" w:hAnsiTheme="majorHAnsi" w:cstheme="majorHAnsi"/>
          <w:bCs/>
          <w:color w:val="212121"/>
        </w:rPr>
        <w:t>America's Water Infrastructure Act (AWIA) was signed into law</w:t>
      </w:r>
      <w:r w:rsidR="007B23C7">
        <w:rPr>
          <w:rFonts w:asciiTheme="majorHAnsi" w:eastAsia="Times New Roman" w:hAnsiTheme="majorHAnsi" w:cstheme="majorHAnsi"/>
          <w:bCs/>
          <w:color w:val="212121"/>
        </w:rPr>
        <w:t xml:space="preserve"> in October 2018</w:t>
      </w:r>
      <w:r w:rsidRPr="00322956">
        <w:rPr>
          <w:rFonts w:asciiTheme="majorHAnsi" w:eastAsia="Times New Roman" w:hAnsiTheme="majorHAnsi" w:cstheme="majorHAnsi"/>
          <w:bCs/>
          <w:color w:val="212121"/>
        </w:rPr>
        <w:t xml:space="preserve">. </w:t>
      </w:r>
      <w:r w:rsidR="00C51C17">
        <w:rPr>
          <w:rFonts w:asciiTheme="majorHAnsi" w:eastAsia="Times New Roman" w:hAnsiTheme="majorHAnsi" w:cstheme="majorHAnsi"/>
          <w:bCs/>
          <w:color w:val="212121"/>
        </w:rPr>
        <w:t xml:space="preserve"> </w:t>
      </w:r>
      <w:r w:rsidRPr="00322956">
        <w:rPr>
          <w:rFonts w:asciiTheme="majorHAnsi" w:eastAsia="Times New Roman" w:hAnsiTheme="majorHAnsi" w:cstheme="majorHAnsi"/>
          <w:bCs/>
          <w:color w:val="212121"/>
        </w:rPr>
        <w:t>AWIA Section 2013 requires community drinking</w:t>
      </w:r>
      <w:r>
        <w:rPr>
          <w:rFonts w:asciiTheme="majorHAnsi" w:eastAsia="Times New Roman" w:hAnsiTheme="majorHAnsi" w:cstheme="majorHAnsi"/>
          <w:bCs/>
          <w:color w:val="212121"/>
        </w:rPr>
        <w:t xml:space="preserve"> </w:t>
      </w:r>
      <w:r w:rsidRPr="00322956">
        <w:rPr>
          <w:rFonts w:asciiTheme="majorHAnsi" w:eastAsia="Times New Roman" w:hAnsiTheme="majorHAnsi" w:cstheme="majorHAnsi"/>
          <w:bCs/>
          <w:color w:val="212121"/>
        </w:rPr>
        <w:t xml:space="preserve">water systems serving more than 3,300 people to develop or update risk assessments and emergency response plans (ERPs). </w:t>
      </w:r>
      <w:r w:rsidR="00C51C17">
        <w:rPr>
          <w:rFonts w:asciiTheme="majorHAnsi" w:eastAsia="Times New Roman" w:hAnsiTheme="majorHAnsi" w:cstheme="majorHAnsi"/>
          <w:bCs/>
          <w:color w:val="212121"/>
        </w:rPr>
        <w:t xml:space="preserve"> </w:t>
      </w:r>
      <w:r w:rsidRPr="00322956">
        <w:rPr>
          <w:rFonts w:asciiTheme="majorHAnsi" w:eastAsia="Times New Roman" w:hAnsiTheme="majorHAnsi" w:cstheme="majorHAnsi"/>
          <w:bCs/>
          <w:color w:val="212121"/>
        </w:rPr>
        <w:t>The law specifies the components that the risk assessments and ERPs must address</w:t>
      </w:r>
      <w:r>
        <w:rPr>
          <w:rFonts w:asciiTheme="majorHAnsi" w:eastAsia="Times New Roman" w:hAnsiTheme="majorHAnsi" w:cstheme="majorHAnsi"/>
          <w:bCs/>
          <w:color w:val="212121"/>
        </w:rPr>
        <w:t xml:space="preserve"> </w:t>
      </w:r>
      <w:r w:rsidRPr="00322956">
        <w:rPr>
          <w:rFonts w:asciiTheme="majorHAnsi" w:eastAsia="Times New Roman" w:hAnsiTheme="majorHAnsi" w:cstheme="majorHAnsi"/>
          <w:bCs/>
          <w:color w:val="212121"/>
        </w:rPr>
        <w:t xml:space="preserve">and establishes deadlines by which water systems must certify to EPA completion of the risk assessment and </w:t>
      </w:r>
      <w:r w:rsidR="00C419A2">
        <w:rPr>
          <w:rFonts w:asciiTheme="majorHAnsi" w:eastAsia="Times New Roman" w:hAnsiTheme="majorHAnsi" w:cstheme="majorHAnsi"/>
          <w:bCs/>
          <w:color w:val="212121"/>
        </w:rPr>
        <w:t xml:space="preserve">the </w:t>
      </w:r>
      <w:r w:rsidRPr="00322956">
        <w:rPr>
          <w:rFonts w:asciiTheme="majorHAnsi" w:eastAsia="Times New Roman" w:hAnsiTheme="majorHAnsi" w:cstheme="majorHAnsi"/>
          <w:bCs/>
          <w:color w:val="212121"/>
        </w:rPr>
        <w:t>ERP.</w:t>
      </w:r>
    </w:p>
    <w:p w14:paraId="6EC5366C" w14:textId="77777777" w:rsidR="00322956" w:rsidRDefault="00322956" w:rsidP="00BC5BAA">
      <w:pPr>
        <w:shd w:val="clear" w:color="auto" w:fill="FFFFFF"/>
        <w:spacing w:after="0" w:line="240" w:lineRule="auto"/>
        <w:rPr>
          <w:rFonts w:asciiTheme="majorHAnsi" w:eastAsia="Times New Roman" w:hAnsiTheme="majorHAnsi" w:cstheme="majorHAnsi"/>
          <w:b/>
          <w:color w:val="212121"/>
        </w:rPr>
      </w:pPr>
    </w:p>
    <w:p w14:paraId="79A2317B" w14:textId="77BD33B7" w:rsidR="00196D20" w:rsidRDefault="002E7CA8" w:rsidP="00BC5BAA">
      <w:pPr>
        <w:shd w:val="clear" w:color="auto" w:fill="FFFFFF"/>
        <w:spacing w:after="0" w:line="240" w:lineRule="auto"/>
        <w:rPr>
          <w:rFonts w:asciiTheme="majorHAnsi" w:eastAsia="Times New Roman" w:hAnsiTheme="majorHAnsi" w:cstheme="majorHAnsi"/>
          <w:b/>
          <w:color w:val="212121"/>
        </w:rPr>
      </w:pPr>
      <w:r>
        <w:rPr>
          <w:rFonts w:asciiTheme="majorHAnsi" w:eastAsia="Times New Roman" w:hAnsiTheme="majorHAnsi" w:cstheme="majorHAnsi"/>
          <w:b/>
          <w:color w:val="212121"/>
        </w:rPr>
        <w:t>REMINDER</w:t>
      </w:r>
      <w:r w:rsidR="00196D20">
        <w:rPr>
          <w:rFonts w:asciiTheme="majorHAnsi" w:eastAsia="Times New Roman" w:hAnsiTheme="majorHAnsi" w:cstheme="majorHAnsi"/>
          <w:b/>
          <w:color w:val="212121"/>
        </w:rPr>
        <w:t>S</w:t>
      </w:r>
      <w:r w:rsidR="00322956">
        <w:rPr>
          <w:rFonts w:asciiTheme="majorHAnsi" w:eastAsia="Times New Roman" w:hAnsiTheme="majorHAnsi" w:cstheme="majorHAnsi"/>
          <w:b/>
          <w:color w:val="212121"/>
        </w:rPr>
        <w:t xml:space="preserve"> OF DEADLINES</w:t>
      </w:r>
      <w:r>
        <w:rPr>
          <w:rFonts w:asciiTheme="majorHAnsi" w:eastAsia="Times New Roman" w:hAnsiTheme="majorHAnsi" w:cstheme="majorHAnsi"/>
          <w:b/>
          <w:color w:val="212121"/>
        </w:rPr>
        <w:t xml:space="preserve">: </w:t>
      </w:r>
    </w:p>
    <w:p w14:paraId="5D3A6198" w14:textId="58C8071E" w:rsidR="004C5F7C" w:rsidRDefault="004C5F7C" w:rsidP="00BC5BAA">
      <w:pPr>
        <w:shd w:val="clear" w:color="auto" w:fill="FFFFFF"/>
        <w:spacing w:after="0" w:line="240" w:lineRule="auto"/>
        <w:rPr>
          <w:rFonts w:asciiTheme="majorHAnsi" w:eastAsia="Times New Roman" w:hAnsiTheme="majorHAnsi" w:cstheme="majorHAnsi"/>
          <w:color w:val="212121"/>
        </w:rPr>
      </w:pPr>
      <w:r w:rsidRPr="004C5F7C">
        <w:rPr>
          <w:rFonts w:asciiTheme="majorHAnsi" w:eastAsia="Times New Roman" w:hAnsiTheme="majorHAnsi" w:cstheme="majorHAnsi"/>
          <w:b/>
          <w:color w:val="212121"/>
        </w:rPr>
        <w:t>Risk</w:t>
      </w:r>
      <w:r>
        <w:rPr>
          <w:rFonts w:asciiTheme="majorHAnsi" w:eastAsia="Times New Roman" w:hAnsiTheme="majorHAnsi" w:cstheme="majorHAnsi"/>
          <w:color w:val="212121"/>
        </w:rPr>
        <w:t xml:space="preserve"> </w:t>
      </w:r>
      <w:r w:rsidRPr="00BC5BAA">
        <w:rPr>
          <w:rFonts w:asciiTheme="majorHAnsi" w:eastAsia="Times New Roman" w:hAnsiTheme="majorHAnsi" w:cstheme="majorHAnsi"/>
          <w:b/>
          <w:bCs/>
          <w:color w:val="212121"/>
        </w:rPr>
        <w:t>and Resilience Assessment</w:t>
      </w:r>
      <w:r w:rsidR="00C419A2">
        <w:rPr>
          <w:rFonts w:asciiTheme="majorHAnsi" w:eastAsia="Times New Roman" w:hAnsiTheme="majorHAnsi" w:cstheme="majorHAnsi"/>
          <w:b/>
          <w:bCs/>
          <w:color w:val="212121"/>
        </w:rPr>
        <w:t>s</w:t>
      </w:r>
    </w:p>
    <w:p w14:paraId="23BEE4BA" w14:textId="5EDFCB40" w:rsidR="004C5F7C" w:rsidRDefault="00196D20" w:rsidP="00BC5BAA">
      <w:pPr>
        <w:shd w:val="clear" w:color="auto" w:fill="FFFFFF"/>
        <w:spacing w:after="0" w:line="240" w:lineRule="auto"/>
        <w:rPr>
          <w:rFonts w:asciiTheme="majorHAnsi" w:eastAsia="Times New Roman" w:hAnsiTheme="majorHAnsi" w:cstheme="majorHAnsi"/>
          <w:color w:val="212121"/>
        </w:rPr>
      </w:pPr>
      <w:r w:rsidRPr="00BC5BAA">
        <w:rPr>
          <w:rFonts w:asciiTheme="majorHAnsi" w:eastAsia="Times New Roman" w:hAnsiTheme="majorHAnsi" w:cstheme="majorHAnsi"/>
          <w:color w:val="212121"/>
        </w:rPr>
        <w:t>Each community water system serving a population of greater than 3,300 persons shall assess the risks to, and resilience of, its system.</w:t>
      </w:r>
    </w:p>
    <w:p w14:paraId="40DA805B" w14:textId="77777777" w:rsidR="00CD44D1" w:rsidRPr="001D0924" w:rsidRDefault="00CD44D1" w:rsidP="00BC5BAA">
      <w:pPr>
        <w:shd w:val="clear" w:color="auto" w:fill="FFFFFF"/>
        <w:spacing w:after="0" w:line="240" w:lineRule="auto"/>
        <w:rPr>
          <w:rFonts w:asciiTheme="majorHAnsi" w:eastAsia="Times New Roman" w:hAnsiTheme="majorHAnsi" w:cstheme="majorHAnsi"/>
          <w:b/>
          <w:color w:val="212121"/>
        </w:rPr>
      </w:pPr>
    </w:p>
    <w:tbl>
      <w:tblPr>
        <w:tblStyle w:val="TableGrid"/>
        <w:tblW w:w="0" w:type="auto"/>
        <w:jc w:val="center"/>
        <w:tblLook w:val="04A0" w:firstRow="1" w:lastRow="0" w:firstColumn="1" w:lastColumn="0" w:noHBand="0" w:noVBand="1"/>
      </w:tblPr>
      <w:tblGrid>
        <w:gridCol w:w="2490"/>
        <w:gridCol w:w="3870"/>
      </w:tblGrid>
      <w:tr w:rsidR="00CD44D1" w:rsidRPr="00FD7A66" w14:paraId="737F6DD3" w14:textId="77777777" w:rsidTr="00BE446E">
        <w:trPr>
          <w:jc w:val="center"/>
        </w:trPr>
        <w:tc>
          <w:tcPr>
            <w:tcW w:w="2490" w:type="dxa"/>
            <w:vAlign w:val="center"/>
          </w:tcPr>
          <w:p w14:paraId="197AF050" w14:textId="77777777" w:rsidR="00CD44D1" w:rsidRPr="00FD7A66" w:rsidRDefault="00CD44D1" w:rsidP="006F67B4">
            <w:pPr>
              <w:jc w:val="center"/>
              <w:rPr>
                <w:rFonts w:asciiTheme="majorHAnsi" w:hAnsiTheme="majorHAnsi" w:cstheme="majorHAnsi"/>
                <w:b/>
                <w:sz w:val="28"/>
              </w:rPr>
            </w:pPr>
            <w:bookmarkStart w:id="0" w:name="_Hlk40857049"/>
            <w:r w:rsidRPr="00FD7A66">
              <w:rPr>
                <w:rFonts w:asciiTheme="majorHAnsi" w:hAnsiTheme="majorHAnsi" w:cstheme="majorHAnsi"/>
                <w:b/>
                <w:sz w:val="28"/>
              </w:rPr>
              <w:t>Population Served</w:t>
            </w:r>
          </w:p>
        </w:tc>
        <w:tc>
          <w:tcPr>
            <w:tcW w:w="3870" w:type="dxa"/>
            <w:vAlign w:val="center"/>
          </w:tcPr>
          <w:p w14:paraId="1C61EAF5" w14:textId="10410EDF" w:rsidR="00CD44D1" w:rsidRPr="00FD7A66" w:rsidRDefault="00196D20" w:rsidP="006F67B4">
            <w:pPr>
              <w:jc w:val="center"/>
              <w:rPr>
                <w:rFonts w:asciiTheme="majorHAnsi" w:hAnsiTheme="majorHAnsi" w:cstheme="majorHAnsi"/>
                <w:b/>
                <w:sz w:val="28"/>
              </w:rPr>
            </w:pPr>
            <w:r>
              <w:rPr>
                <w:rFonts w:asciiTheme="majorHAnsi" w:hAnsiTheme="majorHAnsi" w:cstheme="majorHAnsi"/>
                <w:b/>
                <w:sz w:val="28"/>
              </w:rPr>
              <w:t xml:space="preserve">Certification </w:t>
            </w:r>
            <w:r w:rsidR="00CD44D1" w:rsidRPr="00FD7A66">
              <w:rPr>
                <w:rFonts w:asciiTheme="majorHAnsi" w:hAnsiTheme="majorHAnsi" w:cstheme="majorHAnsi"/>
                <w:b/>
                <w:sz w:val="28"/>
              </w:rPr>
              <w:t>Deadlines</w:t>
            </w:r>
          </w:p>
        </w:tc>
      </w:tr>
      <w:tr w:rsidR="00CD44D1" w:rsidRPr="00FD7A66" w14:paraId="0D2915BB" w14:textId="77777777" w:rsidTr="00BE446E">
        <w:trPr>
          <w:jc w:val="center"/>
        </w:trPr>
        <w:tc>
          <w:tcPr>
            <w:tcW w:w="2490" w:type="dxa"/>
          </w:tcPr>
          <w:p w14:paraId="7AA53A06" w14:textId="77777777" w:rsidR="00CD44D1" w:rsidRPr="00FD7A66" w:rsidRDefault="00CD44D1" w:rsidP="00CD44D1">
            <w:pPr>
              <w:jc w:val="center"/>
              <w:rPr>
                <w:rFonts w:asciiTheme="majorHAnsi" w:hAnsiTheme="majorHAnsi" w:cstheme="majorHAnsi"/>
                <w:sz w:val="28"/>
              </w:rPr>
            </w:pPr>
            <w:r w:rsidRPr="00FD7A66">
              <w:rPr>
                <w:rFonts w:asciiTheme="majorHAnsi" w:hAnsiTheme="majorHAnsi" w:cstheme="majorHAnsi"/>
                <w:b/>
                <w:sz w:val="28"/>
                <w:u w:val="single"/>
              </w:rPr>
              <w:t>&gt;</w:t>
            </w:r>
            <w:r w:rsidRPr="00CD44D1">
              <w:rPr>
                <w:rFonts w:asciiTheme="majorHAnsi" w:hAnsiTheme="majorHAnsi" w:cstheme="majorHAnsi"/>
                <w:sz w:val="28"/>
              </w:rPr>
              <w:t>1</w:t>
            </w:r>
            <w:r w:rsidRPr="00FD7A66">
              <w:rPr>
                <w:rFonts w:asciiTheme="majorHAnsi" w:hAnsiTheme="majorHAnsi" w:cstheme="majorHAnsi"/>
                <w:sz w:val="28"/>
              </w:rPr>
              <w:t>00,000</w:t>
            </w:r>
          </w:p>
        </w:tc>
        <w:tc>
          <w:tcPr>
            <w:tcW w:w="3870" w:type="dxa"/>
          </w:tcPr>
          <w:p w14:paraId="2FAFFA7B" w14:textId="573DC129" w:rsidR="00CD44D1" w:rsidRPr="00FD7A66" w:rsidRDefault="00196D20" w:rsidP="006F67B4">
            <w:pPr>
              <w:rPr>
                <w:rFonts w:asciiTheme="majorHAnsi" w:hAnsiTheme="majorHAnsi" w:cstheme="majorHAnsi"/>
                <w:sz w:val="28"/>
              </w:rPr>
            </w:pPr>
            <w:r>
              <w:rPr>
                <w:rFonts w:asciiTheme="majorHAnsi" w:hAnsiTheme="majorHAnsi" w:cstheme="majorHAnsi"/>
                <w:sz w:val="28"/>
              </w:rPr>
              <w:t>100% completion in Region 3!</w:t>
            </w:r>
          </w:p>
        </w:tc>
      </w:tr>
      <w:tr w:rsidR="00CD44D1" w:rsidRPr="00FD7A66" w14:paraId="06116352" w14:textId="77777777" w:rsidTr="00BE446E">
        <w:trPr>
          <w:jc w:val="center"/>
        </w:trPr>
        <w:tc>
          <w:tcPr>
            <w:tcW w:w="2490" w:type="dxa"/>
          </w:tcPr>
          <w:p w14:paraId="7C3360A0" w14:textId="77777777" w:rsidR="00CD44D1" w:rsidRPr="00FD7A66" w:rsidRDefault="00CD44D1" w:rsidP="00CD44D1">
            <w:pPr>
              <w:jc w:val="center"/>
              <w:rPr>
                <w:rFonts w:asciiTheme="majorHAnsi" w:hAnsiTheme="majorHAnsi" w:cstheme="majorHAnsi"/>
                <w:sz w:val="28"/>
              </w:rPr>
            </w:pPr>
            <w:r w:rsidRPr="00FD7A66">
              <w:rPr>
                <w:rFonts w:asciiTheme="majorHAnsi" w:hAnsiTheme="majorHAnsi" w:cstheme="majorHAnsi"/>
                <w:sz w:val="28"/>
              </w:rPr>
              <w:t>50,000 – 99,999</w:t>
            </w:r>
          </w:p>
        </w:tc>
        <w:tc>
          <w:tcPr>
            <w:tcW w:w="3870" w:type="dxa"/>
          </w:tcPr>
          <w:p w14:paraId="5A0ED515" w14:textId="77777777" w:rsidR="00CD44D1" w:rsidRPr="00FD7A66" w:rsidRDefault="00CD44D1" w:rsidP="006F67B4">
            <w:pPr>
              <w:rPr>
                <w:rFonts w:asciiTheme="majorHAnsi" w:hAnsiTheme="majorHAnsi" w:cstheme="majorHAnsi"/>
                <w:sz w:val="28"/>
              </w:rPr>
            </w:pPr>
            <w:r w:rsidRPr="00FD7A66">
              <w:rPr>
                <w:rFonts w:asciiTheme="majorHAnsi" w:hAnsiTheme="majorHAnsi" w:cstheme="majorHAnsi"/>
                <w:sz w:val="28"/>
              </w:rPr>
              <w:t>December 31, 2020</w:t>
            </w:r>
          </w:p>
        </w:tc>
      </w:tr>
      <w:tr w:rsidR="00CD44D1" w:rsidRPr="00FD7A66" w14:paraId="281DC5A7" w14:textId="77777777" w:rsidTr="00BE446E">
        <w:trPr>
          <w:jc w:val="center"/>
        </w:trPr>
        <w:tc>
          <w:tcPr>
            <w:tcW w:w="2490" w:type="dxa"/>
          </w:tcPr>
          <w:p w14:paraId="641BE859" w14:textId="77777777" w:rsidR="00CD44D1" w:rsidRPr="00FD7A66" w:rsidRDefault="00CD44D1" w:rsidP="00CD44D1">
            <w:pPr>
              <w:jc w:val="center"/>
              <w:rPr>
                <w:rFonts w:asciiTheme="majorHAnsi" w:hAnsiTheme="majorHAnsi" w:cstheme="majorHAnsi"/>
                <w:sz w:val="28"/>
              </w:rPr>
            </w:pPr>
            <w:r w:rsidRPr="00FD7A66">
              <w:rPr>
                <w:rFonts w:asciiTheme="majorHAnsi" w:hAnsiTheme="majorHAnsi" w:cstheme="majorHAnsi"/>
                <w:sz w:val="28"/>
              </w:rPr>
              <w:t>3,301 – 49,999</w:t>
            </w:r>
          </w:p>
        </w:tc>
        <w:tc>
          <w:tcPr>
            <w:tcW w:w="3870" w:type="dxa"/>
          </w:tcPr>
          <w:p w14:paraId="1DAD9AF1" w14:textId="77777777" w:rsidR="00CD44D1" w:rsidRPr="00FD7A66" w:rsidRDefault="00CD44D1" w:rsidP="006F67B4">
            <w:pPr>
              <w:rPr>
                <w:rFonts w:asciiTheme="majorHAnsi" w:hAnsiTheme="majorHAnsi" w:cstheme="majorHAnsi"/>
                <w:sz w:val="28"/>
              </w:rPr>
            </w:pPr>
            <w:r w:rsidRPr="00FD7A66">
              <w:rPr>
                <w:rFonts w:asciiTheme="majorHAnsi" w:hAnsiTheme="majorHAnsi" w:cstheme="majorHAnsi"/>
                <w:sz w:val="28"/>
              </w:rPr>
              <w:t>June 30, 2021</w:t>
            </w:r>
          </w:p>
        </w:tc>
      </w:tr>
      <w:bookmarkEnd w:id="0"/>
    </w:tbl>
    <w:p w14:paraId="193450B1" w14:textId="2E398AE3" w:rsidR="00BC5BAA" w:rsidRDefault="00BC5BAA" w:rsidP="00BC5BAA">
      <w:pPr>
        <w:shd w:val="clear" w:color="auto" w:fill="FFFFFF"/>
        <w:spacing w:after="0" w:line="240" w:lineRule="auto"/>
        <w:rPr>
          <w:rFonts w:asciiTheme="majorHAnsi" w:eastAsia="Times New Roman" w:hAnsiTheme="majorHAnsi" w:cstheme="majorHAnsi"/>
          <w:color w:val="212121"/>
        </w:rPr>
      </w:pPr>
    </w:p>
    <w:p w14:paraId="2C59368E" w14:textId="5A7C320B" w:rsidR="00196D20" w:rsidRPr="00CD44D1" w:rsidRDefault="00196D20" w:rsidP="00196D20">
      <w:pPr>
        <w:shd w:val="clear" w:color="auto" w:fill="FFFFFF"/>
        <w:spacing w:after="0" w:line="240" w:lineRule="auto"/>
        <w:rPr>
          <w:rFonts w:asciiTheme="majorHAnsi" w:eastAsia="Times New Roman" w:hAnsiTheme="majorHAnsi" w:cstheme="majorHAnsi"/>
          <w:color w:val="212121"/>
        </w:rPr>
      </w:pPr>
      <w:r w:rsidRPr="00CD44D1">
        <w:rPr>
          <w:rFonts w:asciiTheme="majorHAnsi" w:eastAsia="Times New Roman" w:hAnsiTheme="majorHAnsi" w:cstheme="majorHAnsi"/>
          <w:color w:val="212121"/>
        </w:rPr>
        <w:t xml:space="preserve">Risk and Resilience Assessment </w:t>
      </w:r>
      <w:r>
        <w:rPr>
          <w:rFonts w:asciiTheme="majorHAnsi" w:eastAsia="Times New Roman" w:hAnsiTheme="majorHAnsi" w:cstheme="majorHAnsi"/>
          <w:color w:val="212121"/>
        </w:rPr>
        <w:t>a</w:t>
      </w:r>
      <w:r w:rsidRPr="00CD44D1">
        <w:rPr>
          <w:rFonts w:asciiTheme="majorHAnsi" w:eastAsia="Times New Roman" w:hAnsiTheme="majorHAnsi" w:cstheme="majorHAnsi"/>
          <w:color w:val="212121"/>
        </w:rPr>
        <w:t xml:space="preserve">ssistance </w:t>
      </w:r>
      <w:r>
        <w:rPr>
          <w:rFonts w:asciiTheme="majorHAnsi" w:eastAsia="Times New Roman" w:hAnsiTheme="majorHAnsi" w:cstheme="majorHAnsi"/>
          <w:color w:val="212121"/>
        </w:rPr>
        <w:t>r</w:t>
      </w:r>
      <w:r w:rsidRPr="00CD44D1">
        <w:rPr>
          <w:rFonts w:asciiTheme="majorHAnsi" w:eastAsia="Times New Roman" w:hAnsiTheme="majorHAnsi" w:cstheme="majorHAnsi"/>
          <w:color w:val="212121"/>
        </w:rPr>
        <w:t>esources are posted on EPA’s webpage at:</w:t>
      </w:r>
    </w:p>
    <w:p w14:paraId="69597922" w14:textId="6BD6B956" w:rsidR="00DD1C5B" w:rsidRDefault="006C62C1" w:rsidP="00DD1C5B">
      <w:pPr>
        <w:shd w:val="clear" w:color="auto" w:fill="FFFFFF"/>
        <w:spacing w:after="0" w:line="240" w:lineRule="auto"/>
        <w:rPr>
          <w:rFonts w:asciiTheme="majorHAnsi" w:hAnsiTheme="majorHAnsi" w:cstheme="majorHAnsi"/>
          <w:bCs/>
        </w:rPr>
      </w:pPr>
      <w:hyperlink r:id="rId9" w:history="1">
        <w:r w:rsidR="00196D20" w:rsidRPr="009908DE">
          <w:rPr>
            <w:rStyle w:val="Hyperlink"/>
            <w:rFonts w:asciiTheme="majorHAnsi" w:eastAsia="Times New Roman" w:hAnsiTheme="majorHAnsi" w:cstheme="majorHAnsi"/>
          </w:rPr>
          <w:t>https://www.epa.gov/waterresilience/americas-water-infrastructure-act-risk-assessments-and-emergency-response-plans</w:t>
        </w:r>
      </w:hyperlink>
      <w:r w:rsidR="00DD1C5B">
        <w:rPr>
          <w:rFonts w:asciiTheme="majorHAnsi" w:eastAsia="Times New Roman" w:hAnsiTheme="majorHAnsi" w:cstheme="majorHAnsi"/>
          <w:color w:val="212121"/>
        </w:rPr>
        <w:t xml:space="preserve">. </w:t>
      </w:r>
      <w:r w:rsidR="00C51C17">
        <w:rPr>
          <w:rFonts w:asciiTheme="majorHAnsi" w:eastAsia="Times New Roman" w:hAnsiTheme="majorHAnsi" w:cstheme="majorHAnsi"/>
          <w:color w:val="212121"/>
        </w:rPr>
        <w:t xml:space="preserve"> </w:t>
      </w:r>
      <w:r w:rsidR="00196D20" w:rsidRPr="004C5F7C">
        <w:rPr>
          <w:rFonts w:asciiTheme="majorHAnsi" w:hAnsiTheme="majorHAnsi" w:cstheme="majorHAnsi"/>
          <w:color w:val="212121"/>
        </w:rPr>
        <w:t>This</w:t>
      </w:r>
      <w:r w:rsidR="00196D20">
        <w:rPr>
          <w:rFonts w:asciiTheme="majorHAnsi" w:hAnsiTheme="majorHAnsi" w:cstheme="majorHAnsi"/>
          <w:b/>
          <w:color w:val="212121"/>
        </w:rPr>
        <w:t xml:space="preserve"> </w:t>
      </w:r>
      <w:r w:rsidR="00196D20">
        <w:rPr>
          <w:rFonts w:asciiTheme="majorHAnsi" w:hAnsiTheme="majorHAnsi" w:cstheme="majorHAnsi"/>
          <w:bCs/>
        </w:rPr>
        <w:t xml:space="preserve">includes such documents as the </w:t>
      </w:r>
      <w:hyperlink r:id="rId10" w:history="1">
        <w:r w:rsidR="00196D20" w:rsidRPr="00BC5BAA">
          <w:rPr>
            <w:rFonts w:asciiTheme="majorHAnsi" w:hAnsiTheme="majorHAnsi" w:cstheme="majorHAnsi"/>
            <w:bCs/>
          </w:rPr>
          <w:t>Baseline Information on Malevolent Acts for Community Water Systems</w:t>
        </w:r>
      </w:hyperlink>
      <w:r w:rsidR="00196D20">
        <w:rPr>
          <w:rFonts w:asciiTheme="majorHAnsi" w:hAnsiTheme="majorHAnsi" w:cstheme="majorHAnsi"/>
          <w:bCs/>
        </w:rPr>
        <w:t xml:space="preserve"> and </w:t>
      </w:r>
      <w:hyperlink r:id="rId11" w:history="1">
        <w:r w:rsidR="00196D20" w:rsidRPr="00BC5BAA">
          <w:rPr>
            <w:rFonts w:asciiTheme="majorHAnsi" w:hAnsiTheme="majorHAnsi" w:cstheme="majorHAnsi"/>
            <w:bCs/>
          </w:rPr>
          <w:t>Vulnerabil</w:t>
        </w:r>
        <w:r w:rsidR="00196D20" w:rsidRPr="0068283B">
          <w:rPr>
            <w:rFonts w:asciiTheme="majorHAnsi" w:hAnsiTheme="majorHAnsi" w:cstheme="majorHAnsi"/>
            <w:bCs/>
          </w:rPr>
          <w:t>i</w:t>
        </w:r>
        <w:r w:rsidR="00196D20" w:rsidRPr="00BC5BAA">
          <w:rPr>
            <w:rFonts w:asciiTheme="majorHAnsi" w:hAnsiTheme="majorHAnsi" w:cstheme="majorHAnsi"/>
            <w:bCs/>
          </w:rPr>
          <w:t>ty Self-Assessment Tool</w:t>
        </w:r>
      </w:hyperlink>
      <w:r w:rsidR="00196D20">
        <w:rPr>
          <w:rFonts w:asciiTheme="majorHAnsi" w:hAnsiTheme="majorHAnsi" w:cstheme="majorHAnsi"/>
          <w:bCs/>
        </w:rPr>
        <w:t xml:space="preserve">.  </w:t>
      </w:r>
    </w:p>
    <w:p w14:paraId="2958FA9C" w14:textId="77777777" w:rsidR="00DD1C5B" w:rsidRDefault="00DD1C5B" w:rsidP="00DD1C5B">
      <w:pPr>
        <w:shd w:val="clear" w:color="auto" w:fill="FFFFFF"/>
        <w:spacing w:after="0" w:line="240" w:lineRule="auto"/>
        <w:rPr>
          <w:rFonts w:asciiTheme="majorHAnsi" w:hAnsiTheme="majorHAnsi" w:cstheme="majorHAnsi"/>
          <w:bCs/>
        </w:rPr>
      </w:pPr>
    </w:p>
    <w:p w14:paraId="38DA1ACA" w14:textId="03655D1C" w:rsidR="00196D20" w:rsidRDefault="00196D20" w:rsidP="00DD1C5B">
      <w:pPr>
        <w:shd w:val="clear" w:color="auto" w:fill="FFFFFF"/>
        <w:spacing w:after="0" w:line="240" w:lineRule="auto"/>
        <w:rPr>
          <w:rFonts w:asciiTheme="majorHAnsi" w:hAnsiTheme="majorHAnsi" w:cstheme="majorHAnsi"/>
          <w:bCs/>
        </w:rPr>
      </w:pPr>
      <w:r>
        <w:rPr>
          <w:rFonts w:asciiTheme="majorHAnsi" w:hAnsiTheme="majorHAnsi" w:cstheme="majorHAnsi"/>
          <w:bCs/>
        </w:rPr>
        <w:t xml:space="preserve">EPA recently released a </w:t>
      </w:r>
      <w:r w:rsidRPr="00DD1C5B">
        <w:rPr>
          <w:rFonts w:asciiTheme="majorHAnsi" w:hAnsiTheme="majorHAnsi" w:cstheme="majorHAnsi"/>
          <w:b/>
        </w:rPr>
        <w:t>Small System Checklist</w:t>
      </w:r>
      <w:r>
        <w:rPr>
          <w:rFonts w:asciiTheme="majorHAnsi" w:hAnsiTheme="majorHAnsi" w:cstheme="majorHAnsi"/>
          <w:bCs/>
        </w:rPr>
        <w:t xml:space="preserve"> to assist with completion of this task.  The checklist may be useful to systems serving fewer than 50,000 persons.</w:t>
      </w:r>
      <w:r w:rsidR="00BE446E">
        <w:rPr>
          <w:rFonts w:asciiTheme="majorHAnsi" w:hAnsiTheme="majorHAnsi" w:cstheme="majorHAnsi"/>
          <w:bCs/>
        </w:rPr>
        <w:t xml:space="preserve">  </w:t>
      </w:r>
      <w:r w:rsidR="00BE446E" w:rsidRPr="00BE446E">
        <w:rPr>
          <w:rFonts w:asciiTheme="majorHAnsi" w:hAnsiTheme="majorHAnsi" w:cstheme="majorHAnsi"/>
          <w:bCs/>
        </w:rPr>
        <w:t xml:space="preserve">This </w:t>
      </w:r>
      <w:r w:rsidR="00DD1C5B">
        <w:rPr>
          <w:rFonts w:asciiTheme="majorHAnsi" w:hAnsiTheme="majorHAnsi" w:cstheme="majorHAnsi"/>
          <w:bCs/>
        </w:rPr>
        <w:t>checklist</w:t>
      </w:r>
      <w:r w:rsidR="00BE446E" w:rsidRPr="00BE446E">
        <w:rPr>
          <w:rFonts w:asciiTheme="majorHAnsi" w:hAnsiTheme="majorHAnsi" w:cstheme="majorHAnsi"/>
          <w:bCs/>
        </w:rPr>
        <w:t xml:space="preserve"> does </w:t>
      </w:r>
      <w:r w:rsidR="00BE446E" w:rsidRPr="00BE446E">
        <w:rPr>
          <w:rFonts w:asciiTheme="majorHAnsi" w:hAnsiTheme="majorHAnsi" w:cstheme="majorHAnsi"/>
          <w:bCs/>
          <w:u w:val="single"/>
        </w:rPr>
        <w:t>not</w:t>
      </w:r>
      <w:r w:rsidR="00BE446E" w:rsidRPr="00BE446E">
        <w:rPr>
          <w:rFonts w:asciiTheme="majorHAnsi" w:hAnsiTheme="majorHAnsi" w:cstheme="majorHAnsi"/>
          <w:bCs/>
        </w:rPr>
        <w:t xml:space="preserve"> address emergency response plans (ERPs)</w:t>
      </w:r>
      <w:r w:rsidR="00BE446E">
        <w:rPr>
          <w:rFonts w:asciiTheme="majorHAnsi" w:hAnsiTheme="majorHAnsi" w:cstheme="majorHAnsi"/>
          <w:bCs/>
        </w:rPr>
        <w:t>.</w:t>
      </w:r>
    </w:p>
    <w:p w14:paraId="297477B5" w14:textId="7421254E" w:rsidR="00196D20" w:rsidRDefault="00196D20" w:rsidP="00196D20">
      <w:pPr>
        <w:pStyle w:val="NormalWeb"/>
        <w:shd w:val="clear" w:color="auto" w:fill="FFFFFF"/>
        <w:spacing w:before="0" w:beforeAutospacing="0" w:after="0" w:afterAutospacing="0"/>
        <w:rPr>
          <w:rFonts w:asciiTheme="majorHAnsi" w:hAnsiTheme="majorHAnsi" w:cstheme="majorHAnsi"/>
          <w:bCs/>
        </w:rPr>
      </w:pPr>
    </w:p>
    <w:p w14:paraId="36A11746" w14:textId="0CC5FBF1" w:rsidR="00196D20" w:rsidRDefault="00196D20" w:rsidP="00196D20">
      <w:pPr>
        <w:pStyle w:val="NormalWeb"/>
        <w:shd w:val="clear" w:color="auto" w:fill="FFFFFF"/>
        <w:spacing w:before="0" w:beforeAutospacing="0" w:after="0" w:afterAutospacing="0"/>
        <w:rPr>
          <w:rFonts w:asciiTheme="majorHAnsi" w:hAnsiTheme="majorHAnsi" w:cstheme="majorHAnsi"/>
          <w:b/>
        </w:rPr>
      </w:pPr>
      <w:r w:rsidRPr="00196D20">
        <w:rPr>
          <w:rFonts w:asciiTheme="majorHAnsi" w:hAnsiTheme="majorHAnsi" w:cstheme="majorHAnsi"/>
          <w:b/>
        </w:rPr>
        <w:t>Emergency Re</w:t>
      </w:r>
      <w:r>
        <w:rPr>
          <w:rFonts w:asciiTheme="majorHAnsi" w:hAnsiTheme="majorHAnsi" w:cstheme="majorHAnsi"/>
          <w:b/>
        </w:rPr>
        <w:t>s</w:t>
      </w:r>
      <w:r w:rsidRPr="00196D20">
        <w:rPr>
          <w:rFonts w:asciiTheme="majorHAnsi" w:hAnsiTheme="majorHAnsi" w:cstheme="majorHAnsi"/>
          <w:b/>
        </w:rPr>
        <w:t>ponse Plan</w:t>
      </w:r>
      <w:r w:rsidR="00C419A2">
        <w:rPr>
          <w:rFonts w:asciiTheme="majorHAnsi" w:hAnsiTheme="majorHAnsi" w:cstheme="majorHAnsi"/>
          <w:b/>
        </w:rPr>
        <w:t>s</w:t>
      </w:r>
      <w:r w:rsidRPr="00196D20">
        <w:rPr>
          <w:rFonts w:asciiTheme="majorHAnsi" w:hAnsiTheme="majorHAnsi" w:cstheme="majorHAnsi"/>
          <w:b/>
        </w:rPr>
        <w:t xml:space="preserve"> </w:t>
      </w:r>
      <w:r w:rsidR="006547CE">
        <w:rPr>
          <w:rFonts w:asciiTheme="majorHAnsi" w:hAnsiTheme="majorHAnsi" w:cstheme="majorHAnsi"/>
          <w:b/>
        </w:rPr>
        <w:t>(ERP)</w:t>
      </w:r>
    </w:p>
    <w:p w14:paraId="32FFE7B6" w14:textId="77777777" w:rsidR="006547CE" w:rsidRPr="00196D20" w:rsidRDefault="006547CE" w:rsidP="00196D20">
      <w:pPr>
        <w:pStyle w:val="NormalWeb"/>
        <w:shd w:val="clear" w:color="auto" w:fill="FFFFFF"/>
        <w:spacing w:before="0" w:beforeAutospacing="0" w:after="0" w:afterAutospacing="0"/>
        <w:rPr>
          <w:rFonts w:asciiTheme="majorHAnsi" w:hAnsiTheme="majorHAnsi" w:cstheme="majorHAnsi"/>
          <w:b/>
          <w:color w:val="212121"/>
        </w:rPr>
      </w:pPr>
    </w:p>
    <w:tbl>
      <w:tblPr>
        <w:tblStyle w:val="TableGrid"/>
        <w:tblW w:w="0" w:type="auto"/>
        <w:jc w:val="center"/>
        <w:tblLook w:val="04A0" w:firstRow="1" w:lastRow="0" w:firstColumn="1" w:lastColumn="0" w:noHBand="0" w:noVBand="1"/>
      </w:tblPr>
      <w:tblGrid>
        <w:gridCol w:w="2490"/>
        <w:gridCol w:w="3870"/>
      </w:tblGrid>
      <w:tr w:rsidR="006547CE" w:rsidRPr="00FD7A66" w14:paraId="34D9F2BB" w14:textId="77777777" w:rsidTr="00BE446E">
        <w:trPr>
          <w:jc w:val="center"/>
        </w:trPr>
        <w:tc>
          <w:tcPr>
            <w:tcW w:w="2490" w:type="dxa"/>
            <w:vAlign w:val="center"/>
          </w:tcPr>
          <w:p w14:paraId="0986E8FE" w14:textId="77777777" w:rsidR="006547CE" w:rsidRPr="00FD7A66" w:rsidRDefault="006547CE" w:rsidP="00D35BB1">
            <w:pPr>
              <w:jc w:val="center"/>
              <w:rPr>
                <w:rFonts w:asciiTheme="majorHAnsi" w:hAnsiTheme="majorHAnsi" w:cstheme="majorHAnsi"/>
                <w:b/>
                <w:sz w:val="28"/>
              </w:rPr>
            </w:pPr>
            <w:r w:rsidRPr="00FD7A66">
              <w:rPr>
                <w:rFonts w:asciiTheme="majorHAnsi" w:hAnsiTheme="majorHAnsi" w:cstheme="majorHAnsi"/>
                <w:b/>
                <w:sz w:val="28"/>
              </w:rPr>
              <w:t>Population Served</w:t>
            </w:r>
          </w:p>
        </w:tc>
        <w:tc>
          <w:tcPr>
            <w:tcW w:w="3870" w:type="dxa"/>
            <w:vAlign w:val="center"/>
          </w:tcPr>
          <w:p w14:paraId="17A5206F" w14:textId="04116E00" w:rsidR="006547CE" w:rsidRPr="00FD7A66" w:rsidRDefault="006547CE" w:rsidP="00D35BB1">
            <w:pPr>
              <w:jc w:val="center"/>
              <w:rPr>
                <w:rFonts w:asciiTheme="majorHAnsi" w:hAnsiTheme="majorHAnsi" w:cstheme="majorHAnsi"/>
                <w:b/>
                <w:sz w:val="28"/>
              </w:rPr>
            </w:pPr>
            <w:r>
              <w:rPr>
                <w:rFonts w:asciiTheme="majorHAnsi" w:hAnsiTheme="majorHAnsi" w:cstheme="majorHAnsi"/>
                <w:b/>
                <w:sz w:val="28"/>
              </w:rPr>
              <w:t xml:space="preserve">ERP Certification </w:t>
            </w:r>
            <w:r w:rsidRPr="00FD7A66">
              <w:rPr>
                <w:rFonts w:asciiTheme="majorHAnsi" w:hAnsiTheme="majorHAnsi" w:cstheme="majorHAnsi"/>
                <w:b/>
                <w:sz w:val="28"/>
              </w:rPr>
              <w:t>Deadlines</w:t>
            </w:r>
            <w:r w:rsidR="00BE446E">
              <w:rPr>
                <w:rFonts w:asciiTheme="majorHAnsi" w:hAnsiTheme="majorHAnsi" w:cstheme="majorHAnsi"/>
                <w:b/>
                <w:sz w:val="28"/>
              </w:rPr>
              <w:t>*</w:t>
            </w:r>
          </w:p>
        </w:tc>
      </w:tr>
      <w:tr w:rsidR="006547CE" w:rsidRPr="00FD7A66" w14:paraId="5335584A" w14:textId="77777777" w:rsidTr="00BE446E">
        <w:trPr>
          <w:jc w:val="center"/>
        </w:trPr>
        <w:tc>
          <w:tcPr>
            <w:tcW w:w="2490" w:type="dxa"/>
          </w:tcPr>
          <w:p w14:paraId="2841B073" w14:textId="77777777" w:rsidR="006547CE" w:rsidRPr="00FD7A66" w:rsidRDefault="006547CE" w:rsidP="00D35BB1">
            <w:pPr>
              <w:jc w:val="center"/>
              <w:rPr>
                <w:rFonts w:asciiTheme="majorHAnsi" w:hAnsiTheme="majorHAnsi" w:cstheme="majorHAnsi"/>
                <w:sz w:val="28"/>
              </w:rPr>
            </w:pPr>
            <w:r w:rsidRPr="00FD7A66">
              <w:rPr>
                <w:rFonts w:asciiTheme="majorHAnsi" w:hAnsiTheme="majorHAnsi" w:cstheme="majorHAnsi"/>
                <w:b/>
                <w:sz w:val="28"/>
                <w:u w:val="single"/>
              </w:rPr>
              <w:t>&gt;</w:t>
            </w:r>
            <w:r w:rsidRPr="00CD44D1">
              <w:rPr>
                <w:rFonts w:asciiTheme="majorHAnsi" w:hAnsiTheme="majorHAnsi" w:cstheme="majorHAnsi"/>
                <w:sz w:val="28"/>
              </w:rPr>
              <w:t>1</w:t>
            </w:r>
            <w:r w:rsidRPr="00FD7A66">
              <w:rPr>
                <w:rFonts w:asciiTheme="majorHAnsi" w:hAnsiTheme="majorHAnsi" w:cstheme="majorHAnsi"/>
                <w:sz w:val="28"/>
              </w:rPr>
              <w:t>00,000</w:t>
            </w:r>
          </w:p>
        </w:tc>
        <w:tc>
          <w:tcPr>
            <w:tcW w:w="3870" w:type="dxa"/>
          </w:tcPr>
          <w:p w14:paraId="7B1AEE4F" w14:textId="75660A77" w:rsidR="006547CE" w:rsidRPr="00FD7A66" w:rsidRDefault="006547CE" w:rsidP="00D35BB1">
            <w:pPr>
              <w:rPr>
                <w:rFonts w:asciiTheme="majorHAnsi" w:hAnsiTheme="majorHAnsi" w:cstheme="majorHAnsi"/>
                <w:sz w:val="28"/>
              </w:rPr>
            </w:pPr>
            <w:r>
              <w:rPr>
                <w:rFonts w:asciiTheme="majorHAnsi" w:hAnsiTheme="majorHAnsi" w:cstheme="majorHAnsi"/>
                <w:sz w:val="28"/>
              </w:rPr>
              <w:t>September 30, 2020</w:t>
            </w:r>
          </w:p>
        </w:tc>
      </w:tr>
      <w:tr w:rsidR="006547CE" w:rsidRPr="00FD7A66" w14:paraId="34473CD3" w14:textId="77777777" w:rsidTr="00BE446E">
        <w:trPr>
          <w:jc w:val="center"/>
        </w:trPr>
        <w:tc>
          <w:tcPr>
            <w:tcW w:w="2490" w:type="dxa"/>
          </w:tcPr>
          <w:p w14:paraId="4088F802" w14:textId="77777777" w:rsidR="006547CE" w:rsidRPr="00FD7A66" w:rsidRDefault="006547CE" w:rsidP="00D35BB1">
            <w:pPr>
              <w:jc w:val="center"/>
              <w:rPr>
                <w:rFonts w:asciiTheme="majorHAnsi" w:hAnsiTheme="majorHAnsi" w:cstheme="majorHAnsi"/>
                <w:sz w:val="28"/>
              </w:rPr>
            </w:pPr>
            <w:r w:rsidRPr="00FD7A66">
              <w:rPr>
                <w:rFonts w:asciiTheme="majorHAnsi" w:hAnsiTheme="majorHAnsi" w:cstheme="majorHAnsi"/>
                <w:sz w:val="28"/>
              </w:rPr>
              <w:t>50,000 – 99,999</w:t>
            </w:r>
          </w:p>
        </w:tc>
        <w:tc>
          <w:tcPr>
            <w:tcW w:w="3870" w:type="dxa"/>
          </w:tcPr>
          <w:p w14:paraId="619F387F" w14:textId="252B3FCC" w:rsidR="006547CE" w:rsidRPr="00FD7A66" w:rsidRDefault="006547CE" w:rsidP="00D35BB1">
            <w:pPr>
              <w:rPr>
                <w:rFonts w:asciiTheme="majorHAnsi" w:hAnsiTheme="majorHAnsi" w:cstheme="majorHAnsi"/>
                <w:sz w:val="28"/>
              </w:rPr>
            </w:pPr>
            <w:r>
              <w:rPr>
                <w:rFonts w:asciiTheme="majorHAnsi" w:hAnsiTheme="majorHAnsi" w:cstheme="majorHAnsi"/>
                <w:sz w:val="28"/>
              </w:rPr>
              <w:t>June 30, 2021</w:t>
            </w:r>
          </w:p>
        </w:tc>
      </w:tr>
      <w:tr w:rsidR="006547CE" w:rsidRPr="00FD7A66" w14:paraId="7F3E952F" w14:textId="77777777" w:rsidTr="00BE446E">
        <w:trPr>
          <w:jc w:val="center"/>
        </w:trPr>
        <w:tc>
          <w:tcPr>
            <w:tcW w:w="2490" w:type="dxa"/>
          </w:tcPr>
          <w:p w14:paraId="2BF53894" w14:textId="77777777" w:rsidR="006547CE" w:rsidRPr="00FD7A66" w:rsidRDefault="006547CE" w:rsidP="00D35BB1">
            <w:pPr>
              <w:jc w:val="center"/>
              <w:rPr>
                <w:rFonts w:asciiTheme="majorHAnsi" w:hAnsiTheme="majorHAnsi" w:cstheme="majorHAnsi"/>
                <w:sz w:val="28"/>
              </w:rPr>
            </w:pPr>
            <w:r w:rsidRPr="00FD7A66">
              <w:rPr>
                <w:rFonts w:asciiTheme="majorHAnsi" w:hAnsiTheme="majorHAnsi" w:cstheme="majorHAnsi"/>
                <w:sz w:val="28"/>
              </w:rPr>
              <w:t>3,301 – 49,999</w:t>
            </w:r>
          </w:p>
        </w:tc>
        <w:tc>
          <w:tcPr>
            <w:tcW w:w="3870" w:type="dxa"/>
          </w:tcPr>
          <w:p w14:paraId="79885C01" w14:textId="29B6F97C" w:rsidR="006547CE" w:rsidRPr="00FD7A66" w:rsidRDefault="006547CE" w:rsidP="00D35BB1">
            <w:pPr>
              <w:rPr>
                <w:rFonts w:asciiTheme="majorHAnsi" w:hAnsiTheme="majorHAnsi" w:cstheme="majorHAnsi"/>
                <w:sz w:val="28"/>
              </w:rPr>
            </w:pPr>
            <w:r>
              <w:rPr>
                <w:rFonts w:asciiTheme="majorHAnsi" w:hAnsiTheme="majorHAnsi" w:cstheme="majorHAnsi"/>
                <w:sz w:val="28"/>
              </w:rPr>
              <w:t>December 31, 2021</w:t>
            </w:r>
          </w:p>
        </w:tc>
      </w:tr>
    </w:tbl>
    <w:p w14:paraId="0C01D3DA" w14:textId="2BB5BAC9" w:rsidR="00196D20" w:rsidRPr="00BE446E" w:rsidRDefault="00BE446E" w:rsidP="00BE446E">
      <w:pPr>
        <w:shd w:val="clear" w:color="auto" w:fill="FFFFFF"/>
        <w:spacing w:after="0" w:line="240" w:lineRule="auto"/>
        <w:ind w:left="1440"/>
        <w:rPr>
          <w:rFonts w:asciiTheme="majorHAnsi" w:eastAsia="Times New Roman" w:hAnsiTheme="majorHAnsi" w:cstheme="majorHAnsi"/>
          <w:color w:val="212121"/>
          <w:sz w:val="18"/>
          <w:szCs w:val="18"/>
        </w:rPr>
      </w:pPr>
      <w:r>
        <w:rPr>
          <w:rFonts w:asciiTheme="majorHAnsi" w:hAnsiTheme="majorHAnsi" w:cstheme="majorHAnsi"/>
          <w:color w:val="212121"/>
          <w:sz w:val="20"/>
          <w:szCs w:val="20"/>
          <w:shd w:val="clear" w:color="auto" w:fill="FFFFFF"/>
        </w:rPr>
        <w:t>*</w:t>
      </w:r>
      <w:r w:rsidRPr="00BE446E">
        <w:rPr>
          <w:rFonts w:asciiTheme="majorHAnsi" w:hAnsiTheme="majorHAnsi" w:cstheme="majorHAnsi"/>
          <w:color w:val="212121"/>
          <w:sz w:val="20"/>
          <w:szCs w:val="20"/>
          <w:shd w:val="clear" w:color="auto" w:fill="FFFFFF"/>
        </w:rPr>
        <w:t>Emergency response plan certifications are due six months from the date of the risk assessment certification. The dates shown above are certification dates based on a utility submitting a risk assessment on the final due date. </w:t>
      </w:r>
    </w:p>
    <w:p w14:paraId="3934FA4A" w14:textId="77777777" w:rsidR="004C5F7C" w:rsidRDefault="004C5F7C" w:rsidP="00CD44D1">
      <w:pPr>
        <w:pStyle w:val="NormalWeb"/>
        <w:shd w:val="clear" w:color="auto" w:fill="FFFFFF"/>
        <w:spacing w:before="0" w:beforeAutospacing="0" w:after="0" w:afterAutospacing="0"/>
        <w:rPr>
          <w:rFonts w:asciiTheme="majorHAnsi" w:hAnsiTheme="majorHAnsi" w:cstheme="majorHAnsi"/>
          <w:b/>
          <w:color w:val="212121"/>
        </w:rPr>
      </w:pPr>
    </w:p>
    <w:p w14:paraId="4072BED3" w14:textId="5DD1B6C5" w:rsidR="00497999" w:rsidRPr="004C5F7C" w:rsidRDefault="006547CE" w:rsidP="00CD44D1">
      <w:pPr>
        <w:pStyle w:val="NormalWeb"/>
        <w:shd w:val="clear" w:color="auto" w:fill="FFFFFF"/>
        <w:spacing w:before="0" w:beforeAutospacing="0" w:after="0" w:afterAutospacing="0"/>
        <w:rPr>
          <w:rFonts w:asciiTheme="majorHAnsi" w:hAnsiTheme="majorHAnsi" w:cstheme="majorHAnsi"/>
          <w:b/>
          <w:color w:val="212121"/>
        </w:rPr>
      </w:pPr>
      <w:r>
        <w:rPr>
          <w:rFonts w:asciiTheme="majorHAnsi" w:hAnsiTheme="majorHAnsi" w:cstheme="majorHAnsi"/>
          <w:b/>
          <w:color w:val="212121"/>
        </w:rPr>
        <w:t xml:space="preserve">How to Submit the </w:t>
      </w:r>
      <w:r w:rsidR="004C5F7C" w:rsidRPr="004C5F7C">
        <w:rPr>
          <w:rFonts w:asciiTheme="majorHAnsi" w:hAnsiTheme="majorHAnsi" w:cstheme="majorHAnsi"/>
          <w:b/>
          <w:color w:val="212121"/>
        </w:rPr>
        <w:t>Electronic Certification</w:t>
      </w:r>
      <w:r w:rsidR="00BE446E">
        <w:rPr>
          <w:rFonts w:asciiTheme="majorHAnsi" w:hAnsiTheme="majorHAnsi" w:cstheme="majorHAnsi"/>
          <w:b/>
          <w:color w:val="212121"/>
        </w:rPr>
        <w:t>s</w:t>
      </w:r>
    </w:p>
    <w:p w14:paraId="0D0F8B9B" w14:textId="228A78F0" w:rsidR="004C5F7C" w:rsidRDefault="004C5F7C" w:rsidP="00CD44D1">
      <w:pPr>
        <w:pStyle w:val="NormalWeb"/>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EPA strongly recommends electronic submission of your community water system’s certification statement.  This is the only reporting method where EPA will be able to provide an acknowledgement of receipt of your certification statement.</w:t>
      </w:r>
      <w:r w:rsidR="006547CE">
        <w:rPr>
          <w:rFonts w:asciiTheme="majorHAnsi" w:hAnsiTheme="majorHAnsi" w:cstheme="majorHAnsi"/>
          <w:color w:val="212121"/>
        </w:rPr>
        <w:t xml:space="preserve">  There are separate links on the AWIA webpage</w:t>
      </w:r>
      <w:r w:rsidR="00BE446E">
        <w:rPr>
          <w:rFonts w:asciiTheme="majorHAnsi" w:hAnsiTheme="majorHAnsi" w:cstheme="majorHAnsi"/>
          <w:color w:val="212121"/>
        </w:rPr>
        <w:t xml:space="preserve">, one </w:t>
      </w:r>
      <w:r w:rsidR="006547CE">
        <w:rPr>
          <w:rFonts w:asciiTheme="majorHAnsi" w:hAnsiTheme="majorHAnsi" w:cstheme="majorHAnsi"/>
          <w:color w:val="212121"/>
        </w:rPr>
        <w:t>for the Risk Assessment Certification and a</w:t>
      </w:r>
      <w:r w:rsidR="00BE446E">
        <w:rPr>
          <w:rFonts w:asciiTheme="majorHAnsi" w:hAnsiTheme="majorHAnsi" w:cstheme="majorHAnsi"/>
          <w:color w:val="212121"/>
        </w:rPr>
        <w:t xml:space="preserve"> second</w:t>
      </w:r>
      <w:r w:rsidR="006547CE">
        <w:rPr>
          <w:rFonts w:asciiTheme="majorHAnsi" w:hAnsiTheme="majorHAnsi" w:cstheme="majorHAnsi"/>
          <w:color w:val="212121"/>
        </w:rPr>
        <w:t xml:space="preserve"> for the ERP certification.</w:t>
      </w:r>
    </w:p>
    <w:p w14:paraId="286B82D1" w14:textId="77777777" w:rsidR="004C5F7C" w:rsidRDefault="004C5F7C" w:rsidP="00CD44D1">
      <w:pPr>
        <w:pStyle w:val="NormalWeb"/>
        <w:shd w:val="clear" w:color="auto" w:fill="FFFFFF"/>
        <w:spacing w:before="0" w:beforeAutospacing="0" w:after="0" w:afterAutospacing="0"/>
        <w:rPr>
          <w:rFonts w:asciiTheme="majorHAnsi" w:hAnsiTheme="majorHAnsi" w:cstheme="majorHAnsi"/>
          <w:color w:val="212121"/>
        </w:rPr>
      </w:pPr>
    </w:p>
    <w:p w14:paraId="3F8646AB" w14:textId="1C2C0A66" w:rsidR="00BC5BAA" w:rsidRDefault="00BC5BAA" w:rsidP="00BC5BAA">
      <w:pPr>
        <w:pStyle w:val="NormalWeb"/>
        <w:shd w:val="clear" w:color="auto" w:fill="FFFFFF"/>
        <w:spacing w:before="0" w:beforeAutospacing="0" w:after="0" w:afterAutospacing="0"/>
        <w:rPr>
          <w:rFonts w:asciiTheme="majorHAnsi" w:hAnsiTheme="majorHAnsi" w:cstheme="majorHAnsi"/>
          <w:color w:val="212121"/>
        </w:rPr>
      </w:pPr>
      <w:r w:rsidRPr="00BC5BAA">
        <w:rPr>
          <w:rFonts w:asciiTheme="majorHAnsi" w:hAnsiTheme="majorHAnsi" w:cstheme="majorHAnsi"/>
          <w:color w:val="212121"/>
        </w:rPr>
        <w:t>Please have your PWSID number</w:t>
      </w:r>
      <w:r w:rsidR="006547CE">
        <w:rPr>
          <w:rFonts w:asciiTheme="majorHAnsi" w:hAnsiTheme="majorHAnsi" w:cstheme="majorHAnsi"/>
          <w:color w:val="212121"/>
        </w:rPr>
        <w:t>(s)</w:t>
      </w:r>
      <w:r w:rsidRPr="00BC5BAA">
        <w:rPr>
          <w:rFonts w:asciiTheme="majorHAnsi" w:hAnsiTheme="majorHAnsi" w:cstheme="majorHAnsi"/>
          <w:color w:val="212121"/>
        </w:rPr>
        <w:t xml:space="preserve"> available before you begin the certification process.</w:t>
      </w:r>
      <w:r w:rsidR="00497999">
        <w:rPr>
          <w:rFonts w:asciiTheme="majorHAnsi" w:hAnsiTheme="majorHAnsi" w:cstheme="majorHAnsi"/>
          <w:color w:val="212121"/>
        </w:rPr>
        <w:t xml:space="preserve"> </w:t>
      </w:r>
      <w:r w:rsidR="00104DF9">
        <w:rPr>
          <w:rFonts w:asciiTheme="majorHAnsi" w:hAnsiTheme="majorHAnsi" w:cstheme="majorHAnsi"/>
          <w:color w:val="212121"/>
        </w:rPr>
        <w:t xml:space="preserve"> </w:t>
      </w:r>
      <w:r w:rsidR="00322956" w:rsidRPr="00322956">
        <w:rPr>
          <w:rFonts w:asciiTheme="majorHAnsi" w:hAnsiTheme="majorHAnsi" w:cstheme="majorHAnsi"/>
          <w:color w:val="212121"/>
        </w:rPr>
        <w:t>Ensure the person registering for or logging into your account is also the certifying official for the community water system.</w:t>
      </w:r>
    </w:p>
    <w:p w14:paraId="1D51F78C" w14:textId="77777777" w:rsidR="00497999" w:rsidRDefault="00497999" w:rsidP="00BC5BAA">
      <w:pPr>
        <w:pStyle w:val="NormalWeb"/>
        <w:shd w:val="clear" w:color="auto" w:fill="FFFFFF"/>
        <w:spacing w:before="0" w:beforeAutospacing="0" w:after="0" w:afterAutospacing="0"/>
        <w:rPr>
          <w:rFonts w:asciiTheme="majorHAnsi" w:hAnsiTheme="majorHAnsi" w:cstheme="majorHAnsi"/>
          <w:color w:val="212121"/>
        </w:rPr>
      </w:pPr>
    </w:p>
    <w:p w14:paraId="6C927F23" w14:textId="225F1190" w:rsidR="00BC5BAA" w:rsidRDefault="00497999" w:rsidP="00B14D2E">
      <w:pPr>
        <w:pStyle w:val="NormalWeb"/>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 xml:space="preserve">For additional information, contact Patti Kay Wisniewski, EPA Region 3 Drinking Water Preparedness and Resilience Coordinator, at </w:t>
      </w:r>
      <w:hyperlink r:id="rId12" w:history="1">
        <w:r w:rsidRPr="0029496D">
          <w:rPr>
            <w:rStyle w:val="Hyperlink"/>
            <w:rFonts w:asciiTheme="majorHAnsi" w:hAnsiTheme="majorHAnsi" w:cstheme="majorHAnsi"/>
          </w:rPr>
          <w:t>Wisniewski.patti-kay@epa.gov</w:t>
        </w:r>
      </w:hyperlink>
      <w:r>
        <w:rPr>
          <w:rFonts w:asciiTheme="majorHAnsi" w:hAnsiTheme="majorHAnsi" w:cstheme="majorHAnsi"/>
          <w:color w:val="212121"/>
        </w:rPr>
        <w:t xml:space="preserve"> or 215-814-5668</w:t>
      </w:r>
      <w:r w:rsidR="00B14D2E">
        <w:rPr>
          <w:rFonts w:asciiTheme="majorHAnsi" w:hAnsiTheme="majorHAnsi" w:cstheme="majorHAnsi"/>
          <w:color w:val="212121"/>
        </w:rPr>
        <w:t>.</w:t>
      </w:r>
    </w:p>
    <w:p w14:paraId="34317FF4" w14:textId="6A0687C8" w:rsidR="00C419A2" w:rsidRDefault="00C419A2" w:rsidP="00B14D2E">
      <w:pPr>
        <w:pStyle w:val="NormalWeb"/>
        <w:shd w:val="clear" w:color="auto" w:fill="FFFFFF"/>
        <w:spacing w:before="0" w:beforeAutospacing="0" w:after="0" w:afterAutospacing="0"/>
        <w:rPr>
          <w:rFonts w:asciiTheme="majorHAnsi" w:hAnsiTheme="majorHAnsi" w:cstheme="majorHAnsi"/>
          <w:color w:val="212121"/>
        </w:rPr>
      </w:pPr>
      <w:bookmarkStart w:id="1" w:name="_GoBack"/>
      <w:bookmarkEnd w:id="1"/>
    </w:p>
    <w:sectPr w:rsidR="00C419A2" w:rsidSect="002006DF">
      <w:pgSz w:w="12240" w:h="15840"/>
      <w:pgMar w:top="711" w:right="1440" w:bottom="12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7FCA" w14:textId="77777777" w:rsidR="006C62C1" w:rsidRDefault="006C62C1" w:rsidP="00850EED">
      <w:pPr>
        <w:spacing w:after="0" w:line="240" w:lineRule="auto"/>
      </w:pPr>
      <w:r>
        <w:separator/>
      </w:r>
    </w:p>
  </w:endnote>
  <w:endnote w:type="continuationSeparator" w:id="0">
    <w:p w14:paraId="2A3A378C" w14:textId="77777777" w:rsidR="006C62C1" w:rsidRDefault="006C62C1" w:rsidP="0085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06F7" w14:textId="77777777" w:rsidR="006C62C1" w:rsidRDefault="006C62C1" w:rsidP="00850EED">
      <w:pPr>
        <w:spacing w:after="0" w:line="240" w:lineRule="auto"/>
      </w:pPr>
      <w:r>
        <w:separator/>
      </w:r>
    </w:p>
  </w:footnote>
  <w:footnote w:type="continuationSeparator" w:id="0">
    <w:p w14:paraId="31C44B1E" w14:textId="77777777" w:rsidR="006C62C1" w:rsidRDefault="006C62C1" w:rsidP="00850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C1A"/>
    <w:multiLevelType w:val="multilevel"/>
    <w:tmpl w:val="4672FD96"/>
    <w:lvl w:ilvl="0">
      <w:start w:val="1"/>
      <w:numFmt w:val="decimal"/>
      <w:lvlText w:val="%1."/>
      <w:lvlJc w:val="left"/>
      <w:pPr>
        <w:tabs>
          <w:tab w:val="num" w:pos="2520"/>
        </w:tabs>
        <w:ind w:left="2520" w:hanging="360"/>
      </w:pPr>
      <w:rPr>
        <w:rFonts w:asciiTheme="majorHAnsi" w:eastAsia="Times New Roman" w:hAnsiTheme="majorHAnsi" w:cstheme="majorHAnsi"/>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24965558"/>
    <w:multiLevelType w:val="multilevel"/>
    <w:tmpl w:val="B8D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02482"/>
    <w:multiLevelType w:val="hybridMultilevel"/>
    <w:tmpl w:val="7F6E04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AA"/>
    <w:rsid w:val="00024EC1"/>
    <w:rsid w:val="00031E17"/>
    <w:rsid w:val="00071FF4"/>
    <w:rsid w:val="00101438"/>
    <w:rsid w:val="00104DF9"/>
    <w:rsid w:val="0013073A"/>
    <w:rsid w:val="00196D20"/>
    <w:rsid w:val="001D0924"/>
    <w:rsid w:val="002006DF"/>
    <w:rsid w:val="002E57D7"/>
    <w:rsid w:val="002E7CA8"/>
    <w:rsid w:val="00322956"/>
    <w:rsid w:val="0038781C"/>
    <w:rsid w:val="00412DE4"/>
    <w:rsid w:val="00431583"/>
    <w:rsid w:val="004812D7"/>
    <w:rsid w:val="00497999"/>
    <w:rsid w:val="004C5F7C"/>
    <w:rsid w:val="005D4F59"/>
    <w:rsid w:val="006076FD"/>
    <w:rsid w:val="006547CE"/>
    <w:rsid w:val="0068283B"/>
    <w:rsid w:val="006C62C1"/>
    <w:rsid w:val="006E0DB2"/>
    <w:rsid w:val="007057F7"/>
    <w:rsid w:val="007B23C7"/>
    <w:rsid w:val="007C2846"/>
    <w:rsid w:val="007C31B2"/>
    <w:rsid w:val="007F7523"/>
    <w:rsid w:val="00850EED"/>
    <w:rsid w:val="00871C1E"/>
    <w:rsid w:val="008D7B31"/>
    <w:rsid w:val="00A26A74"/>
    <w:rsid w:val="00B14D2E"/>
    <w:rsid w:val="00B66FB2"/>
    <w:rsid w:val="00BC5BAA"/>
    <w:rsid w:val="00BE446E"/>
    <w:rsid w:val="00C14E27"/>
    <w:rsid w:val="00C419A2"/>
    <w:rsid w:val="00C51C17"/>
    <w:rsid w:val="00C5239E"/>
    <w:rsid w:val="00CD44D1"/>
    <w:rsid w:val="00D006CC"/>
    <w:rsid w:val="00D24166"/>
    <w:rsid w:val="00DD1C5B"/>
    <w:rsid w:val="00EF4BF5"/>
    <w:rsid w:val="00F03011"/>
    <w:rsid w:val="00F6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92B2"/>
  <w15:chartTrackingRefBased/>
  <w15:docId w15:val="{FCABA56C-9873-4F46-A43E-C790584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C1E"/>
  </w:style>
  <w:style w:type="paragraph" w:styleId="Heading2">
    <w:name w:val="heading 2"/>
    <w:basedOn w:val="Normal"/>
    <w:link w:val="Heading2Char"/>
    <w:uiPriority w:val="9"/>
    <w:qFormat/>
    <w:rsid w:val="00BC5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5B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5BAA"/>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B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5B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5BAA"/>
    <w:rPr>
      <w:rFonts w:ascii="Times New Roman" w:eastAsia="Times New Roman" w:hAnsi="Times New Roman" w:cs="Times New Roman"/>
      <w:b/>
      <w:bCs/>
    </w:rPr>
  </w:style>
  <w:style w:type="paragraph" w:styleId="NormalWeb">
    <w:name w:val="Normal (Web)"/>
    <w:basedOn w:val="Normal"/>
    <w:uiPriority w:val="99"/>
    <w:unhideWhenUsed/>
    <w:rsid w:val="00BC5BA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BC5BAA"/>
    <w:rPr>
      <w:b/>
      <w:bCs/>
    </w:rPr>
  </w:style>
  <w:style w:type="paragraph" w:styleId="BalloonText">
    <w:name w:val="Balloon Text"/>
    <w:basedOn w:val="Normal"/>
    <w:link w:val="BalloonTextChar"/>
    <w:uiPriority w:val="99"/>
    <w:semiHidden/>
    <w:unhideWhenUsed/>
    <w:rsid w:val="00BC5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AA"/>
    <w:rPr>
      <w:rFonts w:ascii="Segoe UI" w:hAnsi="Segoe UI" w:cs="Segoe UI"/>
      <w:sz w:val="18"/>
      <w:szCs w:val="18"/>
    </w:rPr>
  </w:style>
  <w:style w:type="paragraph" w:styleId="ListParagraph">
    <w:name w:val="List Paragraph"/>
    <w:basedOn w:val="Normal"/>
    <w:uiPriority w:val="34"/>
    <w:qFormat/>
    <w:rsid w:val="0068283B"/>
    <w:pPr>
      <w:ind w:left="720"/>
      <w:contextualSpacing/>
    </w:pPr>
  </w:style>
  <w:style w:type="character" w:styleId="Hyperlink">
    <w:name w:val="Hyperlink"/>
    <w:basedOn w:val="DefaultParagraphFont"/>
    <w:uiPriority w:val="99"/>
    <w:unhideWhenUsed/>
    <w:rsid w:val="0068283B"/>
    <w:rPr>
      <w:color w:val="0000FF"/>
      <w:u w:val="single"/>
    </w:rPr>
  </w:style>
  <w:style w:type="character" w:styleId="UnresolvedMention">
    <w:name w:val="Unresolved Mention"/>
    <w:basedOn w:val="DefaultParagraphFont"/>
    <w:uiPriority w:val="99"/>
    <w:semiHidden/>
    <w:unhideWhenUsed/>
    <w:rsid w:val="00497999"/>
    <w:rPr>
      <w:color w:val="605E5C"/>
      <w:shd w:val="clear" w:color="auto" w:fill="E1DFDD"/>
    </w:rPr>
  </w:style>
  <w:style w:type="table" w:styleId="TableGrid">
    <w:name w:val="Table Grid"/>
    <w:basedOn w:val="TableNormal"/>
    <w:uiPriority w:val="39"/>
    <w:rsid w:val="00CD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ED"/>
  </w:style>
  <w:style w:type="paragraph" w:styleId="Footer">
    <w:name w:val="footer"/>
    <w:basedOn w:val="Normal"/>
    <w:link w:val="FooterChar"/>
    <w:uiPriority w:val="99"/>
    <w:unhideWhenUsed/>
    <w:rsid w:val="0085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ED"/>
  </w:style>
  <w:style w:type="character" w:styleId="FollowedHyperlink">
    <w:name w:val="FollowedHyperlink"/>
    <w:basedOn w:val="DefaultParagraphFont"/>
    <w:uiPriority w:val="99"/>
    <w:semiHidden/>
    <w:unhideWhenUsed/>
    <w:rsid w:val="00104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8988">
      <w:bodyDiv w:val="1"/>
      <w:marLeft w:val="0"/>
      <w:marRight w:val="0"/>
      <w:marTop w:val="0"/>
      <w:marBottom w:val="0"/>
      <w:divBdr>
        <w:top w:val="none" w:sz="0" w:space="0" w:color="auto"/>
        <w:left w:val="none" w:sz="0" w:space="0" w:color="auto"/>
        <w:bottom w:val="none" w:sz="0" w:space="0" w:color="auto"/>
        <w:right w:val="none" w:sz="0" w:space="0" w:color="auto"/>
      </w:divBdr>
    </w:div>
    <w:div w:id="13361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sniewski.patti-kay@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waterriskassessment/conduct-drinking-water-or-wastewater-utility-risk-assessment" TargetMode="External"/><Relationship Id="rId5" Type="http://schemas.openxmlformats.org/officeDocument/2006/relationships/webSettings" Target="webSettings.xml"/><Relationship Id="rId10" Type="http://schemas.openxmlformats.org/officeDocument/2006/relationships/hyperlink" Target="https://www.epa.gov/waterriskassessment/baseline-information-malevolent-acts-community-water-systems" TargetMode="External"/><Relationship Id="rId4" Type="http://schemas.openxmlformats.org/officeDocument/2006/relationships/settings" Target="settings.xml"/><Relationship Id="rId9" Type="http://schemas.openxmlformats.org/officeDocument/2006/relationships/hyperlink" Target="https://www.epa.gov/waterresilience/americas-water-infrastructure-act-risk-assessments-and-emergency-response-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03AD-0922-4F3B-A7C5-98D4C377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Patti-Kay</dc:creator>
  <cp:keywords/>
  <dc:description/>
  <cp:lastModifiedBy>Wisniewski, Patti-Kay</cp:lastModifiedBy>
  <cp:revision>3</cp:revision>
  <dcterms:created xsi:type="dcterms:W3CDTF">2020-05-29T13:24:00Z</dcterms:created>
  <dcterms:modified xsi:type="dcterms:W3CDTF">2020-05-29T13:25:00Z</dcterms:modified>
</cp:coreProperties>
</file>