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CE874" w14:textId="77777777" w:rsidR="00CD44D1" w:rsidRPr="004C5F7C" w:rsidRDefault="00BC5BAA" w:rsidP="004C5F7C">
      <w:pPr>
        <w:shd w:val="clear" w:color="auto" w:fill="FFFFFF"/>
        <w:spacing w:after="0" w:line="240" w:lineRule="auto"/>
        <w:ind w:left="630" w:hanging="720"/>
        <w:outlineLvl w:val="1"/>
        <w:rPr>
          <w:rFonts w:asciiTheme="majorHAnsi" w:eastAsia="Times New Roman" w:hAnsiTheme="majorHAnsi" w:cstheme="majorHAnsi"/>
          <w:b/>
          <w:bCs/>
          <w:i/>
          <w:color w:val="212121"/>
        </w:rPr>
      </w:pPr>
      <w:r>
        <w:rPr>
          <w:noProof/>
        </w:rPr>
        <w:drawing>
          <wp:inline distT="0" distB="0" distL="0" distR="0" wp14:anchorId="7AEB726B" wp14:editId="359167D6">
            <wp:extent cx="533400" cy="533400"/>
            <wp:effectExtent l="0" t="0" r="0" b="0"/>
            <wp:docPr id="2" name="Picture 2" descr="https://www.epa.gov/sites/production/files/2013-06/epa_seal_verysmall_tr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pa.gov/sites/production/files/2013-06/epa_seal_verysmall_tri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333" cy="542333"/>
                    </a:xfrm>
                    <a:prstGeom prst="rect">
                      <a:avLst/>
                    </a:prstGeom>
                    <a:noFill/>
                    <a:ln>
                      <a:noFill/>
                    </a:ln>
                  </pic:spPr>
                </pic:pic>
              </a:graphicData>
            </a:graphic>
          </wp:inline>
        </w:drawing>
      </w:r>
      <w:r w:rsidR="00CD44D1">
        <w:rPr>
          <w:rFonts w:asciiTheme="majorHAnsi" w:eastAsia="Times New Roman" w:hAnsiTheme="majorHAnsi" w:cstheme="majorHAnsi"/>
          <w:b/>
          <w:bCs/>
          <w:i/>
          <w:color w:val="212121"/>
        </w:rPr>
        <w:t xml:space="preserve">   </w:t>
      </w:r>
    </w:p>
    <w:p w14:paraId="7FDE6B06" w14:textId="77777777" w:rsidR="004C5F7C" w:rsidRDefault="004C5F7C" w:rsidP="00BC5BAA">
      <w:pPr>
        <w:shd w:val="clear" w:color="auto" w:fill="FFFFFF"/>
        <w:spacing w:after="0" w:line="240" w:lineRule="auto"/>
        <w:rPr>
          <w:rFonts w:asciiTheme="majorHAnsi" w:eastAsia="Times New Roman" w:hAnsiTheme="majorHAnsi" w:cstheme="majorHAnsi"/>
          <w:b/>
          <w:color w:val="212121"/>
        </w:rPr>
      </w:pPr>
    </w:p>
    <w:p w14:paraId="12BCD0ED" w14:textId="77777777" w:rsidR="004C5F7C" w:rsidRDefault="00325BF3" w:rsidP="00BC5BAA">
      <w:pPr>
        <w:shd w:val="clear" w:color="auto" w:fill="FFFFFF"/>
        <w:spacing w:after="0" w:line="240" w:lineRule="auto"/>
        <w:rPr>
          <w:rFonts w:asciiTheme="majorHAnsi" w:eastAsia="Times New Roman" w:hAnsiTheme="majorHAnsi" w:cstheme="majorHAnsi"/>
          <w:color w:val="212121"/>
        </w:rPr>
      </w:pPr>
      <w:r>
        <w:rPr>
          <w:rFonts w:asciiTheme="majorHAnsi" w:eastAsia="Times New Roman" w:hAnsiTheme="majorHAnsi" w:cstheme="majorHAnsi"/>
          <w:b/>
          <w:color w:val="212121"/>
        </w:rPr>
        <w:t>Emergency Response Plans</w:t>
      </w:r>
    </w:p>
    <w:p w14:paraId="70A7BE6E" w14:textId="77777777" w:rsidR="000F178B" w:rsidRDefault="000F178B" w:rsidP="000F178B">
      <w:pPr>
        <w:shd w:val="clear" w:color="auto" w:fill="FFFFFF"/>
        <w:spacing w:after="0" w:line="240" w:lineRule="auto"/>
        <w:rPr>
          <w:rFonts w:asciiTheme="majorHAnsi" w:eastAsia="Times New Roman" w:hAnsiTheme="majorHAnsi" w:cstheme="majorHAnsi"/>
          <w:color w:val="212121"/>
          <w:szCs w:val="26"/>
        </w:rPr>
      </w:pPr>
    </w:p>
    <w:p w14:paraId="6E4173D9" w14:textId="77777777" w:rsidR="000F178B" w:rsidRPr="000F178B" w:rsidRDefault="000F178B" w:rsidP="000F178B">
      <w:pPr>
        <w:shd w:val="clear" w:color="auto" w:fill="FFFFFF"/>
        <w:spacing w:after="0" w:line="240" w:lineRule="auto"/>
        <w:rPr>
          <w:rFonts w:asciiTheme="majorHAnsi" w:eastAsia="Times New Roman" w:hAnsiTheme="majorHAnsi" w:cstheme="majorHAnsi"/>
          <w:color w:val="212121"/>
          <w:szCs w:val="26"/>
        </w:rPr>
      </w:pPr>
      <w:r w:rsidRPr="000F178B">
        <w:rPr>
          <w:rFonts w:asciiTheme="majorHAnsi" w:eastAsia="Times New Roman" w:hAnsiTheme="majorHAnsi" w:cstheme="majorHAnsi"/>
          <w:color w:val="212121"/>
          <w:szCs w:val="26"/>
        </w:rPr>
        <w:t>An E</w:t>
      </w:r>
      <w:r>
        <w:rPr>
          <w:rFonts w:asciiTheme="majorHAnsi" w:eastAsia="Times New Roman" w:hAnsiTheme="majorHAnsi" w:cstheme="majorHAnsi"/>
          <w:color w:val="212121"/>
          <w:szCs w:val="26"/>
        </w:rPr>
        <w:t xml:space="preserve">mergency </w:t>
      </w:r>
      <w:r w:rsidRPr="000F178B">
        <w:rPr>
          <w:rFonts w:asciiTheme="majorHAnsi" w:eastAsia="Times New Roman" w:hAnsiTheme="majorHAnsi" w:cstheme="majorHAnsi"/>
          <w:color w:val="212121"/>
          <w:szCs w:val="26"/>
        </w:rPr>
        <w:t>R</w:t>
      </w:r>
      <w:r>
        <w:rPr>
          <w:rFonts w:asciiTheme="majorHAnsi" w:eastAsia="Times New Roman" w:hAnsiTheme="majorHAnsi" w:cstheme="majorHAnsi"/>
          <w:color w:val="212121"/>
          <w:szCs w:val="26"/>
        </w:rPr>
        <w:t xml:space="preserve">esponse </w:t>
      </w:r>
      <w:r w:rsidRPr="000F178B">
        <w:rPr>
          <w:rFonts w:asciiTheme="majorHAnsi" w:eastAsia="Times New Roman" w:hAnsiTheme="majorHAnsi" w:cstheme="majorHAnsi"/>
          <w:color w:val="212121"/>
          <w:szCs w:val="26"/>
        </w:rPr>
        <w:t>P</w:t>
      </w:r>
      <w:r>
        <w:rPr>
          <w:rFonts w:asciiTheme="majorHAnsi" w:eastAsia="Times New Roman" w:hAnsiTheme="majorHAnsi" w:cstheme="majorHAnsi"/>
          <w:color w:val="212121"/>
          <w:szCs w:val="26"/>
        </w:rPr>
        <w:t>lan (ERP)</w:t>
      </w:r>
      <w:r w:rsidRPr="000F178B">
        <w:rPr>
          <w:rFonts w:asciiTheme="majorHAnsi" w:eastAsia="Times New Roman" w:hAnsiTheme="majorHAnsi" w:cstheme="majorHAnsi"/>
          <w:color w:val="212121"/>
          <w:szCs w:val="26"/>
        </w:rPr>
        <w:t xml:space="preserve"> describes your utility’s strategies, resources, plans and procedures to prepare for and respond to an incident, natural or man-made, that threatens life, property, or the environment. </w:t>
      </w:r>
    </w:p>
    <w:p w14:paraId="60064FA1" w14:textId="77777777" w:rsidR="000F178B" w:rsidRDefault="000F178B" w:rsidP="00B072AD">
      <w:pPr>
        <w:shd w:val="clear" w:color="auto" w:fill="FFFFFF"/>
        <w:spacing w:after="0" w:line="240" w:lineRule="auto"/>
        <w:rPr>
          <w:rFonts w:asciiTheme="majorHAnsi" w:eastAsia="Times New Roman" w:hAnsiTheme="majorHAnsi" w:cstheme="majorHAnsi"/>
          <w:color w:val="212121"/>
          <w:szCs w:val="26"/>
        </w:rPr>
      </w:pPr>
    </w:p>
    <w:p w14:paraId="6D29C0CE" w14:textId="7E8B98C2" w:rsidR="00B072AD" w:rsidRPr="00B072AD" w:rsidRDefault="00B072AD" w:rsidP="00B072AD">
      <w:pPr>
        <w:shd w:val="clear" w:color="auto" w:fill="FFFFFF"/>
        <w:spacing w:after="0" w:line="240" w:lineRule="auto"/>
        <w:rPr>
          <w:rFonts w:asciiTheme="majorHAnsi" w:eastAsia="Times New Roman" w:hAnsiTheme="majorHAnsi" w:cstheme="majorHAnsi"/>
          <w:color w:val="212121"/>
          <w:szCs w:val="26"/>
        </w:rPr>
      </w:pPr>
      <w:r w:rsidRPr="00B072AD">
        <w:rPr>
          <w:rFonts w:asciiTheme="majorHAnsi" w:eastAsia="Times New Roman" w:hAnsiTheme="majorHAnsi" w:cstheme="majorHAnsi"/>
          <w:color w:val="212121"/>
          <w:szCs w:val="26"/>
        </w:rPr>
        <w:t>Each community water system must prepare or revise, where necessary, an emergency response plan</w:t>
      </w:r>
      <w:r w:rsidR="004E0531">
        <w:rPr>
          <w:rFonts w:asciiTheme="majorHAnsi" w:eastAsia="Times New Roman" w:hAnsiTheme="majorHAnsi" w:cstheme="majorHAnsi"/>
          <w:color w:val="212121"/>
          <w:szCs w:val="26"/>
        </w:rPr>
        <w:t xml:space="preserve"> </w:t>
      </w:r>
      <w:r w:rsidRPr="00B072AD">
        <w:rPr>
          <w:rFonts w:asciiTheme="majorHAnsi" w:eastAsia="Times New Roman" w:hAnsiTheme="majorHAnsi" w:cstheme="majorHAnsi"/>
          <w:color w:val="212121"/>
          <w:szCs w:val="26"/>
        </w:rPr>
        <w:t xml:space="preserve">that incorporates the findings of the </w:t>
      </w:r>
      <w:r w:rsidR="009B0DFC">
        <w:rPr>
          <w:rFonts w:asciiTheme="majorHAnsi" w:eastAsia="Times New Roman" w:hAnsiTheme="majorHAnsi" w:cstheme="majorHAnsi"/>
          <w:color w:val="212121"/>
          <w:szCs w:val="26"/>
        </w:rPr>
        <w:t xml:space="preserve">recently completed risk </w:t>
      </w:r>
      <w:r w:rsidRPr="00B072AD">
        <w:rPr>
          <w:rFonts w:asciiTheme="majorHAnsi" w:eastAsia="Times New Roman" w:hAnsiTheme="majorHAnsi" w:cstheme="majorHAnsi"/>
          <w:color w:val="212121"/>
          <w:szCs w:val="26"/>
        </w:rPr>
        <w:t>assessment</w:t>
      </w:r>
      <w:r w:rsidR="009B0DFC">
        <w:rPr>
          <w:rFonts w:asciiTheme="majorHAnsi" w:eastAsia="Times New Roman" w:hAnsiTheme="majorHAnsi" w:cstheme="majorHAnsi"/>
          <w:color w:val="212121"/>
          <w:szCs w:val="26"/>
        </w:rPr>
        <w:t xml:space="preserve"> required by the 2018 America’s Water Infrastruc</w:t>
      </w:r>
      <w:r w:rsidR="00392283">
        <w:rPr>
          <w:rFonts w:asciiTheme="majorHAnsi" w:eastAsia="Times New Roman" w:hAnsiTheme="majorHAnsi" w:cstheme="majorHAnsi"/>
          <w:color w:val="212121"/>
          <w:szCs w:val="26"/>
        </w:rPr>
        <w:t>ture Act (AWIA)</w:t>
      </w:r>
      <w:r w:rsidRPr="00B072AD">
        <w:rPr>
          <w:rFonts w:asciiTheme="majorHAnsi" w:eastAsia="Times New Roman" w:hAnsiTheme="majorHAnsi" w:cstheme="majorHAnsi"/>
          <w:color w:val="212121"/>
          <w:szCs w:val="26"/>
        </w:rPr>
        <w:t xml:space="preserve">.  The </w:t>
      </w:r>
      <w:r w:rsidR="00D436C5">
        <w:rPr>
          <w:rFonts w:asciiTheme="majorHAnsi" w:eastAsia="Times New Roman" w:hAnsiTheme="majorHAnsi" w:cstheme="majorHAnsi"/>
          <w:color w:val="212121"/>
          <w:szCs w:val="26"/>
        </w:rPr>
        <w:t>ERP</w:t>
      </w:r>
      <w:r w:rsidRPr="00B072AD">
        <w:rPr>
          <w:rFonts w:asciiTheme="majorHAnsi" w:eastAsia="Times New Roman" w:hAnsiTheme="majorHAnsi" w:cstheme="majorHAnsi"/>
          <w:color w:val="212121"/>
          <w:szCs w:val="26"/>
        </w:rPr>
        <w:t xml:space="preserve"> shall include:</w:t>
      </w:r>
    </w:p>
    <w:p w14:paraId="75D69F8F" w14:textId="77777777" w:rsidR="00B072AD" w:rsidRPr="00D436C5" w:rsidRDefault="000F178B" w:rsidP="009B0DFC">
      <w:pPr>
        <w:numPr>
          <w:ilvl w:val="0"/>
          <w:numId w:val="3"/>
        </w:numPr>
        <w:shd w:val="clear" w:color="auto" w:fill="FFFFFF"/>
        <w:spacing w:before="100" w:beforeAutospacing="1" w:after="100" w:afterAutospacing="1" w:line="240" w:lineRule="auto"/>
        <w:ind w:left="720"/>
        <w:rPr>
          <w:rFonts w:asciiTheme="majorHAnsi" w:eastAsia="Times New Roman" w:hAnsiTheme="majorHAnsi" w:cstheme="majorHAnsi"/>
          <w:color w:val="212121"/>
          <w:sz w:val="22"/>
          <w:szCs w:val="26"/>
        </w:rPr>
      </w:pPr>
      <w:r w:rsidRPr="00D436C5">
        <w:rPr>
          <w:rFonts w:asciiTheme="majorHAnsi" w:eastAsia="Times New Roman" w:hAnsiTheme="majorHAnsi" w:cstheme="majorHAnsi"/>
          <w:color w:val="212121"/>
          <w:sz w:val="22"/>
          <w:szCs w:val="26"/>
        </w:rPr>
        <w:t>S</w:t>
      </w:r>
      <w:r w:rsidR="00B072AD" w:rsidRPr="00D436C5">
        <w:rPr>
          <w:rFonts w:asciiTheme="majorHAnsi" w:eastAsia="Times New Roman" w:hAnsiTheme="majorHAnsi" w:cstheme="majorHAnsi"/>
          <w:color w:val="212121"/>
          <w:sz w:val="22"/>
          <w:szCs w:val="26"/>
        </w:rPr>
        <w:t>trategies and resources to improve the resilience of the system, including the physical security and cybersecurity of the system</w:t>
      </w:r>
      <w:r w:rsidR="00D436C5" w:rsidRPr="00D436C5">
        <w:rPr>
          <w:rFonts w:asciiTheme="majorHAnsi" w:eastAsia="Times New Roman" w:hAnsiTheme="majorHAnsi" w:cstheme="majorHAnsi"/>
          <w:color w:val="212121"/>
          <w:sz w:val="22"/>
          <w:szCs w:val="26"/>
        </w:rPr>
        <w:t xml:space="preserve"> (</w:t>
      </w:r>
      <w:r w:rsidR="00D436C5" w:rsidRPr="00D436C5">
        <w:rPr>
          <w:rFonts w:asciiTheme="majorHAnsi" w:eastAsia="Times New Roman" w:hAnsiTheme="majorHAnsi" w:cstheme="majorHAnsi"/>
          <w:b/>
          <w:color w:val="212121"/>
          <w:sz w:val="22"/>
          <w:szCs w:val="26"/>
        </w:rPr>
        <w:t>Resilience Strategies</w:t>
      </w:r>
      <w:r w:rsidR="00D436C5" w:rsidRPr="00D436C5">
        <w:rPr>
          <w:rFonts w:asciiTheme="majorHAnsi" w:eastAsia="Times New Roman" w:hAnsiTheme="majorHAnsi" w:cstheme="majorHAnsi"/>
          <w:color w:val="212121"/>
          <w:sz w:val="22"/>
          <w:szCs w:val="26"/>
        </w:rPr>
        <w:t>)</w:t>
      </w:r>
      <w:r w:rsidR="00B072AD" w:rsidRPr="00D436C5">
        <w:rPr>
          <w:rFonts w:asciiTheme="majorHAnsi" w:eastAsia="Times New Roman" w:hAnsiTheme="majorHAnsi" w:cstheme="majorHAnsi"/>
          <w:color w:val="212121"/>
          <w:sz w:val="22"/>
          <w:szCs w:val="26"/>
        </w:rPr>
        <w:t>;</w:t>
      </w:r>
    </w:p>
    <w:p w14:paraId="45B4338D" w14:textId="77777777" w:rsidR="00B072AD" w:rsidRPr="00D436C5" w:rsidRDefault="000F178B" w:rsidP="009B0DFC">
      <w:pPr>
        <w:numPr>
          <w:ilvl w:val="0"/>
          <w:numId w:val="3"/>
        </w:numPr>
        <w:shd w:val="clear" w:color="auto" w:fill="FFFFFF"/>
        <w:spacing w:before="100" w:beforeAutospacing="1" w:after="100" w:afterAutospacing="1" w:line="240" w:lineRule="auto"/>
        <w:ind w:left="720"/>
        <w:rPr>
          <w:rFonts w:asciiTheme="majorHAnsi" w:eastAsia="Times New Roman" w:hAnsiTheme="majorHAnsi" w:cstheme="majorHAnsi"/>
          <w:color w:val="212121"/>
          <w:sz w:val="22"/>
          <w:szCs w:val="26"/>
        </w:rPr>
      </w:pPr>
      <w:r w:rsidRPr="00D436C5">
        <w:rPr>
          <w:rFonts w:asciiTheme="majorHAnsi" w:eastAsia="Times New Roman" w:hAnsiTheme="majorHAnsi" w:cstheme="majorHAnsi"/>
          <w:color w:val="212121"/>
          <w:sz w:val="22"/>
          <w:szCs w:val="26"/>
        </w:rPr>
        <w:t>P</w:t>
      </w:r>
      <w:r w:rsidR="00B072AD" w:rsidRPr="00D436C5">
        <w:rPr>
          <w:rFonts w:asciiTheme="majorHAnsi" w:eastAsia="Times New Roman" w:hAnsiTheme="majorHAnsi" w:cstheme="majorHAnsi"/>
          <w:color w:val="212121"/>
          <w:sz w:val="22"/>
          <w:szCs w:val="26"/>
        </w:rPr>
        <w:t>lans and procedures that can be implemented, and identification of equipment that can be utilized, in the event of a malevolent act or natural hazard that threatens the ability of the community water system to deliver safe drinking water</w:t>
      </w:r>
      <w:r w:rsidR="00D436C5" w:rsidRPr="00D436C5">
        <w:rPr>
          <w:rFonts w:asciiTheme="majorHAnsi" w:eastAsia="Times New Roman" w:hAnsiTheme="majorHAnsi" w:cstheme="majorHAnsi"/>
          <w:color w:val="212121"/>
          <w:sz w:val="22"/>
          <w:szCs w:val="26"/>
        </w:rPr>
        <w:t xml:space="preserve"> (</w:t>
      </w:r>
      <w:r w:rsidR="00D436C5" w:rsidRPr="00D436C5">
        <w:rPr>
          <w:rFonts w:asciiTheme="majorHAnsi" w:eastAsia="Times New Roman" w:hAnsiTheme="majorHAnsi" w:cstheme="majorHAnsi"/>
          <w:b/>
          <w:color w:val="212121"/>
          <w:sz w:val="22"/>
          <w:szCs w:val="26"/>
        </w:rPr>
        <w:t>Emergency Plans &amp; Procedures</w:t>
      </w:r>
      <w:r w:rsidR="00D436C5" w:rsidRPr="00D436C5">
        <w:rPr>
          <w:rFonts w:asciiTheme="majorHAnsi" w:eastAsia="Times New Roman" w:hAnsiTheme="majorHAnsi" w:cstheme="majorHAnsi"/>
          <w:color w:val="212121"/>
          <w:sz w:val="22"/>
          <w:szCs w:val="26"/>
        </w:rPr>
        <w:t>)</w:t>
      </w:r>
      <w:r w:rsidR="00B072AD" w:rsidRPr="00D436C5">
        <w:rPr>
          <w:rFonts w:asciiTheme="majorHAnsi" w:eastAsia="Times New Roman" w:hAnsiTheme="majorHAnsi" w:cstheme="majorHAnsi"/>
          <w:color w:val="212121"/>
          <w:sz w:val="22"/>
          <w:szCs w:val="26"/>
        </w:rPr>
        <w:t>;</w:t>
      </w:r>
    </w:p>
    <w:p w14:paraId="2D2A72C7" w14:textId="77777777" w:rsidR="00B072AD" w:rsidRPr="00D436C5" w:rsidRDefault="000F178B" w:rsidP="009B0DFC">
      <w:pPr>
        <w:numPr>
          <w:ilvl w:val="0"/>
          <w:numId w:val="3"/>
        </w:numPr>
        <w:shd w:val="clear" w:color="auto" w:fill="FFFFFF"/>
        <w:spacing w:before="100" w:beforeAutospacing="1" w:after="100" w:afterAutospacing="1" w:line="240" w:lineRule="auto"/>
        <w:ind w:left="720"/>
        <w:rPr>
          <w:rFonts w:asciiTheme="majorHAnsi" w:eastAsia="Times New Roman" w:hAnsiTheme="majorHAnsi" w:cstheme="majorHAnsi"/>
          <w:color w:val="212121"/>
          <w:sz w:val="22"/>
          <w:szCs w:val="26"/>
        </w:rPr>
      </w:pPr>
      <w:r w:rsidRPr="00D436C5">
        <w:rPr>
          <w:rFonts w:asciiTheme="majorHAnsi" w:eastAsia="Times New Roman" w:hAnsiTheme="majorHAnsi" w:cstheme="majorHAnsi"/>
          <w:color w:val="212121"/>
          <w:sz w:val="22"/>
          <w:szCs w:val="26"/>
        </w:rPr>
        <w:t>A</w:t>
      </w:r>
      <w:r w:rsidR="00B072AD" w:rsidRPr="00D436C5">
        <w:rPr>
          <w:rFonts w:asciiTheme="majorHAnsi" w:eastAsia="Times New Roman" w:hAnsiTheme="majorHAnsi" w:cstheme="majorHAnsi"/>
          <w:color w:val="212121"/>
          <w:sz w:val="22"/>
          <w:szCs w:val="26"/>
        </w:rPr>
        <w:t>ctions, procedures and equipment which can obviate or significantly lessen the impact of a malevolent act or natural hazard on the public health and the safety and supply of drinking water provided to communities and individuals, including the development of alternative source water options, relocation of water intakes and construction of flood protection barriers</w:t>
      </w:r>
      <w:r w:rsidR="00D436C5" w:rsidRPr="00D436C5">
        <w:rPr>
          <w:rFonts w:asciiTheme="majorHAnsi" w:eastAsia="Times New Roman" w:hAnsiTheme="majorHAnsi" w:cstheme="majorHAnsi"/>
          <w:color w:val="212121"/>
          <w:sz w:val="22"/>
          <w:szCs w:val="26"/>
        </w:rPr>
        <w:t xml:space="preserve"> (</w:t>
      </w:r>
      <w:r w:rsidR="00D436C5" w:rsidRPr="00D436C5">
        <w:rPr>
          <w:rFonts w:asciiTheme="majorHAnsi" w:eastAsia="Times New Roman" w:hAnsiTheme="majorHAnsi" w:cstheme="majorHAnsi"/>
          <w:b/>
          <w:color w:val="212121"/>
          <w:sz w:val="22"/>
          <w:szCs w:val="26"/>
        </w:rPr>
        <w:t>Mitigation</w:t>
      </w:r>
      <w:r w:rsidR="00D436C5" w:rsidRPr="00D436C5">
        <w:rPr>
          <w:rFonts w:asciiTheme="majorHAnsi" w:eastAsia="Times New Roman" w:hAnsiTheme="majorHAnsi" w:cstheme="majorHAnsi"/>
          <w:color w:val="212121"/>
          <w:sz w:val="22"/>
          <w:szCs w:val="26"/>
        </w:rPr>
        <w:t>)</w:t>
      </w:r>
      <w:r w:rsidR="00B072AD" w:rsidRPr="00D436C5">
        <w:rPr>
          <w:rFonts w:asciiTheme="majorHAnsi" w:eastAsia="Times New Roman" w:hAnsiTheme="majorHAnsi" w:cstheme="majorHAnsi"/>
          <w:color w:val="212121"/>
          <w:sz w:val="22"/>
          <w:szCs w:val="26"/>
        </w:rPr>
        <w:t>; and</w:t>
      </w:r>
    </w:p>
    <w:p w14:paraId="50820BDE" w14:textId="77777777" w:rsidR="00392283" w:rsidRPr="00D436C5" w:rsidRDefault="000F178B" w:rsidP="00392283">
      <w:pPr>
        <w:numPr>
          <w:ilvl w:val="0"/>
          <w:numId w:val="3"/>
        </w:numPr>
        <w:shd w:val="clear" w:color="auto" w:fill="FFFFFF"/>
        <w:spacing w:before="100" w:beforeAutospacing="1" w:after="100" w:afterAutospacing="1" w:line="240" w:lineRule="auto"/>
        <w:ind w:left="720"/>
        <w:rPr>
          <w:rFonts w:asciiTheme="majorHAnsi" w:eastAsia="Times New Roman" w:hAnsiTheme="majorHAnsi" w:cstheme="majorHAnsi"/>
          <w:color w:val="212121"/>
          <w:sz w:val="22"/>
          <w:szCs w:val="26"/>
        </w:rPr>
      </w:pPr>
      <w:r w:rsidRPr="00D436C5">
        <w:rPr>
          <w:rFonts w:asciiTheme="majorHAnsi" w:eastAsia="Times New Roman" w:hAnsiTheme="majorHAnsi" w:cstheme="majorHAnsi"/>
          <w:color w:val="212121"/>
          <w:sz w:val="22"/>
          <w:szCs w:val="26"/>
        </w:rPr>
        <w:t>S</w:t>
      </w:r>
      <w:r w:rsidR="00B072AD" w:rsidRPr="00D436C5">
        <w:rPr>
          <w:rFonts w:asciiTheme="majorHAnsi" w:eastAsia="Times New Roman" w:hAnsiTheme="majorHAnsi" w:cstheme="majorHAnsi"/>
          <w:color w:val="212121"/>
          <w:sz w:val="22"/>
          <w:szCs w:val="26"/>
        </w:rPr>
        <w:t>trategies that can be used to aid in the detection of malevolent acts or natural hazards that threaten the security or resilience of the system</w:t>
      </w:r>
      <w:r w:rsidR="00D436C5" w:rsidRPr="00D436C5">
        <w:rPr>
          <w:rFonts w:asciiTheme="majorHAnsi" w:eastAsia="Times New Roman" w:hAnsiTheme="majorHAnsi" w:cstheme="majorHAnsi"/>
          <w:color w:val="212121"/>
          <w:sz w:val="22"/>
          <w:szCs w:val="26"/>
        </w:rPr>
        <w:t xml:space="preserve"> (</w:t>
      </w:r>
      <w:r w:rsidR="00D436C5" w:rsidRPr="00D436C5">
        <w:rPr>
          <w:rFonts w:asciiTheme="majorHAnsi" w:eastAsia="Times New Roman" w:hAnsiTheme="majorHAnsi" w:cstheme="majorHAnsi"/>
          <w:b/>
          <w:color w:val="212121"/>
          <w:sz w:val="22"/>
          <w:szCs w:val="26"/>
        </w:rPr>
        <w:t>Detection Strategies</w:t>
      </w:r>
      <w:r w:rsidR="00D436C5" w:rsidRPr="00D436C5">
        <w:rPr>
          <w:rFonts w:asciiTheme="majorHAnsi" w:eastAsia="Times New Roman" w:hAnsiTheme="majorHAnsi" w:cstheme="majorHAnsi"/>
          <w:color w:val="212121"/>
          <w:sz w:val="22"/>
          <w:szCs w:val="26"/>
        </w:rPr>
        <w:t>)</w:t>
      </w:r>
      <w:r w:rsidR="00B072AD" w:rsidRPr="00D436C5">
        <w:rPr>
          <w:rFonts w:asciiTheme="majorHAnsi" w:eastAsia="Times New Roman" w:hAnsiTheme="majorHAnsi" w:cstheme="majorHAnsi"/>
          <w:color w:val="212121"/>
          <w:sz w:val="22"/>
          <w:szCs w:val="26"/>
        </w:rPr>
        <w:t>.</w:t>
      </w:r>
    </w:p>
    <w:p w14:paraId="280E19BE" w14:textId="77777777" w:rsidR="00392283" w:rsidRDefault="00392283" w:rsidP="00392283">
      <w:pPr>
        <w:shd w:val="clear" w:color="auto" w:fill="FFFFFF"/>
        <w:spacing w:before="100" w:beforeAutospacing="1" w:after="100" w:afterAutospacing="1" w:line="240" w:lineRule="auto"/>
        <w:rPr>
          <w:rFonts w:asciiTheme="majorHAnsi" w:hAnsiTheme="majorHAnsi" w:cstheme="majorHAnsi"/>
          <w:bCs/>
        </w:rPr>
      </w:pPr>
      <w:r w:rsidRPr="00392283">
        <w:rPr>
          <w:rFonts w:asciiTheme="majorHAnsi" w:hAnsiTheme="majorHAnsi" w:cstheme="majorHAnsi"/>
          <w:bCs/>
        </w:rPr>
        <w:t>EPA created ERP instructions and a template for use in creating a plan.  You are not required to use EPA’s template.  Remember, your state drinking water program may also have ERP requirements that you must follow.</w:t>
      </w:r>
    </w:p>
    <w:p w14:paraId="3FFE5C8C" w14:textId="77777777" w:rsidR="00392283" w:rsidRPr="00CD44D1" w:rsidRDefault="00392283" w:rsidP="00392283">
      <w:pPr>
        <w:shd w:val="clear" w:color="auto" w:fill="FFFFFF"/>
        <w:spacing w:after="0" w:line="240" w:lineRule="auto"/>
        <w:rPr>
          <w:rFonts w:asciiTheme="majorHAnsi" w:eastAsia="Times New Roman" w:hAnsiTheme="majorHAnsi" w:cstheme="majorHAnsi"/>
          <w:color w:val="212121"/>
        </w:rPr>
      </w:pPr>
      <w:r>
        <w:rPr>
          <w:rFonts w:asciiTheme="majorHAnsi" w:eastAsia="Times New Roman" w:hAnsiTheme="majorHAnsi" w:cstheme="majorHAnsi"/>
          <w:color w:val="212121"/>
        </w:rPr>
        <w:t xml:space="preserve">Requirements and </w:t>
      </w:r>
      <w:r w:rsidRPr="00CD44D1">
        <w:rPr>
          <w:rFonts w:asciiTheme="majorHAnsi" w:eastAsia="Times New Roman" w:hAnsiTheme="majorHAnsi" w:cstheme="majorHAnsi"/>
          <w:color w:val="212121"/>
        </w:rPr>
        <w:t xml:space="preserve">Resources </w:t>
      </w:r>
      <w:r>
        <w:rPr>
          <w:rFonts w:asciiTheme="majorHAnsi" w:eastAsia="Times New Roman" w:hAnsiTheme="majorHAnsi" w:cstheme="majorHAnsi"/>
          <w:color w:val="212121"/>
        </w:rPr>
        <w:t xml:space="preserve">to assist </w:t>
      </w:r>
      <w:r w:rsidRPr="00CD44D1">
        <w:rPr>
          <w:rFonts w:asciiTheme="majorHAnsi" w:eastAsia="Times New Roman" w:hAnsiTheme="majorHAnsi" w:cstheme="majorHAnsi"/>
          <w:color w:val="212121"/>
        </w:rPr>
        <w:t>are posted on EPA’s webpage at:</w:t>
      </w:r>
    </w:p>
    <w:p w14:paraId="1C314E7D" w14:textId="77777777" w:rsidR="00392283" w:rsidRPr="00CD44D1" w:rsidRDefault="00832537" w:rsidP="00392283">
      <w:pPr>
        <w:shd w:val="clear" w:color="auto" w:fill="FFFFFF"/>
        <w:spacing w:after="0" w:line="240" w:lineRule="auto"/>
        <w:rPr>
          <w:rFonts w:asciiTheme="majorHAnsi" w:eastAsia="Times New Roman" w:hAnsiTheme="majorHAnsi" w:cstheme="majorHAnsi"/>
          <w:color w:val="212121"/>
        </w:rPr>
      </w:pPr>
      <w:hyperlink r:id="rId9" w:history="1">
        <w:r w:rsidR="00392283" w:rsidRPr="009908DE">
          <w:rPr>
            <w:rStyle w:val="Hyperlink"/>
            <w:rFonts w:asciiTheme="majorHAnsi" w:eastAsia="Times New Roman" w:hAnsiTheme="majorHAnsi" w:cstheme="majorHAnsi"/>
          </w:rPr>
          <w:t>https://www.epa.gov/waterresilience/americas-water-infrastructure-act-risk-assessments-and-emergency-response-plans</w:t>
        </w:r>
      </w:hyperlink>
      <w:r w:rsidR="00392283">
        <w:rPr>
          <w:rFonts w:asciiTheme="majorHAnsi" w:eastAsia="Times New Roman" w:hAnsiTheme="majorHAnsi" w:cstheme="majorHAnsi"/>
          <w:color w:val="212121"/>
        </w:rPr>
        <w:t xml:space="preserve"> </w:t>
      </w:r>
    </w:p>
    <w:p w14:paraId="2A9CCCE8" w14:textId="77777777" w:rsidR="00392283" w:rsidRDefault="00392283" w:rsidP="00392283">
      <w:pPr>
        <w:pStyle w:val="NormalWeb"/>
        <w:shd w:val="clear" w:color="auto" w:fill="FFFFFF"/>
        <w:spacing w:before="0" w:beforeAutospacing="0" w:after="0" w:afterAutospacing="0"/>
        <w:rPr>
          <w:rFonts w:asciiTheme="majorHAnsi" w:hAnsiTheme="majorHAnsi" w:cstheme="majorHAnsi"/>
          <w:b/>
          <w:color w:val="212121"/>
        </w:rPr>
      </w:pPr>
    </w:p>
    <w:p w14:paraId="5C6D9C4C" w14:textId="51E00AE7" w:rsidR="00B072AD" w:rsidRDefault="00392283" w:rsidP="00B072AD">
      <w:pPr>
        <w:shd w:val="clear" w:color="auto" w:fill="FFFFFF"/>
        <w:spacing w:after="0" w:line="240" w:lineRule="auto"/>
        <w:rPr>
          <w:rFonts w:asciiTheme="majorHAnsi" w:eastAsia="Times New Roman" w:hAnsiTheme="majorHAnsi" w:cstheme="majorHAnsi"/>
          <w:color w:val="212121"/>
          <w:szCs w:val="26"/>
        </w:rPr>
      </w:pPr>
      <w:r>
        <w:rPr>
          <w:rFonts w:asciiTheme="majorHAnsi" w:eastAsia="Times New Roman" w:hAnsiTheme="majorHAnsi" w:cstheme="majorHAnsi"/>
          <w:color w:val="212121"/>
          <w:szCs w:val="26"/>
        </w:rPr>
        <w:t>C</w:t>
      </w:r>
      <w:r w:rsidR="00B072AD" w:rsidRPr="00B072AD">
        <w:rPr>
          <w:rFonts w:asciiTheme="majorHAnsi" w:eastAsia="Times New Roman" w:hAnsiTheme="majorHAnsi" w:cstheme="majorHAnsi"/>
          <w:color w:val="212121"/>
          <w:szCs w:val="26"/>
        </w:rPr>
        <w:t>ommunity water systems shall</w:t>
      </w:r>
      <w:r w:rsidR="004E0531">
        <w:rPr>
          <w:rFonts w:asciiTheme="majorHAnsi" w:eastAsia="Times New Roman" w:hAnsiTheme="majorHAnsi" w:cstheme="majorHAnsi"/>
          <w:color w:val="212121"/>
          <w:szCs w:val="26"/>
        </w:rPr>
        <w:t>,</w:t>
      </w:r>
      <w:r w:rsidR="00B072AD" w:rsidRPr="00B072AD">
        <w:rPr>
          <w:rFonts w:asciiTheme="majorHAnsi" w:eastAsia="Times New Roman" w:hAnsiTheme="majorHAnsi" w:cstheme="majorHAnsi"/>
          <w:color w:val="212121"/>
          <w:szCs w:val="26"/>
        </w:rPr>
        <w:t xml:space="preserve"> to the extent possible</w:t>
      </w:r>
      <w:r w:rsidR="004E0531">
        <w:rPr>
          <w:rFonts w:asciiTheme="majorHAnsi" w:eastAsia="Times New Roman" w:hAnsiTheme="majorHAnsi" w:cstheme="majorHAnsi"/>
          <w:color w:val="212121"/>
          <w:szCs w:val="26"/>
        </w:rPr>
        <w:t>,</w:t>
      </w:r>
      <w:r w:rsidR="00B072AD" w:rsidRPr="00B072AD">
        <w:rPr>
          <w:rFonts w:asciiTheme="majorHAnsi" w:eastAsia="Times New Roman" w:hAnsiTheme="majorHAnsi" w:cstheme="majorHAnsi"/>
          <w:color w:val="212121"/>
          <w:szCs w:val="26"/>
        </w:rPr>
        <w:t xml:space="preserve"> coordinate with local emergency planning committees established under the Emergency Planning and Community Right-To-Know Act of 1986 when preparing or revising an assessment or emergency response plan under the AWIA.</w:t>
      </w:r>
      <w:r w:rsidR="004E0531">
        <w:rPr>
          <w:rFonts w:asciiTheme="majorHAnsi" w:eastAsia="Times New Roman" w:hAnsiTheme="majorHAnsi" w:cstheme="majorHAnsi"/>
          <w:color w:val="212121"/>
          <w:szCs w:val="26"/>
        </w:rPr>
        <w:t xml:space="preserve"> </w:t>
      </w:r>
      <w:r w:rsidR="00B072AD" w:rsidRPr="00B072AD">
        <w:rPr>
          <w:rFonts w:asciiTheme="majorHAnsi" w:eastAsia="Times New Roman" w:hAnsiTheme="majorHAnsi" w:cstheme="majorHAnsi"/>
          <w:color w:val="212121"/>
          <w:szCs w:val="26"/>
        </w:rPr>
        <w:t xml:space="preserve"> Further, systems must maintain a copy of the assessment and emergency response plan for five years after certifying the plan to the EPA.</w:t>
      </w:r>
    </w:p>
    <w:p w14:paraId="1B0F1497" w14:textId="2C95A213" w:rsidR="00214D24" w:rsidRDefault="00214D24" w:rsidP="00B072AD">
      <w:pPr>
        <w:shd w:val="clear" w:color="auto" w:fill="FFFFFF"/>
        <w:spacing w:after="0" w:line="240" w:lineRule="auto"/>
        <w:rPr>
          <w:rFonts w:asciiTheme="majorHAnsi" w:eastAsia="Times New Roman" w:hAnsiTheme="majorHAnsi" w:cstheme="majorHAnsi"/>
          <w:color w:val="212121"/>
          <w:szCs w:val="26"/>
        </w:rPr>
      </w:pPr>
    </w:p>
    <w:p w14:paraId="037775BE" w14:textId="0C389072" w:rsidR="00214D24" w:rsidRPr="00B072AD" w:rsidRDefault="00214D24" w:rsidP="00B072AD">
      <w:pPr>
        <w:shd w:val="clear" w:color="auto" w:fill="FFFFFF"/>
        <w:spacing w:after="0" w:line="240" w:lineRule="auto"/>
        <w:rPr>
          <w:rFonts w:asciiTheme="majorHAnsi" w:eastAsia="Times New Roman" w:hAnsiTheme="majorHAnsi" w:cstheme="majorHAnsi"/>
          <w:color w:val="212121"/>
          <w:szCs w:val="26"/>
        </w:rPr>
      </w:pPr>
      <w:r>
        <w:rPr>
          <w:rFonts w:asciiTheme="majorHAnsi" w:eastAsia="Times New Roman" w:hAnsiTheme="majorHAnsi" w:cstheme="majorHAnsi"/>
          <w:color w:val="212121"/>
          <w:szCs w:val="26"/>
        </w:rPr>
        <w:t xml:space="preserve">Finally, your plan is only as good as everyone’s awareness of it and their roles.  </w:t>
      </w:r>
      <w:proofErr w:type="gramStart"/>
      <w:r>
        <w:rPr>
          <w:rFonts w:asciiTheme="majorHAnsi" w:eastAsia="Times New Roman" w:hAnsiTheme="majorHAnsi" w:cstheme="majorHAnsi"/>
          <w:color w:val="212121"/>
          <w:szCs w:val="26"/>
        </w:rPr>
        <w:t>So</w:t>
      </w:r>
      <w:proofErr w:type="gramEnd"/>
      <w:r>
        <w:rPr>
          <w:rFonts w:asciiTheme="majorHAnsi" w:eastAsia="Times New Roman" w:hAnsiTheme="majorHAnsi" w:cstheme="majorHAnsi"/>
          <w:color w:val="212121"/>
          <w:szCs w:val="26"/>
        </w:rPr>
        <w:t xml:space="preserve"> train on and practice your response plan at least annually, updating as needed.</w:t>
      </w:r>
    </w:p>
    <w:p w14:paraId="7411FC67" w14:textId="710A2660" w:rsidR="001D0924" w:rsidRDefault="001D0924" w:rsidP="00BC5BAA">
      <w:pPr>
        <w:shd w:val="clear" w:color="auto" w:fill="FFFFFF"/>
        <w:spacing w:after="0" w:line="240" w:lineRule="auto"/>
        <w:rPr>
          <w:rFonts w:asciiTheme="majorHAnsi" w:eastAsia="Times New Roman" w:hAnsiTheme="majorHAnsi" w:cstheme="majorHAnsi"/>
          <w:color w:val="212121"/>
        </w:rPr>
      </w:pPr>
    </w:p>
    <w:p w14:paraId="2D6F1D39" w14:textId="1AC0E05C" w:rsidR="00214D24" w:rsidRDefault="00214D24" w:rsidP="00BC5BAA">
      <w:pPr>
        <w:shd w:val="clear" w:color="auto" w:fill="FFFFFF"/>
        <w:spacing w:after="0" w:line="240" w:lineRule="auto"/>
        <w:rPr>
          <w:rFonts w:asciiTheme="majorHAnsi" w:eastAsia="Times New Roman" w:hAnsiTheme="majorHAnsi" w:cstheme="majorHAnsi"/>
          <w:color w:val="212121"/>
        </w:rPr>
      </w:pPr>
    </w:p>
    <w:p w14:paraId="746BFC4A" w14:textId="77777777" w:rsidR="00214D24" w:rsidRDefault="00214D24" w:rsidP="00BC5BAA">
      <w:pPr>
        <w:shd w:val="clear" w:color="auto" w:fill="FFFFFF"/>
        <w:spacing w:after="0" w:line="240" w:lineRule="auto"/>
        <w:rPr>
          <w:rFonts w:asciiTheme="majorHAnsi" w:eastAsia="Times New Roman" w:hAnsiTheme="majorHAnsi" w:cstheme="majorHAnsi"/>
          <w:color w:val="212121"/>
        </w:rPr>
      </w:pPr>
    </w:p>
    <w:p w14:paraId="710CF1BA" w14:textId="77777777" w:rsidR="001D0924" w:rsidRDefault="001D0924" w:rsidP="00BC5BAA">
      <w:pPr>
        <w:shd w:val="clear" w:color="auto" w:fill="FFFFFF"/>
        <w:spacing w:after="0" w:line="240" w:lineRule="auto"/>
        <w:rPr>
          <w:rFonts w:asciiTheme="majorHAnsi" w:eastAsia="Times New Roman" w:hAnsiTheme="majorHAnsi" w:cstheme="majorHAnsi"/>
          <w:b/>
          <w:color w:val="212121"/>
        </w:rPr>
      </w:pPr>
      <w:r w:rsidRPr="001D0924">
        <w:rPr>
          <w:rFonts w:asciiTheme="majorHAnsi" w:eastAsia="Times New Roman" w:hAnsiTheme="majorHAnsi" w:cstheme="majorHAnsi"/>
          <w:b/>
          <w:color w:val="212121"/>
        </w:rPr>
        <w:t>DEADLINE</w:t>
      </w:r>
    </w:p>
    <w:p w14:paraId="18A26595" w14:textId="6DBA9F09" w:rsidR="00CD44D1" w:rsidRDefault="00CD44D1" w:rsidP="00BC5BAA">
      <w:pPr>
        <w:shd w:val="clear" w:color="auto" w:fill="FFFFFF"/>
        <w:spacing w:after="0" w:line="240" w:lineRule="auto"/>
        <w:rPr>
          <w:rFonts w:asciiTheme="majorHAnsi" w:eastAsia="Times New Roman" w:hAnsiTheme="majorHAnsi" w:cstheme="majorHAnsi"/>
          <w:b/>
          <w:color w:val="212121"/>
        </w:rPr>
      </w:pPr>
    </w:p>
    <w:p w14:paraId="2B741BB9" w14:textId="20586100" w:rsidR="00214D24" w:rsidRDefault="00214D24" w:rsidP="00BC5BAA">
      <w:pPr>
        <w:shd w:val="clear" w:color="auto" w:fill="FFFFFF"/>
        <w:spacing w:after="0" w:line="240" w:lineRule="auto"/>
        <w:rPr>
          <w:rFonts w:asciiTheme="majorHAnsi" w:eastAsia="Times New Roman" w:hAnsiTheme="majorHAnsi" w:cstheme="majorHAnsi"/>
          <w:b/>
          <w:color w:val="212121"/>
        </w:rPr>
      </w:pPr>
    </w:p>
    <w:p w14:paraId="798DF9D7" w14:textId="77777777" w:rsidR="00214D24" w:rsidRPr="001D0924" w:rsidRDefault="00214D24" w:rsidP="00BC5BAA">
      <w:pPr>
        <w:shd w:val="clear" w:color="auto" w:fill="FFFFFF"/>
        <w:spacing w:after="0" w:line="240" w:lineRule="auto"/>
        <w:rPr>
          <w:rFonts w:asciiTheme="majorHAnsi" w:eastAsia="Times New Roman" w:hAnsiTheme="majorHAnsi" w:cstheme="majorHAnsi"/>
          <w:b/>
          <w:color w:val="212121"/>
        </w:rPr>
      </w:pPr>
    </w:p>
    <w:tbl>
      <w:tblPr>
        <w:tblStyle w:val="TableGrid"/>
        <w:tblW w:w="0" w:type="auto"/>
        <w:tblInd w:w="1735" w:type="dxa"/>
        <w:tblLook w:val="04A0" w:firstRow="1" w:lastRow="0" w:firstColumn="1" w:lastColumn="0" w:noHBand="0" w:noVBand="1"/>
      </w:tblPr>
      <w:tblGrid>
        <w:gridCol w:w="6090"/>
      </w:tblGrid>
      <w:tr w:rsidR="00325BF3" w:rsidRPr="00FD7A66" w14:paraId="42FF4CB4" w14:textId="77777777" w:rsidTr="00B072AD">
        <w:tc>
          <w:tcPr>
            <w:tcW w:w="6090" w:type="dxa"/>
            <w:vAlign w:val="center"/>
          </w:tcPr>
          <w:p w14:paraId="291FC618" w14:textId="77777777" w:rsidR="00325BF3" w:rsidRPr="00FD7A66" w:rsidRDefault="00325BF3" w:rsidP="006F67B4">
            <w:pPr>
              <w:jc w:val="center"/>
              <w:rPr>
                <w:rFonts w:asciiTheme="majorHAnsi" w:hAnsiTheme="majorHAnsi" w:cstheme="majorHAnsi"/>
                <w:b/>
                <w:sz w:val="28"/>
              </w:rPr>
            </w:pPr>
            <w:r>
              <w:rPr>
                <w:rFonts w:asciiTheme="majorHAnsi" w:hAnsiTheme="majorHAnsi" w:cstheme="majorHAnsi"/>
                <w:b/>
                <w:sz w:val="28"/>
              </w:rPr>
              <w:t xml:space="preserve">All Emergency Response Plans must be </w:t>
            </w:r>
            <w:r w:rsidR="00392283">
              <w:rPr>
                <w:rFonts w:asciiTheme="majorHAnsi" w:hAnsiTheme="majorHAnsi" w:cstheme="majorHAnsi"/>
                <w:b/>
                <w:sz w:val="28"/>
              </w:rPr>
              <w:t>complet</w:t>
            </w:r>
            <w:r>
              <w:rPr>
                <w:rFonts w:asciiTheme="majorHAnsi" w:hAnsiTheme="majorHAnsi" w:cstheme="majorHAnsi"/>
                <w:b/>
                <w:sz w:val="28"/>
              </w:rPr>
              <w:t>ed</w:t>
            </w:r>
            <w:r w:rsidR="00B072AD">
              <w:rPr>
                <w:rFonts w:asciiTheme="majorHAnsi" w:hAnsiTheme="majorHAnsi" w:cstheme="majorHAnsi"/>
                <w:b/>
                <w:sz w:val="28"/>
              </w:rPr>
              <w:t>,</w:t>
            </w:r>
            <w:r>
              <w:rPr>
                <w:rFonts w:asciiTheme="majorHAnsi" w:hAnsiTheme="majorHAnsi" w:cstheme="majorHAnsi"/>
                <w:b/>
                <w:sz w:val="28"/>
              </w:rPr>
              <w:t xml:space="preserve"> and a certification provided to EPA within 6 months of completion of the certification of the risk assessment</w:t>
            </w:r>
            <w:r w:rsidR="00B072AD">
              <w:rPr>
                <w:rFonts w:asciiTheme="majorHAnsi" w:hAnsiTheme="majorHAnsi" w:cstheme="majorHAnsi"/>
                <w:b/>
                <w:sz w:val="28"/>
              </w:rPr>
              <w:t>.</w:t>
            </w:r>
          </w:p>
        </w:tc>
      </w:tr>
    </w:tbl>
    <w:p w14:paraId="572E61E4" w14:textId="77777777" w:rsidR="00BC5BAA" w:rsidRDefault="00BC5BAA" w:rsidP="00BC5BAA">
      <w:pPr>
        <w:shd w:val="clear" w:color="auto" w:fill="FFFFFF"/>
        <w:spacing w:after="0" w:line="240" w:lineRule="auto"/>
        <w:rPr>
          <w:rFonts w:asciiTheme="majorHAnsi" w:eastAsia="Times New Roman" w:hAnsiTheme="majorHAnsi" w:cstheme="majorHAnsi"/>
          <w:color w:val="212121"/>
        </w:rPr>
      </w:pPr>
    </w:p>
    <w:p w14:paraId="6D081B2F" w14:textId="77777777" w:rsidR="00497999" w:rsidRPr="004C5F7C" w:rsidRDefault="004C5F7C" w:rsidP="00CD44D1">
      <w:pPr>
        <w:pStyle w:val="NormalWeb"/>
        <w:shd w:val="clear" w:color="auto" w:fill="FFFFFF"/>
        <w:spacing w:before="0" w:beforeAutospacing="0" w:after="0" w:afterAutospacing="0"/>
        <w:rPr>
          <w:rFonts w:asciiTheme="majorHAnsi" w:hAnsiTheme="majorHAnsi" w:cstheme="majorHAnsi"/>
          <w:b/>
          <w:color w:val="212121"/>
        </w:rPr>
      </w:pPr>
      <w:bookmarkStart w:id="0" w:name="_GoBack"/>
      <w:bookmarkEnd w:id="0"/>
      <w:r w:rsidRPr="004C5F7C">
        <w:rPr>
          <w:rFonts w:asciiTheme="majorHAnsi" w:hAnsiTheme="majorHAnsi" w:cstheme="majorHAnsi"/>
          <w:b/>
          <w:color w:val="212121"/>
        </w:rPr>
        <w:t>Electronic Submission of Certification</w:t>
      </w:r>
    </w:p>
    <w:p w14:paraId="6B07BD5A" w14:textId="77777777" w:rsidR="004C5F7C" w:rsidRDefault="004C5F7C" w:rsidP="00CD44D1">
      <w:pPr>
        <w:pStyle w:val="NormalWeb"/>
        <w:shd w:val="clear" w:color="auto" w:fill="FFFFFF"/>
        <w:spacing w:before="0" w:beforeAutospacing="0" w:after="0" w:afterAutospacing="0"/>
        <w:rPr>
          <w:rFonts w:asciiTheme="majorHAnsi" w:hAnsiTheme="majorHAnsi" w:cstheme="majorHAnsi"/>
          <w:color w:val="212121"/>
        </w:rPr>
      </w:pPr>
      <w:r>
        <w:rPr>
          <w:rFonts w:asciiTheme="majorHAnsi" w:hAnsiTheme="majorHAnsi" w:cstheme="majorHAnsi"/>
          <w:color w:val="212121"/>
        </w:rPr>
        <w:t>EPA strongly recommends electronic submission of your water system’s certification statement.  This is the only reporting method where EPA will be able to provide an acknowledgement of receipt of your certification statement.</w:t>
      </w:r>
    </w:p>
    <w:p w14:paraId="22F81976" w14:textId="77777777" w:rsidR="004C5F7C" w:rsidRDefault="004C5F7C" w:rsidP="00CD44D1">
      <w:pPr>
        <w:pStyle w:val="NormalWeb"/>
        <w:shd w:val="clear" w:color="auto" w:fill="FFFFFF"/>
        <w:spacing w:before="0" w:beforeAutospacing="0" w:after="0" w:afterAutospacing="0"/>
        <w:rPr>
          <w:rFonts w:asciiTheme="majorHAnsi" w:hAnsiTheme="majorHAnsi" w:cstheme="majorHAnsi"/>
          <w:color w:val="212121"/>
        </w:rPr>
      </w:pPr>
    </w:p>
    <w:p w14:paraId="22F58FC6" w14:textId="77777777" w:rsidR="00BC5BAA" w:rsidRDefault="00BC5BAA" w:rsidP="00BC5BAA">
      <w:pPr>
        <w:pStyle w:val="NormalWeb"/>
        <w:shd w:val="clear" w:color="auto" w:fill="FFFFFF"/>
        <w:spacing w:before="0" w:beforeAutospacing="0" w:after="0" w:afterAutospacing="0"/>
        <w:rPr>
          <w:rFonts w:asciiTheme="majorHAnsi" w:hAnsiTheme="majorHAnsi" w:cstheme="majorHAnsi"/>
          <w:color w:val="212121"/>
        </w:rPr>
      </w:pPr>
      <w:r w:rsidRPr="00BC5BAA">
        <w:rPr>
          <w:rFonts w:asciiTheme="majorHAnsi" w:hAnsiTheme="majorHAnsi" w:cstheme="majorHAnsi"/>
          <w:color w:val="212121"/>
        </w:rPr>
        <w:t>Please have your PWSID number available before you begin the certification process.</w:t>
      </w:r>
      <w:r w:rsidR="00497999">
        <w:rPr>
          <w:rFonts w:asciiTheme="majorHAnsi" w:hAnsiTheme="majorHAnsi" w:cstheme="majorHAnsi"/>
          <w:color w:val="212121"/>
        </w:rPr>
        <w:t xml:space="preserve">  You will need to register each PWSID number as you begin this process.</w:t>
      </w:r>
      <w:r w:rsidR="00325BF3">
        <w:rPr>
          <w:rFonts w:asciiTheme="majorHAnsi" w:hAnsiTheme="majorHAnsi" w:cstheme="majorHAnsi"/>
          <w:color w:val="212121"/>
        </w:rPr>
        <w:t xml:space="preserve">  If you registered to certify your Risk Assessment, you do not need to register again.</w:t>
      </w:r>
    </w:p>
    <w:p w14:paraId="4199527B" w14:textId="77777777" w:rsidR="00497999" w:rsidRDefault="00497999" w:rsidP="00BC5BAA">
      <w:pPr>
        <w:pStyle w:val="NormalWeb"/>
        <w:shd w:val="clear" w:color="auto" w:fill="FFFFFF"/>
        <w:spacing w:before="0" w:beforeAutospacing="0" w:after="0" w:afterAutospacing="0"/>
        <w:rPr>
          <w:rFonts w:asciiTheme="majorHAnsi" w:hAnsiTheme="majorHAnsi" w:cstheme="majorHAnsi"/>
          <w:color w:val="212121"/>
        </w:rPr>
      </w:pPr>
    </w:p>
    <w:p w14:paraId="31FE1153" w14:textId="77777777" w:rsidR="00BC5BAA" w:rsidRPr="00B14D2E" w:rsidRDefault="00497999" w:rsidP="00B14D2E">
      <w:pPr>
        <w:pStyle w:val="NormalWeb"/>
        <w:shd w:val="clear" w:color="auto" w:fill="FFFFFF"/>
        <w:spacing w:before="0" w:beforeAutospacing="0" w:after="0" w:afterAutospacing="0"/>
        <w:rPr>
          <w:rFonts w:asciiTheme="majorHAnsi" w:hAnsiTheme="majorHAnsi" w:cstheme="majorHAnsi"/>
          <w:color w:val="212121"/>
        </w:rPr>
      </w:pPr>
      <w:r>
        <w:rPr>
          <w:rFonts w:asciiTheme="majorHAnsi" w:hAnsiTheme="majorHAnsi" w:cstheme="majorHAnsi"/>
          <w:color w:val="212121"/>
        </w:rPr>
        <w:t xml:space="preserve">For additional information, contact Patti Kay Wisniewski, EPA Region 3 Drinking Water Preparedness and Resilience Coordinator, at </w:t>
      </w:r>
      <w:hyperlink r:id="rId10" w:history="1">
        <w:r w:rsidRPr="0029496D">
          <w:rPr>
            <w:rStyle w:val="Hyperlink"/>
            <w:rFonts w:asciiTheme="majorHAnsi" w:hAnsiTheme="majorHAnsi" w:cstheme="majorHAnsi"/>
          </w:rPr>
          <w:t>Wisniewski.patti-kay@epa.gov</w:t>
        </w:r>
      </w:hyperlink>
      <w:r>
        <w:rPr>
          <w:rFonts w:asciiTheme="majorHAnsi" w:hAnsiTheme="majorHAnsi" w:cstheme="majorHAnsi"/>
          <w:color w:val="212121"/>
        </w:rPr>
        <w:t xml:space="preserve"> or 215-814-5668</w:t>
      </w:r>
      <w:r w:rsidR="00B14D2E">
        <w:rPr>
          <w:rFonts w:asciiTheme="majorHAnsi" w:hAnsiTheme="majorHAnsi" w:cstheme="majorHAnsi"/>
          <w:color w:val="212121"/>
        </w:rPr>
        <w:t>.</w:t>
      </w:r>
    </w:p>
    <w:sectPr w:rsidR="00BC5BAA" w:rsidRPr="00B14D2E" w:rsidSect="002E57D7">
      <w:headerReference w:type="default" r:id="rId11"/>
      <w:pgSz w:w="12240" w:h="15840"/>
      <w:pgMar w:top="90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09B7D" w14:textId="77777777" w:rsidR="00832537" w:rsidRDefault="00832537" w:rsidP="00850EED">
      <w:pPr>
        <w:spacing w:after="0" w:line="240" w:lineRule="auto"/>
      </w:pPr>
      <w:r>
        <w:separator/>
      </w:r>
    </w:p>
  </w:endnote>
  <w:endnote w:type="continuationSeparator" w:id="0">
    <w:p w14:paraId="07B17C18" w14:textId="77777777" w:rsidR="00832537" w:rsidRDefault="00832537" w:rsidP="00850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83FC8" w14:textId="77777777" w:rsidR="00832537" w:rsidRDefault="00832537" w:rsidP="00850EED">
      <w:pPr>
        <w:spacing w:after="0" w:line="240" w:lineRule="auto"/>
      </w:pPr>
      <w:r>
        <w:separator/>
      </w:r>
    </w:p>
  </w:footnote>
  <w:footnote w:type="continuationSeparator" w:id="0">
    <w:p w14:paraId="659C1E7C" w14:textId="77777777" w:rsidR="00832537" w:rsidRDefault="00832537" w:rsidP="00850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AE371" w14:textId="77777777" w:rsidR="00B072AD" w:rsidRDefault="00B072AD" w:rsidP="00B072AD">
    <w:pPr>
      <w:pStyle w:val="Header"/>
      <w:jc w:val="right"/>
      <w:rPr>
        <w:rFonts w:asciiTheme="majorHAnsi" w:eastAsia="Times New Roman" w:hAnsiTheme="majorHAnsi" w:cstheme="majorHAnsi"/>
        <w:b/>
        <w:bCs/>
        <w:i/>
        <w:color w:val="212121"/>
      </w:rPr>
    </w:pPr>
    <w:r w:rsidRPr="007F7523">
      <w:rPr>
        <w:rFonts w:asciiTheme="majorHAnsi" w:eastAsia="Times New Roman" w:hAnsiTheme="majorHAnsi" w:cstheme="majorHAnsi"/>
        <w:b/>
        <w:bCs/>
        <w:i/>
        <w:color w:val="212121"/>
      </w:rPr>
      <w:t xml:space="preserve">This article is </w:t>
    </w:r>
    <w:r>
      <w:rPr>
        <w:rFonts w:asciiTheme="majorHAnsi" w:eastAsia="Times New Roman" w:hAnsiTheme="majorHAnsi" w:cstheme="majorHAnsi"/>
        <w:b/>
        <w:bCs/>
        <w:i/>
        <w:color w:val="212121"/>
      </w:rPr>
      <w:t>P</w:t>
    </w:r>
    <w:r w:rsidRPr="007F7523">
      <w:rPr>
        <w:rFonts w:asciiTheme="majorHAnsi" w:eastAsia="Times New Roman" w:hAnsiTheme="majorHAnsi" w:cstheme="majorHAnsi"/>
        <w:b/>
        <w:bCs/>
        <w:i/>
        <w:color w:val="212121"/>
      </w:rPr>
      <w:t xml:space="preserve">art </w:t>
    </w:r>
    <w:r>
      <w:rPr>
        <w:rFonts w:asciiTheme="majorHAnsi" w:eastAsia="Times New Roman" w:hAnsiTheme="majorHAnsi" w:cstheme="majorHAnsi"/>
        <w:b/>
        <w:bCs/>
        <w:i/>
        <w:color w:val="212121"/>
      </w:rPr>
      <w:t>2</w:t>
    </w:r>
    <w:r w:rsidRPr="007F7523">
      <w:rPr>
        <w:rFonts w:asciiTheme="majorHAnsi" w:eastAsia="Times New Roman" w:hAnsiTheme="majorHAnsi" w:cstheme="majorHAnsi"/>
        <w:b/>
        <w:bCs/>
        <w:i/>
        <w:color w:val="212121"/>
      </w:rPr>
      <w:t xml:space="preserve"> in a series of articles outlining the requirements</w:t>
    </w:r>
  </w:p>
  <w:p w14:paraId="79942C2E" w14:textId="77777777" w:rsidR="00B072AD" w:rsidRDefault="00B072AD" w:rsidP="00B072AD">
    <w:pPr>
      <w:pStyle w:val="Header"/>
      <w:jc w:val="right"/>
    </w:pPr>
    <w:r w:rsidRPr="007F7523">
      <w:rPr>
        <w:rFonts w:asciiTheme="majorHAnsi" w:eastAsia="Times New Roman" w:hAnsiTheme="majorHAnsi" w:cstheme="majorHAnsi"/>
        <w:b/>
        <w:bCs/>
        <w:i/>
        <w:color w:val="212121"/>
      </w:rPr>
      <w:t xml:space="preserve"> under </w:t>
    </w:r>
    <w:r>
      <w:rPr>
        <w:rFonts w:asciiTheme="majorHAnsi" w:eastAsia="Times New Roman" w:hAnsiTheme="majorHAnsi" w:cstheme="majorHAnsi"/>
        <w:b/>
        <w:bCs/>
        <w:i/>
        <w:color w:val="212121"/>
      </w:rPr>
      <w:t xml:space="preserve">the 2018 </w:t>
    </w:r>
    <w:r w:rsidRPr="007F7523">
      <w:rPr>
        <w:rFonts w:asciiTheme="majorHAnsi" w:eastAsia="Times New Roman" w:hAnsiTheme="majorHAnsi" w:cstheme="majorHAnsi"/>
        <w:b/>
        <w:bCs/>
        <w:i/>
        <w:color w:val="212121"/>
      </w:rPr>
      <w:t>America’s Water Infrastructure 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85C1A"/>
    <w:multiLevelType w:val="multilevel"/>
    <w:tmpl w:val="4672FD96"/>
    <w:lvl w:ilvl="0">
      <w:start w:val="1"/>
      <w:numFmt w:val="decimal"/>
      <w:lvlText w:val="%1."/>
      <w:lvlJc w:val="left"/>
      <w:pPr>
        <w:tabs>
          <w:tab w:val="num" w:pos="2520"/>
        </w:tabs>
        <w:ind w:left="2520" w:hanging="360"/>
      </w:pPr>
      <w:rPr>
        <w:rFonts w:asciiTheme="majorHAnsi" w:eastAsia="Times New Roman" w:hAnsiTheme="majorHAnsi" w:cstheme="majorHAnsi"/>
      </w:r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1" w15:restartNumberingAfterBreak="0">
    <w:nsid w:val="24965558"/>
    <w:multiLevelType w:val="multilevel"/>
    <w:tmpl w:val="B8D8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53B21"/>
    <w:multiLevelType w:val="hybridMultilevel"/>
    <w:tmpl w:val="56183FD0"/>
    <w:lvl w:ilvl="0" w:tplc="A1B8B508">
      <w:start w:val="1"/>
      <w:numFmt w:val="bullet"/>
      <w:lvlText w:val=""/>
      <w:lvlJc w:val="left"/>
      <w:pPr>
        <w:tabs>
          <w:tab w:val="num" w:pos="720"/>
        </w:tabs>
        <w:ind w:left="720" w:hanging="360"/>
      </w:pPr>
      <w:rPr>
        <w:rFonts w:ascii="Wingdings" w:hAnsi="Wingdings" w:hint="default"/>
      </w:rPr>
    </w:lvl>
    <w:lvl w:ilvl="1" w:tplc="6FB6381E" w:tentative="1">
      <w:start w:val="1"/>
      <w:numFmt w:val="bullet"/>
      <w:lvlText w:val=""/>
      <w:lvlJc w:val="left"/>
      <w:pPr>
        <w:tabs>
          <w:tab w:val="num" w:pos="1440"/>
        </w:tabs>
        <w:ind w:left="1440" w:hanging="360"/>
      </w:pPr>
      <w:rPr>
        <w:rFonts w:ascii="Wingdings" w:hAnsi="Wingdings" w:hint="default"/>
      </w:rPr>
    </w:lvl>
    <w:lvl w:ilvl="2" w:tplc="4A36467C" w:tentative="1">
      <w:start w:val="1"/>
      <w:numFmt w:val="bullet"/>
      <w:lvlText w:val=""/>
      <w:lvlJc w:val="left"/>
      <w:pPr>
        <w:tabs>
          <w:tab w:val="num" w:pos="2160"/>
        </w:tabs>
        <w:ind w:left="2160" w:hanging="360"/>
      </w:pPr>
      <w:rPr>
        <w:rFonts w:ascii="Wingdings" w:hAnsi="Wingdings" w:hint="default"/>
      </w:rPr>
    </w:lvl>
    <w:lvl w:ilvl="3" w:tplc="638683B2" w:tentative="1">
      <w:start w:val="1"/>
      <w:numFmt w:val="bullet"/>
      <w:lvlText w:val=""/>
      <w:lvlJc w:val="left"/>
      <w:pPr>
        <w:tabs>
          <w:tab w:val="num" w:pos="2880"/>
        </w:tabs>
        <w:ind w:left="2880" w:hanging="360"/>
      </w:pPr>
      <w:rPr>
        <w:rFonts w:ascii="Wingdings" w:hAnsi="Wingdings" w:hint="default"/>
      </w:rPr>
    </w:lvl>
    <w:lvl w:ilvl="4" w:tplc="AFF4D9F4" w:tentative="1">
      <w:start w:val="1"/>
      <w:numFmt w:val="bullet"/>
      <w:lvlText w:val=""/>
      <w:lvlJc w:val="left"/>
      <w:pPr>
        <w:tabs>
          <w:tab w:val="num" w:pos="3600"/>
        </w:tabs>
        <w:ind w:left="3600" w:hanging="360"/>
      </w:pPr>
      <w:rPr>
        <w:rFonts w:ascii="Wingdings" w:hAnsi="Wingdings" w:hint="default"/>
      </w:rPr>
    </w:lvl>
    <w:lvl w:ilvl="5" w:tplc="0352A80C" w:tentative="1">
      <w:start w:val="1"/>
      <w:numFmt w:val="bullet"/>
      <w:lvlText w:val=""/>
      <w:lvlJc w:val="left"/>
      <w:pPr>
        <w:tabs>
          <w:tab w:val="num" w:pos="4320"/>
        </w:tabs>
        <w:ind w:left="4320" w:hanging="360"/>
      </w:pPr>
      <w:rPr>
        <w:rFonts w:ascii="Wingdings" w:hAnsi="Wingdings" w:hint="default"/>
      </w:rPr>
    </w:lvl>
    <w:lvl w:ilvl="6" w:tplc="4C20DEEC" w:tentative="1">
      <w:start w:val="1"/>
      <w:numFmt w:val="bullet"/>
      <w:lvlText w:val=""/>
      <w:lvlJc w:val="left"/>
      <w:pPr>
        <w:tabs>
          <w:tab w:val="num" w:pos="5040"/>
        </w:tabs>
        <w:ind w:left="5040" w:hanging="360"/>
      </w:pPr>
      <w:rPr>
        <w:rFonts w:ascii="Wingdings" w:hAnsi="Wingdings" w:hint="default"/>
      </w:rPr>
    </w:lvl>
    <w:lvl w:ilvl="7" w:tplc="C5DC3E24" w:tentative="1">
      <w:start w:val="1"/>
      <w:numFmt w:val="bullet"/>
      <w:lvlText w:val=""/>
      <w:lvlJc w:val="left"/>
      <w:pPr>
        <w:tabs>
          <w:tab w:val="num" w:pos="5760"/>
        </w:tabs>
        <w:ind w:left="5760" w:hanging="360"/>
      </w:pPr>
      <w:rPr>
        <w:rFonts w:ascii="Wingdings" w:hAnsi="Wingdings" w:hint="default"/>
      </w:rPr>
    </w:lvl>
    <w:lvl w:ilvl="8" w:tplc="46BCEB1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564A14"/>
    <w:multiLevelType w:val="multilevel"/>
    <w:tmpl w:val="35404E5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BAA"/>
    <w:rsid w:val="00031E17"/>
    <w:rsid w:val="000F178B"/>
    <w:rsid w:val="001D0924"/>
    <w:rsid w:val="00214D24"/>
    <w:rsid w:val="002E57D7"/>
    <w:rsid w:val="00325BF3"/>
    <w:rsid w:val="0038781C"/>
    <w:rsid w:val="00392283"/>
    <w:rsid w:val="00412DE4"/>
    <w:rsid w:val="00431583"/>
    <w:rsid w:val="00463C26"/>
    <w:rsid w:val="004812D7"/>
    <w:rsid w:val="00497999"/>
    <w:rsid w:val="004C5F7C"/>
    <w:rsid w:val="004E0531"/>
    <w:rsid w:val="00600CCB"/>
    <w:rsid w:val="0068283B"/>
    <w:rsid w:val="006E0DB2"/>
    <w:rsid w:val="007F7523"/>
    <w:rsid w:val="00832537"/>
    <w:rsid w:val="00850EED"/>
    <w:rsid w:val="00871C1E"/>
    <w:rsid w:val="008B1203"/>
    <w:rsid w:val="008D7B31"/>
    <w:rsid w:val="009B0DFC"/>
    <w:rsid w:val="00A26A74"/>
    <w:rsid w:val="00B072AD"/>
    <w:rsid w:val="00B14D2E"/>
    <w:rsid w:val="00B66FB2"/>
    <w:rsid w:val="00B969D6"/>
    <w:rsid w:val="00BC5BAA"/>
    <w:rsid w:val="00C14E27"/>
    <w:rsid w:val="00C5239E"/>
    <w:rsid w:val="00CD44D1"/>
    <w:rsid w:val="00D006CC"/>
    <w:rsid w:val="00D436C5"/>
    <w:rsid w:val="00F03011"/>
    <w:rsid w:val="00F533A5"/>
    <w:rsid w:val="00FD1907"/>
    <w:rsid w:val="00FE4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A5BAE"/>
  <w15:chartTrackingRefBased/>
  <w15:docId w15:val="{FCABA56C-9873-4F46-A43E-C7905846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C1E"/>
  </w:style>
  <w:style w:type="paragraph" w:styleId="Heading2">
    <w:name w:val="heading 2"/>
    <w:basedOn w:val="Normal"/>
    <w:link w:val="Heading2Char"/>
    <w:uiPriority w:val="9"/>
    <w:qFormat/>
    <w:rsid w:val="00BC5B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C5B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C5BAA"/>
    <w:pPr>
      <w:spacing w:before="100" w:beforeAutospacing="1" w:after="100" w:afterAutospacing="1" w:line="240" w:lineRule="auto"/>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5BA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C5BA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C5BAA"/>
    <w:rPr>
      <w:rFonts w:ascii="Times New Roman" w:eastAsia="Times New Roman" w:hAnsi="Times New Roman" w:cs="Times New Roman"/>
      <w:b/>
      <w:bCs/>
    </w:rPr>
  </w:style>
  <w:style w:type="paragraph" w:styleId="NormalWeb">
    <w:name w:val="Normal (Web)"/>
    <w:basedOn w:val="Normal"/>
    <w:uiPriority w:val="99"/>
    <w:unhideWhenUsed/>
    <w:rsid w:val="00BC5BAA"/>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BC5BAA"/>
    <w:rPr>
      <w:b/>
      <w:bCs/>
    </w:rPr>
  </w:style>
  <w:style w:type="paragraph" w:styleId="BalloonText">
    <w:name w:val="Balloon Text"/>
    <w:basedOn w:val="Normal"/>
    <w:link w:val="BalloonTextChar"/>
    <w:uiPriority w:val="99"/>
    <w:semiHidden/>
    <w:unhideWhenUsed/>
    <w:rsid w:val="00BC5B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BAA"/>
    <w:rPr>
      <w:rFonts w:ascii="Segoe UI" w:hAnsi="Segoe UI" w:cs="Segoe UI"/>
      <w:sz w:val="18"/>
      <w:szCs w:val="18"/>
    </w:rPr>
  </w:style>
  <w:style w:type="paragraph" w:styleId="ListParagraph">
    <w:name w:val="List Paragraph"/>
    <w:basedOn w:val="Normal"/>
    <w:uiPriority w:val="34"/>
    <w:qFormat/>
    <w:rsid w:val="0068283B"/>
    <w:pPr>
      <w:ind w:left="720"/>
      <w:contextualSpacing/>
    </w:pPr>
  </w:style>
  <w:style w:type="character" w:styleId="Hyperlink">
    <w:name w:val="Hyperlink"/>
    <w:basedOn w:val="DefaultParagraphFont"/>
    <w:uiPriority w:val="99"/>
    <w:unhideWhenUsed/>
    <w:rsid w:val="0068283B"/>
    <w:rPr>
      <w:color w:val="0000FF"/>
      <w:u w:val="single"/>
    </w:rPr>
  </w:style>
  <w:style w:type="character" w:styleId="UnresolvedMention">
    <w:name w:val="Unresolved Mention"/>
    <w:basedOn w:val="DefaultParagraphFont"/>
    <w:uiPriority w:val="99"/>
    <w:semiHidden/>
    <w:unhideWhenUsed/>
    <w:rsid w:val="00497999"/>
    <w:rPr>
      <w:color w:val="605E5C"/>
      <w:shd w:val="clear" w:color="auto" w:fill="E1DFDD"/>
    </w:rPr>
  </w:style>
  <w:style w:type="table" w:styleId="TableGrid">
    <w:name w:val="Table Grid"/>
    <w:basedOn w:val="TableNormal"/>
    <w:uiPriority w:val="39"/>
    <w:rsid w:val="00CD4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0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EED"/>
  </w:style>
  <w:style w:type="paragraph" w:styleId="Footer">
    <w:name w:val="footer"/>
    <w:basedOn w:val="Normal"/>
    <w:link w:val="FooterChar"/>
    <w:uiPriority w:val="99"/>
    <w:unhideWhenUsed/>
    <w:rsid w:val="00850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2587">
      <w:bodyDiv w:val="1"/>
      <w:marLeft w:val="0"/>
      <w:marRight w:val="0"/>
      <w:marTop w:val="0"/>
      <w:marBottom w:val="0"/>
      <w:divBdr>
        <w:top w:val="none" w:sz="0" w:space="0" w:color="auto"/>
        <w:left w:val="none" w:sz="0" w:space="0" w:color="auto"/>
        <w:bottom w:val="none" w:sz="0" w:space="0" w:color="auto"/>
        <w:right w:val="none" w:sz="0" w:space="0" w:color="auto"/>
      </w:divBdr>
      <w:divsChild>
        <w:div w:id="330762214">
          <w:marLeft w:val="547"/>
          <w:marRight w:val="0"/>
          <w:marTop w:val="200"/>
          <w:marBottom w:val="0"/>
          <w:divBdr>
            <w:top w:val="none" w:sz="0" w:space="0" w:color="auto"/>
            <w:left w:val="none" w:sz="0" w:space="0" w:color="auto"/>
            <w:bottom w:val="none" w:sz="0" w:space="0" w:color="auto"/>
            <w:right w:val="none" w:sz="0" w:space="0" w:color="auto"/>
          </w:divBdr>
        </w:div>
      </w:divsChild>
    </w:div>
    <w:div w:id="258178988">
      <w:bodyDiv w:val="1"/>
      <w:marLeft w:val="0"/>
      <w:marRight w:val="0"/>
      <w:marTop w:val="0"/>
      <w:marBottom w:val="0"/>
      <w:divBdr>
        <w:top w:val="none" w:sz="0" w:space="0" w:color="auto"/>
        <w:left w:val="none" w:sz="0" w:space="0" w:color="auto"/>
        <w:bottom w:val="none" w:sz="0" w:space="0" w:color="auto"/>
        <w:right w:val="none" w:sz="0" w:space="0" w:color="auto"/>
      </w:divBdr>
    </w:div>
    <w:div w:id="1312832156">
      <w:bodyDiv w:val="1"/>
      <w:marLeft w:val="0"/>
      <w:marRight w:val="0"/>
      <w:marTop w:val="0"/>
      <w:marBottom w:val="0"/>
      <w:divBdr>
        <w:top w:val="none" w:sz="0" w:space="0" w:color="auto"/>
        <w:left w:val="none" w:sz="0" w:space="0" w:color="auto"/>
        <w:bottom w:val="none" w:sz="0" w:space="0" w:color="auto"/>
        <w:right w:val="none" w:sz="0" w:space="0" w:color="auto"/>
      </w:divBdr>
    </w:div>
    <w:div w:id="133615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Wisniewski.patti-kay@epa.gov" TargetMode="External"/><Relationship Id="rId4" Type="http://schemas.openxmlformats.org/officeDocument/2006/relationships/settings" Target="settings.xml"/><Relationship Id="rId9" Type="http://schemas.openxmlformats.org/officeDocument/2006/relationships/hyperlink" Target="https://www.epa.gov/waterresilience/americas-water-infrastructure-act-risk-assessments-and-emergency-response-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1C4AE-1D60-4891-ACD3-29195FE5A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Wisniewski, Patti-Kay</dc:creator>
  <cp:keywords/>
  <dc:description/>
  <cp:lastModifiedBy>Wisniewski, Patti-Kay</cp:lastModifiedBy>
  <cp:revision>3</cp:revision>
  <dcterms:created xsi:type="dcterms:W3CDTF">2019-12-03T19:51:00Z</dcterms:created>
  <dcterms:modified xsi:type="dcterms:W3CDTF">2020-01-03T19:10:00Z</dcterms:modified>
</cp:coreProperties>
</file>