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260F" w14:textId="77777777" w:rsidR="0007720B" w:rsidRDefault="00000000">
      <w:pPr>
        <w:spacing w:after="200"/>
        <w:jc w:val="center"/>
        <w:rPr>
          <w:rFonts w:ascii="Calibri" w:eastAsia="Calibri" w:hAnsi="Calibri" w:cs="Calibri"/>
        </w:rPr>
      </w:pPr>
      <w:bookmarkStart w:id="0" w:name="_gjdgxs" w:colFirst="0" w:colLast="0"/>
      <w:bookmarkEnd w:id="0"/>
      <w:r>
        <w:rPr>
          <w:rFonts w:ascii="Calibri" w:eastAsia="Calibri" w:hAnsi="Calibri" w:cs="Calibri"/>
          <w:noProof/>
        </w:rPr>
        <w:drawing>
          <wp:inline distT="0" distB="0" distL="0" distR="0" wp14:anchorId="3A13EB56" wp14:editId="29381E7B">
            <wp:extent cx="2100263" cy="99534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00263" cy="995342"/>
                    </a:xfrm>
                    <a:prstGeom prst="rect">
                      <a:avLst/>
                    </a:prstGeom>
                    <a:ln/>
                  </pic:spPr>
                </pic:pic>
              </a:graphicData>
            </a:graphic>
          </wp:inline>
        </w:drawing>
      </w:r>
    </w:p>
    <w:p w14:paraId="2FE5F4B4" w14:textId="77777777" w:rsidR="0007720B" w:rsidRDefault="00000000">
      <w:pPr>
        <w:shd w:val="clear" w:color="auto" w:fill="D7E3BC"/>
        <w:jc w:val="center"/>
        <w:rPr>
          <w:b/>
          <w:sz w:val="30"/>
          <w:szCs w:val="30"/>
        </w:rPr>
      </w:pPr>
      <w:r>
        <w:rPr>
          <w:b/>
          <w:sz w:val="30"/>
          <w:szCs w:val="30"/>
        </w:rPr>
        <w:t>NBCC Tuition Schedule</w:t>
      </w:r>
    </w:p>
    <w:p w14:paraId="23E95C8F" w14:textId="77777777" w:rsidR="0007720B" w:rsidRDefault="00000000">
      <w:pPr>
        <w:shd w:val="clear" w:color="auto" w:fill="D7E3BC"/>
        <w:spacing w:after="200"/>
        <w:jc w:val="center"/>
        <w:rPr>
          <w:b/>
          <w:sz w:val="28"/>
          <w:szCs w:val="28"/>
          <w:u w:val="single"/>
        </w:rPr>
      </w:pPr>
      <w:r>
        <w:rPr>
          <w:b/>
          <w:sz w:val="30"/>
          <w:szCs w:val="30"/>
        </w:rPr>
        <w:t>2023-2024</w:t>
      </w:r>
      <w:r>
        <w:rPr>
          <w:b/>
          <w:sz w:val="28"/>
          <w:szCs w:val="28"/>
          <w:u w:val="single"/>
        </w:rPr>
        <w:t xml:space="preserve"> </w:t>
      </w:r>
    </w:p>
    <w:tbl>
      <w:tblPr>
        <w:tblStyle w:val="a"/>
        <w:tblW w:w="11235" w:type="dxa"/>
        <w:tblInd w:w="-870" w:type="dxa"/>
        <w:tblBorders>
          <w:top w:val="nil"/>
          <w:left w:val="nil"/>
          <w:bottom w:val="nil"/>
          <w:right w:val="nil"/>
          <w:insideH w:val="nil"/>
          <w:insideV w:val="nil"/>
        </w:tblBorders>
        <w:tblLayout w:type="fixed"/>
        <w:tblLook w:val="0600" w:firstRow="0" w:lastRow="0" w:firstColumn="0" w:lastColumn="0" w:noHBand="1" w:noVBand="1"/>
      </w:tblPr>
      <w:tblGrid>
        <w:gridCol w:w="2820"/>
        <w:gridCol w:w="1395"/>
        <w:gridCol w:w="1200"/>
        <w:gridCol w:w="2775"/>
        <w:gridCol w:w="3045"/>
      </w:tblGrid>
      <w:tr w:rsidR="0007720B" w14:paraId="37CBF881" w14:textId="77777777">
        <w:trPr>
          <w:trHeight w:val="795"/>
        </w:trPr>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09225" w14:textId="77777777" w:rsidR="0007720B" w:rsidRDefault="00000000">
            <w:pPr>
              <w:spacing w:line="240" w:lineRule="auto"/>
              <w:jc w:val="center"/>
              <w:rPr>
                <w:b/>
                <w:sz w:val="24"/>
                <w:szCs w:val="24"/>
              </w:rPr>
            </w:pPr>
            <w:r>
              <w:rPr>
                <w:b/>
                <w:sz w:val="24"/>
                <w:szCs w:val="24"/>
              </w:rPr>
              <w:t>Academic School Year</w:t>
            </w:r>
          </w:p>
          <w:p w14:paraId="27437820" w14:textId="77777777" w:rsidR="0007720B" w:rsidRDefault="00000000">
            <w:pPr>
              <w:spacing w:line="240" w:lineRule="auto"/>
              <w:jc w:val="center"/>
              <w:rPr>
                <w:sz w:val="24"/>
                <w:szCs w:val="24"/>
              </w:rPr>
            </w:pPr>
            <w:r>
              <w:rPr>
                <w:sz w:val="24"/>
                <w:szCs w:val="24"/>
              </w:rPr>
              <w:t>(Aug-May)</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641F91" w14:textId="77777777" w:rsidR="0007720B" w:rsidRDefault="00000000">
            <w:pPr>
              <w:spacing w:line="240" w:lineRule="auto"/>
              <w:jc w:val="center"/>
              <w:rPr>
                <w:b/>
                <w:sz w:val="24"/>
                <w:szCs w:val="24"/>
              </w:rPr>
            </w:pPr>
            <w:r>
              <w:rPr>
                <w:b/>
                <w:sz w:val="24"/>
                <w:szCs w:val="24"/>
              </w:rPr>
              <w:t>Hours</w:t>
            </w:r>
          </w:p>
        </w:tc>
        <w:tc>
          <w:tcPr>
            <w:tcW w:w="12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1BE381" w14:textId="77777777" w:rsidR="0007720B" w:rsidRDefault="00000000">
            <w:pPr>
              <w:spacing w:line="240" w:lineRule="auto"/>
              <w:jc w:val="center"/>
              <w:rPr>
                <w:b/>
                <w:sz w:val="24"/>
                <w:szCs w:val="24"/>
              </w:rPr>
            </w:pPr>
            <w:r>
              <w:rPr>
                <w:b/>
                <w:sz w:val="24"/>
                <w:szCs w:val="24"/>
              </w:rPr>
              <w:t>Days</w:t>
            </w:r>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F39FEE" w14:textId="77777777" w:rsidR="0007720B" w:rsidRDefault="00000000">
            <w:pPr>
              <w:spacing w:line="240" w:lineRule="auto"/>
              <w:jc w:val="center"/>
              <w:rPr>
                <w:b/>
                <w:sz w:val="24"/>
                <w:szCs w:val="24"/>
              </w:rPr>
            </w:pPr>
            <w:r>
              <w:rPr>
                <w:b/>
                <w:sz w:val="24"/>
                <w:szCs w:val="24"/>
              </w:rPr>
              <w:t>Monthly Payment</w:t>
            </w:r>
          </w:p>
          <w:p w14:paraId="2B4B6606" w14:textId="77777777" w:rsidR="0007720B" w:rsidRDefault="00000000">
            <w:pPr>
              <w:spacing w:line="240" w:lineRule="auto"/>
              <w:jc w:val="center"/>
              <w:rPr>
                <w:sz w:val="24"/>
                <w:szCs w:val="24"/>
              </w:rPr>
            </w:pPr>
            <w:r>
              <w:rPr>
                <w:sz w:val="24"/>
                <w:szCs w:val="24"/>
              </w:rPr>
              <w:t>(Aug.1st-May 1st)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95B1A0" w14:textId="77777777" w:rsidR="0007720B" w:rsidRDefault="00000000">
            <w:pPr>
              <w:spacing w:line="240" w:lineRule="auto"/>
              <w:jc w:val="center"/>
              <w:rPr>
                <w:b/>
                <w:sz w:val="24"/>
                <w:szCs w:val="24"/>
              </w:rPr>
            </w:pPr>
            <w:r>
              <w:rPr>
                <w:b/>
                <w:sz w:val="24"/>
                <w:szCs w:val="24"/>
              </w:rPr>
              <w:t>Total Academic School Year Cost</w:t>
            </w:r>
          </w:p>
        </w:tc>
      </w:tr>
      <w:tr w:rsidR="0007720B" w14:paraId="4E189CF6" w14:textId="77777777">
        <w:trPr>
          <w:trHeight w:val="335"/>
        </w:trPr>
        <w:tc>
          <w:tcPr>
            <w:tcW w:w="2820" w:type="dxa"/>
            <w:tcBorders>
              <w:top w:val="nil"/>
              <w:left w:val="single" w:sz="8" w:space="0" w:color="000000"/>
              <w:bottom w:val="single" w:sz="8" w:space="0" w:color="000000"/>
              <w:right w:val="single" w:sz="8" w:space="0" w:color="000000"/>
            </w:tcBorders>
            <w:shd w:val="clear" w:color="auto" w:fill="F79646"/>
            <w:tcMar>
              <w:top w:w="100" w:type="dxa"/>
              <w:left w:w="100" w:type="dxa"/>
              <w:bottom w:w="100" w:type="dxa"/>
              <w:right w:w="100" w:type="dxa"/>
            </w:tcMar>
          </w:tcPr>
          <w:p w14:paraId="27093B3D" w14:textId="77777777" w:rsidR="0007720B" w:rsidRDefault="00000000">
            <w:pPr>
              <w:spacing w:line="240" w:lineRule="auto"/>
              <w:rPr>
                <w:color w:val="F79646"/>
                <w:sz w:val="24"/>
                <w:szCs w:val="24"/>
              </w:rPr>
            </w:pPr>
            <w:r>
              <w:rPr>
                <w:color w:val="F79646"/>
                <w:sz w:val="24"/>
                <w:szCs w:val="24"/>
              </w:rPr>
              <w:t xml:space="preserve">                  </w:t>
            </w:r>
          </w:p>
        </w:tc>
        <w:tc>
          <w:tcPr>
            <w:tcW w:w="139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28326CDA" w14:textId="77777777" w:rsidR="0007720B" w:rsidRDefault="00000000">
            <w:pPr>
              <w:spacing w:line="240" w:lineRule="auto"/>
              <w:jc w:val="center"/>
              <w:rPr>
                <w:b/>
                <w:color w:val="F79646"/>
                <w:sz w:val="24"/>
                <w:szCs w:val="24"/>
              </w:rPr>
            </w:pPr>
            <w:r>
              <w:rPr>
                <w:b/>
                <w:color w:val="F79646"/>
                <w:sz w:val="24"/>
                <w:szCs w:val="24"/>
              </w:rPr>
              <w:t xml:space="preserve"> </w:t>
            </w:r>
          </w:p>
        </w:tc>
        <w:tc>
          <w:tcPr>
            <w:tcW w:w="1200"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3186AAEF" w14:textId="77777777" w:rsidR="0007720B" w:rsidRDefault="00000000">
            <w:pPr>
              <w:spacing w:line="240" w:lineRule="auto"/>
              <w:jc w:val="center"/>
              <w:rPr>
                <w:b/>
                <w:color w:val="F79646"/>
                <w:sz w:val="24"/>
                <w:szCs w:val="24"/>
              </w:rPr>
            </w:pPr>
            <w:r>
              <w:rPr>
                <w:b/>
                <w:color w:val="F79646"/>
                <w:sz w:val="24"/>
                <w:szCs w:val="24"/>
              </w:rPr>
              <w:t xml:space="preserve"> </w:t>
            </w:r>
          </w:p>
        </w:tc>
        <w:tc>
          <w:tcPr>
            <w:tcW w:w="277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16584E18" w14:textId="77777777" w:rsidR="0007720B" w:rsidRDefault="00000000">
            <w:pPr>
              <w:spacing w:line="240" w:lineRule="auto"/>
              <w:jc w:val="center"/>
              <w:rPr>
                <w:b/>
                <w:color w:val="F79646"/>
                <w:sz w:val="24"/>
                <w:szCs w:val="24"/>
              </w:rPr>
            </w:pPr>
            <w:r>
              <w:rPr>
                <w:b/>
                <w:color w:val="F79646"/>
                <w:sz w:val="24"/>
                <w:szCs w:val="24"/>
              </w:rPr>
              <w:t xml:space="preserve"> </w:t>
            </w:r>
          </w:p>
        </w:tc>
        <w:tc>
          <w:tcPr>
            <w:tcW w:w="304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54B8BC32" w14:textId="77777777" w:rsidR="0007720B" w:rsidRDefault="00000000">
            <w:pPr>
              <w:spacing w:line="240" w:lineRule="auto"/>
              <w:jc w:val="center"/>
              <w:rPr>
                <w:b/>
                <w:color w:val="F79646"/>
                <w:sz w:val="24"/>
                <w:szCs w:val="24"/>
              </w:rPr>
            </w:pPr>
            <w:r>
              <w:rPr>
                <w:b/>
                <w:color w:val="F79646"/>
                <w:sz w:val="24"/>
                <w:szCs w:val="24"/>
              </w:rPr>
              <w:t xml:space="preserve"> </w:t>
            </w:r>
          </w:p>
        </w:tc>
      </w:tr>
      <w:tr w:rsidR="0007720B" w14:paraId="20624DD4" w14:textId="77777777">
        <w:trPr>
          <w:trHeight w:val="410"/>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4A5832" w14:textId="77777777" w:rsidR="0007720B" w:rsidRDefault="00000000">
            <w:pPr>
              <w:spacing w:line="240" w:lineRule="auto"/>
              <w:jc w:val="center"/>
              <w:rPr>
                <w:sz w:val="20"/>
                <w:szCs w:val="20"/>
              </w:rPr>
            </w:pPr>
            <w:r>
              <w:rPr>
                <w:sz w:val="20"/>
                <w:szCs w:val="20"/>
              </w:rPr>
              <w:t>3/4</w:t>
            </w:r>
            <w:r>
              <w:rPr>
                <w:b/>
                <w:sz w:val="20"/>
                <w:szCs w:val="20"/>
              </w:rPr>
              <w:t xml:space="preserve"> </w:t>
            </w:r>
            <w:r>
              <w:rPr>
                <w:sz w:val="20"/>
                <w:szCs w:val="20"/>
              </w:rPr>
              <w:t>Day - 5 days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C262CF0" w14:textId="77777777" w:rsidR="0007720B" w:rsidRDefault="00000000">
            <w:pPr>
              <w:spacing w:line="240" w:lineRule="auto"/>
              <w:jc w:val="center"/>
              <w:rPr>
                <w:sz w:val="24"/>
                <w:szCs w:val="24"/>
              </w:rPr>
            </w:pPr>
            <w:r>
              <w:rPr>
                <w:sz w:val="24"/>
                <w:szCs w:val="24"/>
              </w:rPr>
              <w:t>8:30-2:45</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1F96C490" w14:textId="77777777" w:rsidR="0007720B" w:rsidRDefault="00000000">
            <w:pPr>
              <w:spacing w:line="240" w:lineRule="auto"/>
              <w:jc w:val="center"/>
              <w:rPr>
                <w:sz w:val="24"/>
                <w:szCs w:val="24"/>
              </w:rPr>
            </w:pPr>
            <w:r>
              <w:rPr>
                <w:sz w:val="24"/>
                <w:szCs w:val="24"/>
              </w:rPr>
              <w:t>M-Th</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75FF85D3" w14:textId="77777777" w:rsidR="0007720B" w:rsidRDefault="00000000">
            <w:pPr>
              <w:spacing w:line="240" w:lineRule="auto"/>
              <w:jc w:val="center"/>
              <w:rPr>
                <w:sz w:val="24"/>
                <w:szCs w:val="24"/>
              </w:rPr>
            </w:pPr>
            <w:r>
              <w:rPr>
                <w:sz w:val="24"/>
                <w:szCs w:val="24"/>
              </w:rPr>
              <w:t>$1,745</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6BDF4B9" w14:textId="77777777" w:rsidR="0007720B" w:rsidRDefault="00000000">
            <w:pPr>
              <w:spacing w:line="240" w:lineRule="auto"/>
              <w:jc w:val="center"/>
              <w:rPr>
                <w:sz w:val="24"/>
                <w:szCs w:val="24"/>
              </w:rPr>
            </w:pPr>
            <w:r>
              <w:rPr>
                <w:sz w:val="24"/>
                <w:szCs w:val="24"/>
              </w:rPr>
              <w:t xml:space="preserve"> $17,450</w:t>
            </w:r>
          </w:p>
        </w:tc>
      </w:tr>
      <w:tr w:rsidR="0007720B" w14:paraId="7750A7A6" w14:textId="77777777">
        <w:trPr>
          <w:trHeight w:val="410"/>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5071B7" w14:textId="77777777" w:rsidR="0007720B" w:rsidRDefault="0007720B">
            <w:pPr>
              <w:spacing w:line="240" w:lineRule="auto"/>
              <w:jc w:val="center"/>
              <w:rPr>
                <w:sz w:val="20"/>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7276010" w14:textId="77777777" w:rsidR="0007720B" w:rsidRDefault="00000000">
            <w:pPr>
              <w:spacing w:line="240" w:lineRule="auto"/>
              <w:jc w:val="center"/>
              <w:rPr>
                <w:sz w:val="24"/>
                <w:szCs w:val="24"/>
              </w:rPr>
            </w:pPr>
            <w:r>
              <w:rPr>
                <w:sz w:val="24"/>
                <w:szCs w:val="24"/>
              </w:rPr>
              <w:t>8:30-1:00</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0C9CEC8E" w14:textId="77777777" w:rsidR="0007720B" w:rsidRDefault="00000000">
            <w:pPr>
              <w:spacing w:line="240" w:lineRule="auto"/>
              <w:jc w:val="center"/>
              <w:rPr>
                <w:sz w:val="24"/>
                <w:szCs w:val="24"/>
              </w:rPr>
            </w:pPr>
            <w:r>
              <w:rPr>
                <w:sz w:val="24"/>
                <w:szCs w:val="24"/>
              </w:rPr>
              <w:t>Friday</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7B2BB389" w14:textId="77777777" w:rsidR="0007720B" w:rsidRDefault="0007720B">
            <w:pPr>
              <w:spacing w:line="240" w:lineRule="auto"/>
              <w:jc w:val="center"/>
              <w:rPr>
                <w:sz w:val="24"/>
                <w:szCs w:val="24"/>
              </w:rPr>
            </w:pP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6939890" w14:textId="77777777" w:rsidR="0007720B" w:rsidRDefault="0007720B">
            <w:pPr>
              <w:spacing w:line="240" w:lineRule="auto"/>
              <w:jc w:val="center"/>
              <w:rPr>
                <w:sz w:val="24"/>
                <w:szCs w:val="24"/>
              </w:rPr>
            </w:pPr>
          </w:p>
        </w:tc>
      </w:tr>
      <w:tr w:rsidR="0007720B" w14:paraId="6E22F415" w14:textId="77777777">
        <w:trPr>
          <w:trHeight w:val="485"/>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C7540" w14:textId="77777777" w:rsidR="0007720B" w:rsidRDefault="00000000">
            <w:pPr>
              <w:spacing w:line="240" w:lineRule="auto"/>
              <w:jc w:val="center"/>
              <w:rPr>
                <w:sz w:val="20"/>
                <w:szCs w:val="20"/>
              </w:rPr>
            </w:pPr>
            <w:r>
              <w:rPr>
                <w:sz w:val="20"/>
                <w:szCs w:val="20"/>
              </w:rPr>
              <w:t>3/4</w:t>
            </w:r>
            <w:r>
              <w:rPr>
                <w:b/>
                <w:sz w:val="20"/>
                <w:szCs w:val="20"/>
              </w:rPr>
              <w:t xml:space="preserve"> </w:t>
            </w:r>
            <w:r>
              <w:rPr>
                <w:sz w:val="20"/>
                <w:szCs w:val="20"/>
              </w:rPr>
              <w:t>Day - 4 days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66B1275" w14:textId="77777777" w:rsidR="0007720B" w:rsidRDefault="00000000">
            <w:pPr>
              <w:spacing w:line="240" w:lineRule="auto"/>
              <w:jc w:val="center"/>
              <w:rPr>
                <w:sz w:val="24"/>
                <w:szCs w:val="24"/>
              </w:rPr>
            </w:pPr>
            <w:r>
              <w:rPr>
                <w:sz w:val="24"/>
                <w:szCs w:val="24"/>
              </w:rPr>
              <w:t>8:30-2:45</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34AFF63C" w14:textId="77777777" w:rsidR="0007720B" w:rsidRDefault="00000000">
            <w:pPr>
              <w:spacing w:line="240" w:lineRule="auto"/>
              <w:jc w:val="center"/>
              <w:rPr>
                <w:sz w:val="24"/>
                <w:szCs w:val="24"/>
              </w:rPr>
            </w:pPr>
            <w:r>
              <w:rPr>
                <w:sz w:val="24"/>
                <w:szCs w:val="24"/>
              </w:rPr>
              <w:t>M-Th</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D862C91" w14:textId="77777777" w:rsidR="0007720B" w:rsidRDefault="00000000">
            <w:pPr>
              <w:spacing w:line="240" w:lineRule="auto"/>
              <w:jc w:val="center"/>
              <w:rPr>
                <w:sz w:val="24"/>
                <w:szCs w:val="24"/>
              </w:rPr>
            </w:pPr>
            <w:r>
              <w:rPr>
                <w:sz w:val="24"/>
                <w:szCs w:val="24"/>
              </w:rPr>
              <w:t>$1,550</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F68AF88" w14:textId="77777777" w:rsidR="0007720B" w:rsidRDefault="00000000">
            <w:pPr>
              <w:spacing w:line="240" w:lineRule="auto"/>
              <w:jc w:val="center"/>
              <w:rPr>
                <w:sz w:val="24"/>
                <w:szCs w:val="24"/>
              </w:rPr>
            </w:pPr>
            <w:r>
              <w:rPr>
                <w:sz w:val="24"/>
                <w:szCs w:val="24"/>
              </w:rPr>
              <w:t>$15,550</w:t>
            </w:r>
          </w:p>
        </w:tc>
      </w:tr>
      <w:tr w:rsidR="0007720B" w14:paraId="621741C4" w14:textId="77777777">
        <w:trPr>
          <w:trHeight w:val="485"/>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AB740" w14:textId="77777777" w:rsidR="0007720B" w:rsidRDefault="00000000">
            <w:pPr>
              <w:spacing w:line="240" w:lineRule="auto"/>
              <w:jc w:val="center"/>
              <w:rPr>
                <w:sz w:val="20"/>
                <w:szCs w:val="20"/>
              </w:rPr>
            </w:pPr>
            <w:r>
              <w:rPr>
                <w:sz w:val="20"/>
                <w:szCs w:val="20"/>
              </w:rPr>
              <w:t>½ Days - 4 days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654E233" w14:textId="77777777" w:rsidR="0007720B" w:rsidRDefault="00000000">
            <w:pPr>
              <w:spacing w:line="240" w:lineRule="auto"/>
              <w:jc w:val="center"/>
              <w:rPr>
                <w:sz w:val="24"/>
                <w:szCs w:val="24"/>
              </w:rPr>
            </w:pPr>
            <w:r>
              <w:rPr>
                <w:sz w:val="24"/>
                <w:szCs w:val="24"/>
              </w:rPr>
              <w:t>8:30-12:45</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2176911A" w14:textId="77777777" w:rsidR="0007720B" w:rsidRDefault="00000000">
            <w:pPr>
              <w:spacing w:line="240" w:lineRule="auto"/>
              <w:jc w:val="center"/>
              <w:rPr>
                <w:sz w:val="24"/>
                <w:szCs w:val="24"/>
              </w:rPr>
            </w:pPr>
            <w:r>
              <w:rPr>
                <w:sz w:val="24"/>
                <w:szCs w:val="24"/>
              </w:rPr>
              <w:t>M-Th</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CA94C5D" w14:textId="77777777" w:rsidR="0007720B" w:rsidRDefault="00000000">
            <w:pPr>
              <w:spacing w:line="240" w:lineRule="auto"/>
              <w:jc w:val="center"/>
              <w:rPr>
                <w:sz w:val="24"/>
                <w:szCs w:val="24"/>
              </w:rPr>
            </w:pPr>
            <w:r>
              <w:rPr>
                <w:sz w:val="24"/>
                <w:szCs w:val="24"/>
              </w:rPr>
              <w:t>$1,200</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5E37548" w14:textId="77777777" w:rsidR="0007720B" w:rsidRDefault="00000000">
            <w:pPr>
              <w:spacing w:line="240" w:lineRule="auto"/>
              <w:jc w:val="center"/>
              <w:rPr>
                <w:sz w:val="24"/>
                <w:szCs w:val="24"/>
              </w:rPr>
            </w:pPr>
            <w:r>
              <w:rPr>
                <w:sz w:val="24"/>
                <w:szCs w:val="24"/>
              </w:rPr>
              <w:t>$12,000</w:t>
            </w:r>
          </w:p>
        </w:tc>
      </w:tr>
      <w:tr w:rsidR="0007720B" w14:paraId="19C0109D" w14:textId="77777777">
        <w:trPr>
          <w:trHeight w:val="485"/>
        </w:trPr>
        <w:tc>
          <w:tcPr>
            <w:tcW w:w="2820" w:type="dxa"/>
            <w:tcBorders>
              <w:top w:val="nil"/>
              <w:left w:val="single" w:sz="8" w:space="0" w:color="000000"/>
              <w:bottom w:val="single" w:sz="8" w:space="0" w:color="000000"/>
              <w:right w:val="single" w:sz="8" w:space="0" w:color="000000"/>
            </w:tcBorders>
            <w:shd w:val="clear" w:color="auto" w:fill="F79646"/>
            <w:tcMar>
              <w:top w:w="100" w:type="dxa"/>
              <w:left w:w="100" w:type="dxa"/>
              <w:bottom w:w="100" w:type="dxa"/>
              <w:right w:w="100" w:type="dxa"/>
            </w:tcMar>
          </w:tcPr>
          <w:p w14:paraId="3142EAA6" w14:textId="77777777" w:rsidR="0007720B" w:rsidRDefault="00000000">
            <w:pPr>
              <w:spacing w:line="240" w:lineRule="auto"/>
              <w:jc w:val="center"/>
              <w:rPr>
                <w:b/>
                <w:sz w:val="24"/>
                <w:szCs w:val="24"/>
                <w:u w:val="single"/>
              </w:rPr>
            </w:pPr>
            <w:r>
              <w:rPr>
                <w:b/>
                <w:sz w:val="24"/>
                <w:szCs w:val="24"/>
                <w:u w:val="single"/>
              </w:rPr>
              <w:t xml:space="preserve"> </w:t>
            </w:r>
          </w:p>
        </w:tc>
        <w:tc>
          <w:tcPr>
            <w:tcW w:w="139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6F30B21A" w14:textId="77777777" w:rsidR="0007720B" w:rsidRDefault="00000000">
            <w:pPr>
              <w:spacing w:line="240" w:lineRule="auto"/>
              <w:jc w:val="center"/>
              <w:rPr>
                <w:b/>
                <w:sz w:val="24"/>
                <w:szCs w:val="24"/>
              </w:rPr>
            </w:pPr>
            <w:r>
              <w:rPr>
                <w:b/>
                <w:sz w:val="24"/>
                <w:szCs w:val="24"/>
              </w:rPr>
              <w:t xml:space="preserve"> </w:t>
            </w:r>
          </w:p>
        </w:tc>
        <w:tc>
          <w:tcPr>
            <w:tcW w:w="1200"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3A2D7A72" w14:textId="77777777" w:rsidR="0007720B" w:rsidRDefault="00000000">
            <w:pPr>
              <w:spacing w:line="240" w:lineRule="auto"/>
              <w:jc w:val="center"/>
              <w:rPr>
                <w:b/>
                <w:sz w:val="24"/>
                <w:szCs w:val="24"/>
              </w:rPr>
            </w:pPr>
            <w:r>
              <w:rPr>
                <w:b/>
                <w:sz w:val="24"/>
                <w:szCs w:val="24"/>
              </w:rPr>
              <w:t xml:space="preserve"> </w:t>
            </w:r>
          </w:p>
        </w:tc>
        <w:tc>
          <w:tcPr>
            <w:tcW w:w="277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7DBF2993" w14:textId="77777777" w:rsidR="0007720B" w:rsidRDefault="00000000">
            <w:pPr>
              <w:spacing w:line="240" w:lineRule="auto"/>
              <w:jc w:val="center"/>
              <w:rPr>
                <w:b/>
                <w:sz w:val="24"/>
                <w:szCs w:val="24"/>
              </w:rPr>
            </w:pPr>
            <w:r>
              <w:rPr>
                <w:b/>
                <w:sz w:val="24"/>
                <w:szCs w:val="24"/>
              </w:rPr>
              <w:t xml:space="preserve"> </w:t>
            </w:r>
          </w:p>
        </w:tc>
        <w:tc>
          <w:tcPr>
            <w:tcW w:w="304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29AAD527" w14:textId="77777777" w:rsidR="0007720B" w:rsidRDefault="00000000">
            <w:pPr>
              <w:spacing w:line="240" w:lineRule="auto"/>
              <w:jc w:val="center"/>
              <w:rPr>
                <w:b/>
                <w:sz w:val="24"/>
                <w:szCs w:val="24"/>
              </w:rPr>
            </w:pPr>
            <w:r>
              <w:rPr>
                <w:b/>
                <w:sz w:val="24"/>
                <w:szCs w:val="24"/>
              </w:rPr>
              <w:t xml:space="preserve"> </w:t>
            </w:r>
          </w:p>
        </w:tc>
      </w:tr>
      <w:tr w:rsidR="0007720B" w14:paraId="57C4CEB3" w14:textId="77777777">
        <w:trPr>
          <w:trHeight w:val="485"/>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4A0989" w14:textId="77777777" w:rsidR="0007720B" w:rsidRDefault="00000000">
            <w:pPr>
              <w:spacing w:line="240" w:lineRule="auto"/>
              <w:jc w:val="center"/>
              <w:rPr>
                <w:sz w:val="20"/>
                <w:szCs w:val="20"/>
              </w:rPr>
            </w:pPr>
            <w:r>
              <w:rPr>
                <w:sz w:val="20"/>
                <w:szCs w:val="20"/>
              </w:rPr>
              <w:t>Extended Day</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B5CB6F1" w14:textId="77777777" w:rsidR="0007720B" w:rsidRDefault="00000000">
            <w:pPr>
              <w:spacing w:line="240" w:lineRule="auto"/>
              <w:jc w:val="center"/>
              <w:rPr>
                <w:sz w:val="24"/>
                <w:szCs w:val="24"/>
              </w:rPr>
            </w:pPr>
            <w:r>
              <w:rPr>
                <w:sz w:val="24"/>
                <w:szCs w:val="24"/>
              </w:rPr>
              <w:t>8:30-4:15</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3EE3243A" w14:textId="77777777" w:rsidR="0007720B" w:rsidRDefault="00000000">
            <w:pPr>
              <w:spacing w:line="240" w:lineRule="auto"/>
              <w:jc w:val="center"/>
              <w:rPr>
                <w:sz w:val="24"/>
                <w:szCs w:val="24"/>
              </w:rPr>
            </w:pPr>
            <w:r>
              <w:rPr>
                <w:sz w:val="24"/>
                <w:szCs w:val="24"/>
              </w:rPr>
              <w:t>M-Th</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2AF19565" w14:textId="77777777" w:rsidR="0007720B" w:rsidRDefault="00000000">
            <w:pPr>
              <w:spacing w:line="240" w:lineRule="auto"/>
              <w:jc w:val="center"/>
              <w:rPr>
                <w:sz w:val="24"/>
                <w:szCs w:val="24"/>
              </w:rPr>
            </w:pPr>
            <w:r>
              <w:rPr>
                <w:sz w:val="24"/>
                <w:szCs w:val="24"/>
              </w:rPr>
              <w:t xml:space="preserve"> $2,065</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0FD12BE" w14:textId="77777777" w:rsidR="0007720B" w:rsidRDefault="00000000">
            <w:pPr>
              <w:spacing w:line="240" w:lineRule="auto"/>
              <w:jc w:val="center"/>
              <w:rPr>
                <w:sz w:val="24"/>
                <w:szCs w:val="24"/>
              </w:rPr>
            </w:pPr>
            <w:r>
              <w:rPr>
                <w:sz w:val="24"/>
                <w:szCs w:val="24"/>
              </w:rPr>
              <w:t>$20,650</w:t>
            </w:r>
          </w:p>
        </w:tc>
      </w:tr>
      <w:tr w:rsidR="0007720B" w14:paraId="2DFF4CA3" w14:textId="77777777">
        <w:trPr>
          <w:trHeight w:val="485"/>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3A9467" w14:textId="77777777" w:rsidR="0007720B" w:rsidRDefault="0007720B">
            <w:pPr>
              <w:spacing w:line="240" w:lineRule="auto"/>
              <w:jc w:val="center"/>
              <w:rPr>
                <w:sz w:val="20"/>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65BF20F" w14:textId="77777777" w:rsidR="0007720B" w:rsidRDefault="00000000">
            <w:pPr>
              <w:spacing w:line="240" w:lineRule="auto"/>
              <w:jc w:val="center"/>
              <w:rPr>
                <w:sz w:val="24"/>
                <w:szCs w:val="24"/>
              </w:rPr>
            </w:pPr>
            <w:r>
              <w:rPr>
                <w:sz w:val="24"/>
                <w:szCs w:val="24"/>
              </w:rPr>
              <w:t>8:30-1:00</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5061FD98" w14:textId="77777777" w:rsidR="0007720B" w:rsidRDefault="00000000">
            <w:pPr>
              <w:spacing w:line="240" w:lineRule="auto"/>
              <w:jc w:val="center"/>
              <w:rPr>
                <w:sz w:val="24"/>
                <w:szCs w:val="24"/>
              </w:rPr>
            </w:pPr>
            <w:r>
              <w:rPr>
                <w:sz w:val="24"/>
                <w:szCs w:val="24"/>
              </w:rPr>
              <w:t>Friday</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A4A8962" w14:textId="77777777" w:rsidR="0007720B" w:rsidRDefault="0007720B">
            <w:pPr>
              <w:spacing w:line="240" w:lineRule="auto"/>
              <w:jc w:val="center"/>
              <w:rPr>
                <w:sz w:val="24"/>
                <w:szCs w:val="24"/>
              </w:rPr>
            </w:pP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8855448" w14:textId="77777777" w:rsidR="0007720B" w:rsidRDefault="0007720B">
            <w:pPr>
              <w:spacing w:line="240" w:lineRule="auto"/>
              <w:jc w:val="center"/>
              <w:rPr>
                <w:sz w:val="24"/>
                <w:szCs w:val="24"/>
              </w:rPr>
            </w:pPr>
          </w:p>
        </w:tc>
      </w:tr>
      <w:tr w:rsidR="0007720B" w14:paraId="105B2BAE" w14:textId="77777777">
        <w:trPr>
          <w:trHeight w:val="485"/>
        </w:trPr>
        <w:tc>
          <w:tcPr>
            <w:tcW w:w="2820" w:type="dxa"/>
            <w:tcBorders>
              <w:top w:val="nil"/>
              <w:left w:val="single" w:sz="8" w:space="0" w:color="000000"/>
              <w:bottom w:val="single" w:sz="8" w:space="0" w:color="000000"/>
              <w:right w:val="single" w:sz="8" w:space="0" w:color="000000"/>
            </w:tcBorders>
            <w:shd w:val="clear" w:color="auto" w:fill="F79646"/>
            <w:tcMar>
              <w:top w:w="100" w:type="dxa"/>
              <w:left w:w="100" w:type="dxa"/>
              <w:bottom w:w="100" w:type="dxa"/>
              <w:right w:w="100" w:type="dxa"/>
            </w:tcMar>
          </w:tcPr>
          <w:p w14:paraId="362BD412" w14:textId="77777777" w:rsidR="0007720B" w:rsidRDefault="00000000">
            <w:pPr>
              <w:spacing w:line="240" w:lineRule="auto"/>
              <w:jc w:val="center"/>
              <w:rPr>
                <w:b/>
                <w:sz w:val="24"/>
                <w:szCs w:val="24"/>
              </w:rPr>
            </w:pPr>
            <w:r>
              <w:rPr>
                <w:b/>
                <w:sz w:val="24"/>
                <w:szCs w:val="24"/>
              </w:rPr>
              <w:t xml:space="preserve"> </w:t>
            </w:r>
          </w:p>
        </w:tc>
        <w:tc>
          <w:tcPr>
            <w:tcW w:w="139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4A737B9F" w14:textId="77777777" w:rsidR="0007720B" w:rsidRDefault="00000000">
            <w:pPr>
              <w:spacing w:line="240" w:lineRule="auto"/>
              <w:jc w:val="center"/>
              <w:rPr>
                <w:sz w:val="24"/>
                <w:szCs w:val="24"/>
              </w:rPr>
            </w:pPr>
            <w:r>
              <w:rPr>
                <w:sz w:val="24"/>
                <w:szCs w:val="24"/>
              </w:rPr>
              <w:t xml:space="preserve"> </w:t>
            </w:r>
          </w:p>
        </w:tc>
        <w:tc>
          <w:tcPr>
            <w:tcW w:w="1200"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4B5A6EBC" w14:textId="77777777" w:rsidR="0007720B" w:rsidRDefault="00000000">
            <w:pPr>
              <w:spacing w:line="240" w:lineRule="auto"/>
              <w:jc w:val="center"/>
              <w:rPr>
                <w:sz w:val="24"/>
                <w:szCs w:val="24"/>
              </w:rPr>
            </w:pPr>
            <w:r>
              <w:rPr>
                <w:sz w:val="24"/>
                <w:szCs w:val="24"/>
              </w:rPr>
              <w:t xml:space="preserve"> </w:t>
            </w:r>
          </w:p>
        </w:tc>
        <w:tc>
          <w:tcPr>
            <w:tcW w:w="277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6756F251" w14:textId="77777777" w:rsidR="0007720B" w:rsidRDefault="00000000">
            <w:pPr>
              <w:spacing w:line="240" w:lineRule="auto"/>
              <w:jc w:val="center"/>
              <w:rPr>
                <w:sz w:val="24"/>
                <w:szCs w:val="24"/>
              </w:rPr>
            </w:pPr>
            <w:r>
              <w:rPr>
                <w:sz w:val="24"/>
                <w:szCs w:val="24"/>
              </w:rPr>
              <w:t xml:space="preserve"> </w:t>
            </w:r>
          </w:p>
        </w:tc>
        <w:tc>
          <w:tcPr>
            <w:tcW w:w="304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0D9B0D55" w14:textId="77777777" w:rsidR="0007720B" w:rsidRDefault="00000000">
            <w:pPr>
              <w:spacing w:line="240" w:lineRule="auto"/>
              <w:jc w:val="center"/>
              <w:rPr>
                <w:sz w:val="24"/>
                <w:szCs w:val="24"/>
              </w:rPr>
            </w:pPr>
            <w:r>
              <w:rPr>
                <w:sz w:val="24"/>
                <w:szCs w:val="24"/>
              </w:rPr>
              <w:t xml:space="preserve"> </w:t>
            </w:r>
          </w:p>
        </w:tc>
      </w:tr>
      <w:tr w:rsidR="0007720B" w14:paraId="67A2FDA4" w14:textId="77777777">
        <w:trPr>
          <w:trHeight w:val="962"/>
        </w:trPr>
        <w:tc>
          <w:tcPr>
            <w:tcW w:w="28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A775B9" w14:textId="77777777" w:rsidR="0007720B" w:rsidRDefault="00000000">
            <w:pPr>
              <w:spacing w:line="240" w:lineRule="auto"/>
              <w:jc w:val="center"/>
              <w:rPr>
                <w:b/>
                <w:sz w:val="24"/>
                <w:szCs w:val="24"/>
              </w:rPr>
            </w:pPr>
            <w:r>
              <w:rPr>
                <w:b/>
                <w:sz w:val="24"/>
                <w:szCs w:val="24"/>
              </w:rPr>
              <w:t xml:space="preserve">6 Week Summer </w:t>
            </w:r>
            <w:proofErr w:type="gramStart"/>
            <w:r>
              <w:rPr>
                <w:b/>
                <w:sz w:val="24"/>
                <w:szCs w:val="24"/>
              </w:rPr>
              <w:t>2024  Program</w:t>
            </w:r>
            <w:proofErr w:type="gramEnd"/>
          </w:p>
          <w:p w14:paraId="775C06EE" w14:textId="77777777" w:rsidR="0007720B" w:rsidRDefault="0007720B">
            <w:pPr>
              <w:spacing w:line="240" w:lineRule="auto"/>
              <w:jc w:val="center"/>
              <w:rPr>
                <w:sz w:val="24"/>
                <w:szCs w:val="24"/>
              </w:rPr>
            </w:pPr>
          </w:p>
        </w:tc>
        <w:tc>
          <w:tcPr>
            <w:tcW w:w="13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082D8AA" w14:textId="77777777" w:rsidR="0007720B" w:rsidRDefault="00000000">
            <w:pPr>
              <w:spacing w:line="240" w:lineRule="auto"/>
              <w:jc w:val="center"/>
              <w:rPr>
                <w:b/>
                <w:sz w:val="24"/>
                <w:szCs w:val="24"/>
              </w:rPr>
            </w:pPr>
            <w:r>
              <w:rPr>
                <w:b/>
                <w:sz w:val="24"/>
                <w:szCs w:val="24"/>
              </w:rPr>
              <w:t>Hours</w:t>
            </w:r>
          </w:p>
        </w:tc>
        <w:tc>
          <w:tcPr>
            <w:tcW w:w="12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6BEC381" w14:textId="77777777" w:rsidR="0007720B" w:rsidRDefault="00000000">
            <w:pPr>
              <w:spacing w:line="240" w:lineRule="auto"/>
              <w:jc w:val="center"/>
              <w:rPr>
                <w:b/>
                <w:sz w:val="24"/>
                <w:szCs w:val="24"/>
              </w:rPr>
            </w:pPr>
            <w:r>
              <w:rPr>
                <w:b/>
                <w:sz w:val="24"/>
                <w:szCs w:val="24"/>
              </w:rPr>
              <w:t>Days</w:t>
            </w:r>
          </w:p>
        </w:tc>
        <w:tc>
          <w:tcPr>
            <w:tcW w:w="27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F5F0C38" w14:textId="77777777" w:rsidR="0007720B" w:rsidRDefault="00000000">
            <w:pPr>
              <w:spacing w:line="240" w:lineRule="auto"/>
              <w:jc w:val="center"/>
              <w:rPr>
                <w:b/>
                <w:sz w:val="24"/>
                <w:szCs w:val="24"/>
              </w:rPr>
            </w:pPr>
            <w:r>
              <w:rPr>
                <w:b/>
                <w:sz w:val="24"/>
                <w:szCs w:val="24"/>
              </w:rPr>
              <w:t>Monthly Payment</w:t>
            </w:r>
          </w:p>
          <w:p w14:paraId="2C64B0D0" w14:textId="77777777" w:rsidR="0007720B" w:rsidRDefault="00000000">
            <w:pPr>
              <w:spacing w:line="240" w:lineRule="auto"/>
              <w:jc w:val="center"/>
              <w:rPr>
                <w:sz w:val="24"/>
                <w:szCs w:val="24"/>
              </w:rPr>
            </w:pPr>
            <w:r>
              <w:t>1st pull March 1st $1,150</w:t>
            </w:r>
          </w:p>
          <w:p w14:paraId="2DDFE7C4" w14:textId="77777777" w:rsidR="0007720B" w:rsidRDefault="00000000">
            <w:pPr>
              <w:spacing w:line="240" w:lineRule="auto"/>
              <w:jc w:val="center"/>
              <w:rPr>
                <w:sz w:val="24"/>
                <w:szCs w:val="24"/>
              </w:rPr>
            </w:pPr>
            <w:r>
              <w:rPr>
                <w:sz w:val="24"/>
                <w:szCs w:val="24"/>
              </w:rPr>
              <w:t>(</w:t>
            </w:r>
            <w:r>
              <w:t>June 1st &amp; July 1st)</w:t>
            </w:r>
          </w:p>
        </w:tc>
        <w:tc>
          <w:tcPr>
            <w:tcW w:w="304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1CB19A2" w14:textId="77777777" w:rsidR="0007720B" w:rsidRDefault="00000000">
            <w:pPr>
              <w:spacing w:line="240" w:lineRule="auto"/>
              <w:jc w:val="center"/>
              <w:rPr>
                <w:b/>
                <w:sz w:val="24"/>
                <w:szCs w:val="24"/>
              </w:rPr>
            </w:pPr>
            <w:r>
              <w:rPr>
                <w:b/>
                <w:sz w:val="24"/>
                <w:szCs w:val="24"/>
              </w:rPr>
              <w:t>Total Summer Program Cost</w:t>
            </w:r>
          </w:p>
        </w:tc>
      </w:tr>
      <w:tr w:rsidR="0007720B" w14:paraId="2D0B6194" w14:textId="77777777">
        <w:trPr>
          <w:trHeight w:val="611"/>
        </w:trPr>
        <w:tc>
          <w:tcPr>
            <w:tcW w:w="28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979B5" w14:textId="77777777" w:rsidR="0007720B" w:rsidRDefault="00000000">
            <w:pPr>
              <w:spacing w:line="240" w:lineRule="auto"/>
              <w:jc w:val="center"/>
              <w:rPr>
                <w:sz w:val="20"/>
                <w:szCs w:val="20"/>
              </w:rPr>
            </w:pPr>
            <w:r>
              <w:rPr>
                <w:sz w:val="20"/>
                <w:szCs w:val="20"/>
              </w:rPr>
              <w:t>Camp</w:t>
            </w:r>
          </w:p>
        </w:tc>
        <w:tc>
          <w:tcPr>
            <w:tcW w:w="13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1EF12A3" w14:textId="77777777" w:rsidR="0007720B" w:rsidRDefault="00000000">
            <w:pPr>
              <w:spacing w:line="240" w:lineRule="auto"/>
              <w:jc w:val="center"/>
              <w:rPr>
                <w:sz w:val="24"/>
                <w:szCs w:val="24"/>
              </w:rPr>
            </w:pPr>
            <w:r>
              <w:rPr>
                <w:sz w:val="24"/>
                <w:szCs w:val="24"/>
              </w:rPr>
              <w:t>9:00-2:00</w:t>
            </w:r>
          </w:p>
        </w:tc>
        <w:tc>
          <w:tcPr>
            <w:tcW w:w="12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AAB0AF" w14:textId="77777777" w:rsidR="0007720B" w:rsidRDefault="00000000">
            <w:pPr>
              <w:spacing w:line="240" w:lineRule="auto"/>
              <w:jc w:val="center"/>
              <w:rPr>
                <w:sz w:val="24"/>
                <w:szCs w:val="24"/>
              </w:rPr>
            </w:pPr>
            <w:r>
              <w:rPr>
                <w:sz w:val="24"/>
                <w:szCs w:val="24"/>
              </w:rPr>
              <w:t>M-F</w:t>
            </w:r>
          </w:p>
        </w:tc>
        <w:tc>
          <w:tcPr>
            <w:tcW w:w="27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E490FA0" w14:textId="77777777" w:rsidR="0007720B" w:rsidRDefault="00000000">
            <w:pPr>
              <w:spacing w:line="240" w:lineRule="auto"/>
              <w:jc w:val="center"/>
              <w:rPr>
                <w:sz w:val="24"/>
                <w:szCs w:val="24"/>
              </w:rPr>
            </w:pPr>
            <w:r>
              <w:rPr>
                <w:sz w:val="24"/>
                <w:szCs w:val="24"/>
              </w:rPr>
              <w:t>$1000</w:t>
            </w:r>
          </w:p>
        </w:tc>
        <w:tc>
          <w:tcPr>
            <w:tcW w:w="304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3E96D1B" w14:textId="77777777" w:rsidR="0007720B" w:rsidRDefault="00000000">
            <w:pPr>
              <w:spacing w:line="240" w:lineRule="auto"/>
              <w:jc w:val="center"/>
              <w:rPr>
                <w:sz w:val="24"/>
                <w:szCs w:val="24"/>
              </w:rPr>
            </w:pPr>
            <w:r>
              <w:rPr>
                <w:sz w:val="24"/>
                <w:szCs w:val="24"/>
              </w:rPr>
              <w:t>$3,150</w:t>
            </w:r>
          </w:p>
        </w:tc>
      </w:tr>
      <w:tr w:rsidR="0007720B" w14:paraId="71A40A86" w14:textId="77777777">
        <w:trPr>
          <w:trHeight w:val="320"/>
        </w:trPr>
        <w:tc>
          <w:tcPr>
            <w:tcW w:w="2820" w:type="dxa"/>
            <w:tcBorders>
              <w:top w:val="nil"/>
              <w:left w:val="single" w:sz="8" w:space="0" w:color="000000"/>
              <w:bottom w:val="single" w:sz="8" w:space="0" w:color="000000"/>
              <w:right w:val="single" w:sz="8" w:space="0" w:color="000000"/>
            </w:tcBorders>
            <w:shd w:val="clear" w:color="auto" w:fill="F79646"/>
            <w:tcMar>
              <w:top w:w="100" w:type="dxa"/>
              <w:left w:w="100" w:type="dxa"/>
              <w:bottom w:w="100" w:type="dxa"/>
              <w:right w:w="100" w:type="dxa"/>
            </w:tcMar>
          </w:tcPr>
          <w:p w14:paraId="28AB2A28" w14:textId="77777777" w:rsidR="0007720B" w:rsidRDefault="00000000">
            <w:pPr>
              <w:spacing w:line="240" w:lineRule="auto"/>
              <w:jc w:val="center"/>
              <w:rPr>
                <w:b/>
                <w:sz w:val="24"/>
                <w:szCs w:val="24"/>
              </w:rPr>
            </w:pPr>
            <w:r>
              <w:rPr>
                <w:b/>
                <w:sz w:val="24"/>
                <w:szCs w:val="24"/>
              </w:rPr>
              <w:t xml:space="preserve"> </w:t>
            </w:r>
          </w:p>
        </w:tc>
        <w:tc>
          <w:tcPr>
            <w:tcW w:w="139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497D0DA2" w14:textId="77777777" w:rsidR="0007720B" w:rsidRDefault="00000000">
            <w:pPr>
              <w:spacing w:line="240" w:lineRule="auto"/>
              <w:jc w:val="center"/>
              <w:rPr>
                <w:sz w:val="24"/>
                <w:szCs w:val="24"/>
              </w:rPr>
            </w:pPr>
            <w:r>
              <w:rPr>
                <w:sz w:val="24"/>
                <w:szCs w:val="24"/>
              </w:rPr>
              <w:t xml:space="preserve"> </w:t>
            </w:r>
          </w:p>
        </w:tc>
        <w:tc>
          <w:tcPr>
            <w:tcW w:w="1200"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5D80D62B" w14:textId="77777777" w:rsidR="0007720B" w:rsidRDefault="00000000">
            <w:pPr>
              <w:spacing w:line="240" w:lineRule="auto"/>
              <w:jc w:val="center"/>
              <w:rPr>
                <w:sz w:val="24"/>
                <w:szCs w:val="24"/>
              </w:rPr>
            </w:pPr>
            <w:r>
              <w:rPr>
                <w:sz w:val="24"/>
                <w:szCs w:val="24"/>
              </w:rPr>
              <w:t xml:space="preserve"> </w:t>
            </w:r>
          </w:p>
        </w:tc>
        <w:tc>
          <w:tcPr>
            <w:tcW w:w="277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32A5130D" w14:textId="77777777" w:rsidR="0007720B" w:rsidRDefault="00000000">
            <w:pPr>
              <w:spacing w:line="240" w:lineRule="auto"/>
              <w:jc w:val="center"/>
              <w:rPr>
                <w:sz w:val="24"/>
                <w:szCs w:val="24"/>
              </w:rPr>
            </w:pPr>
            <w:r>
              <w:rPr>
                <w:sz w:val="24"/>
                <w:szCs w:val="24"/>
              </w:rPr>
              <w:t xml:space="preserve"> </w:t>
            </w:r>
          </w:p>
        </w:tc>
        <w:tc>
          <w:tcPr>
            <w:tcW w:w="304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01D8B4FD" w14:textId="77777777" w:rsidR="0007720B" w:rsidRDefault="00000000">
            <w:pPr>
              <w:spacing w:line="240" w:lineRule="auto"/>
              <w:jc w:val="center"/>
              <w:rPr>
                <w:sz w:val="24"/>
                <w:szCs w:val="24"/>
              </w:rPr>
            </w:pPr>
            <w:r>
              <w:rPr>
                <w:sz w:val="24"/>
                <w:szCs w:val="24"/>
              </w:rPr>
              <w:t xml:space="preserve"> </w:t>
            </w:r>
          </w:p>
        </w:tc>
      </w:tr>
    </w:tbl>
    <w:p w14:paraId="3D34B4DD" w14:textId="77777777" w:rsidR="0007720B" w:rsidRDefault="00000000">
      <w:pPr>
        <w:rPr>
          <w:b/>
          <w:sz w:val="16"/>
          <w:szCs w:val="16"/>
        </w:rPr>
      </w:pPr>
      <w:r>
        <w:rPr>
          <w:b/>
          <w:sz w:val="24"/>
          <w:szCs w:val="24"/>
        </w:rPr>
        <w:t xml:space="preserve">  </w:t>
      </w:r>
    </w:p>
    <w:p w14:paraId="2A0B4858" w14:textId="77777777" w:rsidR="0007720B" w:rsidRDefault="00000000">
      <w:pPr>
        <w:numPr>
          <w:ilvl w:val="0"/>
          <w:numId w:val="1"/>
        </w:numPr>
        <w:spacing w:line="240" w:lineRule="auto"/>
        <w:rPr>
          <w:sz w:val="18"/>
          <w:szCs w:val="18"/>
        </w:rPr>
      </w:pPr>
      <w:r>
        <w:rPr>
          <w:sz w:val="18"/>
          <w:szCs w:val="18"/>
        </w:rPr>
        <w:t>There is a one-time $150.00 non-refundable application fee.</w:t>
      </w:r>
    </w:p>
    <w:p w14:paraId="0DE32B71" w14:textId="77777777" w:rsidR="0007720B" w:rsidRDefault="00000000">
      <w:pPr>
        <w:spacing w:line="240" w:lineRule="auto"/>
        <w:ind w:left="1440"/>
        <w:rPr>
          <w:sz w:val="18"/>
          <w:szCs w:val="18"/>
        </w:rPr>
      </w:pPr>
      <w:r>
        <w:rPr>
          <w:sz w:val="18"/>
          <w:szCs w:val="18"/>
        </w:rPr>
        <w:t xml:space="preserve"> </w:t>
      </w:r>
    </w:p>
    <w:p w14:paraId="5F064EDD" w14:textId="77777777" w:rsidR="0007720B" w:rsidRDefault="00000000">
      <w:pPr>
        <w:numPr>
          <w:ilvl w:val="0"/>
          <w:numId w:val="1"/>
        </w:numPr>
        <w:spacing w:line="240" w:lineRule="auto"/>
        <w:rPr>
          <w:sz w:val="18"/>
          <w:szCs w:val="18"/>
        </w:rPr>
      </w:pPr>
      <w:r>
        <w:rPr>
          <w:sz w:val="18"/>
          <w:szCs w:val="18"/>
        </w:rPr>
        <w:t>If accepted, there is an annual $750 non-refundable enrollment fee.</w:t>
      </w:r>
    </w:p>
    <w:p w14:paraId="100C52B3" w14:textId="77777777" w:rsidR="0007720B" w:rsidRDefault="0007720B">
      <w:pPr>
        <w:spacing w:line="240" w:lineRule="auto"/>
        <w:ind w:left="720"/>
        <w:rPr>
          <w:sz w:val="16"/>
          <w:szCs w:val="16"/>
          <w:highlight w:val="yellow"/>
        </w:rPr>
      </w:pPr>
    </w:p>
    <w:p w14:paraId="43CD4B68" w14:textId="77777777" w:rsidR="0007720B" w:rsidRDefault="00000000">
      <w:pPr>
        <w:numPr>
          <w:ilvl w:val="0"/>
          <w:numId w:val="1"/>
        </w:numPr>
        <w:spacing w:line="240" w:lineRule="auto"/>
        <w:rPr>
          <w:sz w:val="18"/>
          <w:szCs w:val="18"/>
        </w:rPr>
      </w:pPr>
      <w:r>
        <w:rPr>
          <w:sz w:val="18"/>
          <w:szCs w:val="18"/>
        </w:rPr>
        <w:t>The ‘Academic’ School Year’ tuition is divided into 10 monthly payments and remains the same regardless of the number of days in any given month or regardless of your child’s attendance.</w:t>
      </w:r>
    </w:p>
    <w:p w14:paraId="35D2BF55" w14:textId="77777777" w:rsidR="0007720B" w:rsidRDefault="00000000">
      <w:pPr>
        <w:spacing w:line="240" w:lineRule="auto"/>
        <w:rPr>
          <w:sz w:val="16"/>
          <w:szCs w:val="16"/>
        </w:rPr>
      </w:pPr>
      <w:r>
        <w:rPr>
          <w:sz w:val="18"/>
          <w:szCs w:val="18"/>
        </w:rPr>
        <w:t xml:space="preserve"> </w:t>
      </w:r>
    </w:p>
    <w:p w14:paraId="7102DE97" w14:textId="77777777" w:rsidR="0007720B" w:rsidRDefault="00000000">
      <w:pPr>
        <w:numPr>
          <w:ilvl w:val="0"/>
          <w:numId w:val="1"/>
        </w:numPr>
        <w:spacing w:line="240" w:lineRule="auto"/>
        <w:rPr>
          <w:sz w:val="18"/>
          <w:szCs w:val="18"/>
        </w:rPr>
      </w:pPr>
      <w:r>
        <w:rPr>
          <w:sz w:val="18"/>
          <w:szCs w:val="18"/>
        </w:rPr>
        <w:t>Tuition is automatically withdrawn on the 1</w:t>
      </w:r>
      <w:r>
        <w:rPr>
          <w:sz w:val="18"/>
          <w:szCs w:val="18"/>
          <w:vertAlign w:val="superscript"/>
        </w:rPr>
        <w:t>st</w:t>
      </w:r>
      <w:r>
        <w:rPr>
          <w:sz w:val="18"/>
          <w:szCs w:val="18"/>
        </w:rPr>
        <w:t xml:space="preserve"> of each month and begins August 1</w:t>
      </w:r>
      <w:r>
        <w:rPr>
          <w:sz w:val="18"/>
          <w:szCs w:val="18"/>
          <w:vertAlign w:val="superscript"/>
        </w:rPr>
        <w:t>st</w:t>
      </w:r>
      <w:r>
        <w:rPr>
          <w:sz w:val="18"/>
          <w:szCs w:val="18"/>
        </w:rPr>
        <w:t xml:space="preserve"> and ends May 1st.</w:t>
      </w:r>
    </w:p>
    <w:p w14:paraId="16224856" w14:textId="77777777" w:rsidR="0007720B" w:rsidRDefault="00000000">
      <w:pPr>
        <w:spacing w:line="240" w:lineRule="auto"/>
        <w:ind w:left="1440"/>
        <w:rPr>
          <w:sz w:val="16"/>
          <w:szCs w:val="16"/>
        </w:rPr>
      </w:pPr>
      <w:r>
        <w:rPr>
          <w:sz w:val="18"/>
          <w:szCs w:val="18"/>
        </w:rPr>
        <w:t xml:space="preserve"> </w:t>
      </w:r>
    </w:p>
    <w:p w14:paraId="3C3DB9EC" w14:textId="77777777" w:rsidR="0007720B" w:rsidRDefault="00000000">
      <w:pPr>
        <w:numPr>
          <w:ilvl w:val="0"/>
          <w:numId w:val="1"/>
        </w:numPr>
        <w:spacing w:line="240" w:lineRule="auto"/>
        <w:rPr>
          <w:sz w:val="18"/>
          <w:szCs w:val="18"/>
        </w:rPr>
      </w:pPr>
      <w:r>
        <w:rPr>
          <w:sz w:val="18"/>
          <w:szCs w:val="18"/>
        </w:rPr>
        <w:lastRenderedPageBreak/>
        <w:t>A separate and ‘</w:t>
      </w:r>
      <w:proofErr w:type="gramStart"/>
      <w:r>
        <w:rPr>
          <w:sz w:val="18"/>
          <w:szCs w:val="18"/>
        </w:rPr>
        <w:t>limited-space</w:t>
      </w:r>
      <w:proofErr w:type="gramEnd"/>
      <w:r>
        <w:rPr>
          <w:sz w:val="18"/>
          <w:szCs w:val="18"/>
        </w:rPr>
        <w:t xml:space="preserve">’ 6 week ‘Summer Camp Program’ is offered in January. If enrolled, a </w:t>
      </w:r>
      <w:proofErr w:type="spellStart"/>
      <w:proofErr w:type="gramStart"/>
      <w:r>
        <w:rPr>
          <w:sz w:val="18"/>
          <w:szCs w:val="18"/>
        </w:rPr>
        <w:t>non refundable</w:t>
      </w:r>
      <w:proofErr w:type="spellEnd"/>
      <w:proofErr w:type="gramEnd"/>
      <w:r>
        <w:rPr>
          <w:sz w:val="18"/>
          <w:szCs w:val="18"/>
        </w:rPr>
        <w:t xml:space="preserve"> $1,150.00 deposit is due and pulled March 15th and is applied towards the total cost of the program. The remaining balance is divided into 2 payments of $1000 &amp; withdrawn on June 1</w:t>
      </w:r>
      <w:proofErr w:type="gramStart"/>
      <w:r>
        <w:rPr>
          <w:sz w:val="18"/>
          <w:szCs w:val="18"/>
          <w:vertAlign w:val="superscript"/>
        </w:rPr>
        <w:t xml:space="preserve">st </w:t>
      </w:r>
      <w:r>
        <w:rPr>
          <w:sz w:val="18"/>
          <w:szCs w:val="18"/>
        </w:rPr>
        <w:t xml:space="preserve"> &amp;</w:t>
      </w:r>
      <w:proofErr w:type="gramEnd"/>
      <w:r>
        <w:rPr>
          <w:sz w:val="18"/>
          <w:szCs w:val="18"/>
        </w:rPr>
        <w:t xml:space="preserve"> July 1</w:t>
      </w:r>
      <w:r>
        <w:rPr>
          <w:sz w:val="18"/>
          <w:szCs w:val="18"/>
          <w:vertAlign w:val="superscript"/>
        </w:rPr>
        <w:t>st</w:t>
      </w:r>
      <w:r>
        <w:rPr>
          <w:sz w:val="18"/>
          <w:szCs w:val="18"/>
        </w:rPr>
        <w:t xml:space="preserve">.  </w:t>
      </w:r>
    </w:p>
    <w:p w14:paraId="271272CB" w14:textId="77777777" w:rsidR="0007720B" w:rsidRDefault="00000000">
      <w:pPr>
        <w:spacing w:line="240" w:lineRule="auto"/>
        <w:ind w:left="1440"/>
        <w:rPr>
          <w:sz w:val="16"/>
          <w:szCs w:val="16"/>
        </w:rPr>
      </w:pPr>
      <w:r>
        <w:rPr>
          <w:sz w:val="18"/>
          <w:szCs w:val="18"/>
        </w:rPr>
        <w:t xml:space="preserve"> </w:t>
      </w:r>
    </w:p>
    <w:p w14:paraId="09CAAA58" w14:textId="77777777" w:rsidR="0007720B" w:rsidRDefault="00000000">
      <w:pPr>
        <w:numPr>
          <w:ilvl w:val="0"/>
          <w:numId w:val="1"/>
        </w:numPr>
        <w:spacing w:line="240" w:lineRule="auto"/>
        <w:rPr>
          <w:sz w:val="18"/>
          <w:szCs w:val="18"/>
        </w:rPr>
      </w:pPr>
      <w:r>
        <w:rPr>
          <w:sz w:val="18"/>
          <w:szCs w:val="18"/>
        </w:rPr>
        <w:t>Families are responsible for their contractual monthly tuition, including instances of emergency closures and/or pivots to ‘Distance Learning’, and voluntary decision to leave. There are no refunds under any circumstances.</w:t>
      </w:r>
    </w:p>
    <w:p w14:paraId="3EF5A838" w14:textId="77777777" w:rsidR="0007720B" w:rsidRDefault="0007720B">
      <w:pPr>
        <w:spacing w:after="200"/>
        <w:jc w:val="right"/>
        <w:rPr>
          <w:rFonts w:ascii="Calibri" w:eastAsia="Calibri" w:hAnsi="Calibri" w:cs="Calibri"/>
          <w:sz w:val="14"/>
          <w:szCs w:val="14"/>
        </w:rPr>
      </w:pPr>
      <w:bookmarkStart w:id="1" w:name="_96tfai9940c1" w:colFirst="0" w:colLast="0"/>
      <w:bookmarkEnd w:id="1"/>
    </w:p>
    <w:p w14:paraId="7143334C" w14:textId="77777777" w:rsidR="0007720B" w:rsidRDefault="00000000">
      <w:pPr>
        <w:spacing w:after="200"/>
        <w:jc w:val="center"/>
        <w:rPr>
          <w:rFonts w:ascii="Calibri" w:eastAsia="Calibri" w:hAnsi="Calibri" w:cs="Calibri"/>
          <w:sz w:val="18"/>
          <w:szCs w:val="18"/>
        </w:rPr>
      </w:pPr>
      <w:bookmarkStart w:id="2" w:name="_izyk2vm9raue" w:colFirst="0" w:colLast="0"/>
      <w:bookmarkEnd w:id="2"/>
      <w:r>
        <w:rPr>
          <w:rFonts w:ascii="Calibri" w:eastAsia="Calibri" w:hAnsi="Calibri" w:cs="Calibri"/>
          <w:sz w:val="18"/>
          <w:szCs w:val="18"/>
        </w:rPr>
        <w:t xml:space="preserve">*Prices subject to change </w:t>
      </w:r>
    </w:p>
    <w:sectPr w:rsidR="0007720B">
      <w:pgSz w:w="12240" w:h="15840"/>
      <w:pgMar w:top="81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D044A"/>
    <w:multiLevelType w:val="multilevel"/>
    <w:tmpl w:val="96E0A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98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0B"/>
    <w:rsid w:val="0007720B"/>
    <w:rsid w:val="00572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1656DD"/>
  <w15:docId w15:val="{787467C0-EC1A-A148-BB46-6CC0AB10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Karyn Schmidt</cp:lastModifiedBy>
  <cp:revision>2</cp:revision>
  <dcterms:created xsi:type="dcterms:W3CDTF">2023-11-10T19:56:00Z</dcterms:created>
  <dcterms:modified xsi:type="dcterms:W3CDTF">2023-11-10T19:56:00Z</dcterms:modified>
</cp:coreProperties>
</file>