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B88368" w14:textId="3D360A71" w:rsidR="004718EF" w:rsidRPr="009B2C7B" w:rsidRDefault="00FE774A" w:rsidP="00DF38EC">
      <w:pPr>
        <w:spacing w:after="280" w:line="240" w:lineRule="auto"/>
        <w:contextualSpacing/>
        <w:rPr>
          <w:rFonts w:ascii="Garamond" w:hAnsi="Garamond"/>
        </w:rPr>
      </w:pPr>
      <w:r w:rsidRPr="009B2C7B">
        <w:rPr>
          <w:rFonts w:ascii="Garamond" w:hAnsi="Garamond"/>
        </w:rPr>
        <w:t xml:space="preserve">“Markets post </w:t>
      </w:r>
      <w:r w:rsidR="009115DA" w:rsidRPr="009B2C7B">
        <w:rPr>
          <w:rFonts w:ascii="Garamond" w:hAnsi="Garamond"/>
        </w:rPr>
        <w:t>the</w:t>
      </w:r>
      <w:r w:rsidRPr="009B2C7B">
        <w:rPr>
          <w:rFonts w:ascii="Garamond" w:hAnsi="Garamond"/>
        </w:rPr>
        <w:t xml:space="preserve"> worst first half of year in decades” (</w:t>
      </w:r>
      <w:r w:rsidR="00F20F0E" w:rsidRPr="009B2C7B">
        <w:rPr>
          <w:rFonts w:ascii="Garamond" w:hAnsi="Garamond"/>
        </w:rPr>
        <w:t>Wall Street Journal 7/1/22).  That about says it all.  In the second quarter, the D</w:t>
      </w:r>
      <w:r w:rsidR="00EF61AA" w:rsidRPr="009B2C7B">
        <w:rPr>
          <w:rFonts w:ascii="Garamond" w:hAnsi="Garamond"/>
        </w:rPr>
        <w:t>J</w:t>
      </w:r>
      <w:r w:rsidR="00F20F0E" w:rsidRPr="009B2C7B">
        <w:rPr>
          <w:rFonts w:ascii="Garamond" w:hAnsi="Garamond"/>
        </w:rPr>
        <w:t>IA lost -10.8%, the S</w:t>
      </w:r>
      <w:r w:rsidR="00CA4936" w:rsidRPr="009B2C7B">
        <w:rPr>
          <w:rFonts w:ascii="Garamond" w:hAnsi="Garamond"/>
        </w:rPr>
        <w:t>&amp;</w:t>
      </w:r>
      <w:r w:rsidR="00F20F0E" w:rsidRPr="009B2C7B">
        <w:rPr>
          <w:rFonts w:ascii="Garamond" w:hAnsi="Garamond"/>
        </w:rPr>
        <w:t xml:space="preserve">P 500 lost </w:t>
      </w:r>
      <w:r w:rsidR="00145019" w:rsidRPr="009B2C7B">
        <w:rPr>
          <w:rFonts w:ascii="Garamond" w:hAnsi="Garamond"/>
        </w:rPr>
        <w:t>-16.1%, the NASDA</w:t>
      </w:r>
      <w:r w:rsidR="00EF61AA" w:rsidRPr="009B2C7B">
        <w:rPr>
          <w:rFonts w:ascii="Garamond" w:hAnsi="Garamond"/>
        </w:rPr>
        <w:t>Q</w:t>
      </w:r>
      <w:r w:rsidR="00145019" w:rsidRPr="009B2C7B">
        <w:rPr>
          <w:rFonts w:ascii="Garamond" w:hAnsi="Garamond"/>
        </w:rPr>
        <w:t xml:space="preserve"> lost -22.5% a</w:t>
      </w:r>
      <w:r w:rsidR="00EF61AA" w:rsidRPr="009B2C7B">
        <w:rPr>
          <w:rFonts w:ascii="Garamond" w:hAnsi="Garamond"/>
        </w:rPr>
        <w:t>n</w:t>
      </w:r>
      <w:r w:rsidR="00145019" w:rsidRPr="009B2C7B">
        <w:rPr>
          <w:rFonts w:ascii="Garamond" w:hAnsi="Garamond"/>
        </w:rPr>
        <w:t xml:space="preserve">d the Bloomberg Aggregate Bond Index slid </w:t>
      </w:r>
      <w:r w:rsidR="005B522F" w:rsidRPr="009B2C7B">
        <w:rPr>
          <w:rFonts w:ascii="Garamond" w:hAnsi="Garamond"/>
        </w:rPr>
        <w:t>-4</w:t>
      </w:r>
      <w:r w:rsidR="00C64890" w:rsidRPr="009B2C7B">
        <w:rPr>
          <w:rFonts w:ascii="Garamond" w:hAnsi="Garamond"/>
        </w:rPr>
        <w:t>.</w:t>
      </w:r>
      <w:r w:rsidR="005B522F" w:rsidRPr="009B2C7B">
        <w:rPr>
          <w:rFonts w:ascii="Garamond" w:hAnsi="Garamond"/>
        </w:rPr>
        <w:t xml:space="preserve">7%.  As the data shows, there was </w:t>
      </w:r>
      <w:r w:rsidR="006C12B1" w:rsidRPr="009B2C7B">
        <w:rPr>
          <w:rFonts w:ascii="Garamond" w:hAnsi="Garamond"/>
        </w:rPr>
        <w:t>virtually</w:t>
      </w:r>
      <w:r w:rsidR="005B522F" w:rsidRPr="009B2C7B">
        <w:rPr>
          <w:rFonts w:ascii="Garamond" w:hAnsi="Garamond"/>
        </w:rPr>
        <w:t xml:space="preserve"> no opportunity to </w:t>
      </w:r>
      <w:r w:rsidR="00F409D9" w:rsidRPr="009B2C7B">
        <w:rPr>
          <w:rFonts w:ascii="Garamond" w:hAnsi="Garamond"/>
        </w:rPr>
        <w:t>capture investment gains in the most recent quarter.</w:t>
      </w:r>
      <w:r w:rsidR="0029090B" w:rsidRPr="009B2C7B">
        <w:rPr>
          <w:rFonts w:ascii="Garamond" w:hAnsi="Garamond"/>
        </w:rPr>
        <w:t xml:space="preserve">  </w:t>
      </w:r>
      <w:r w:rsidR="00124F15" w:rsidRPr="009B2C7B">
        <w:rPr>
          <w:rFonts w:ascii="Garamond" w:hAnsi="Garamond"/>
        </w:rPr>
        <w:t>H</w:t>
      </w:r>
      <w:r w:rsidR="0029090B" w:rsidRPr="009B2C7B">
        <w:rPr>
          <w:rFonts w:ascii="Garamond" w:hAnsi="Garamond"/>
        </w:rPr>
        <w:t>igh</w:t>
      </w:r>
      <w:r w:rsidR="005728D6" w:rsidRPr="009B2C7B">
        <w:rPr>
          <w:rFonts w:ascii="Garamond" w:hAnsi="Garamond"/>
        </w:rPr>
        <w:t xml:space="preserve"> flying </w:t>
      </w:r>
      <w:r w:rsidR="0029090B" w:rsidRPr="009B2C7B">
        <w:rPr>
          <w:rFonts w:ascii="Garamond" w:hAnsi="Garamond"/>
        </w:rPr>
        <w:t xml:space="preserve">cryptocurrencies </w:t>
      </w:r>
      <w:r w:rsidR="005728D6" w:rsidRPr="009B2C7B">
        <w:rPr>
          <w:rFonts w:ascii="Garamond" w:hAnsi="Garamond"/>
        </w:rPr>
        <w:t xml:space="preserve">also </w:t>
      </w:r>
      <w:r w:rsidR="0029090B" w:rsidRPr="009B2C7B">
        <w:rPr>
          <w:rFonts w:ascii="Garamond" w:hAnsi="Garamond"/>
        </w:rPr>
        <w:t>suffered significant losses.</w:t>
      </w:r>
    </w:p>
    <w:p w14:paraId="259F56FB" w14:textId="6CD8ABA7" w:rsidR="00C64890" w:rsidRPr="009B2C7B" w:rsidRDefault="00C64890" w:rsidP="00DF38EC">
      <w:pPr>
        <w:spacing w:after="280" w:line="240" w:lineRule="auto"/>
        <w:contextualSpacing/>
        <w:rPr>
          <w:rFonts w:ascii="Garamond" w:hAnsi="Garamond"/>
        </w:rPr>
      </w:pPr>
    </w:p>
    <w:p w14:paraId="375C5ED3" w14:textId="644F8A0F" w:rsidR="00C06E85" w:rsidRPr="009B2C7B" w:rsidRDefault="00C64890" w:rsidP="00DF38EC">
      <w:pPr>
        <w:spacing w:after="280" w:line="240" w:lineRule="auto"/>
        <w:contextualSpacing/>
        <w:rPr>
          <w:rFonts w:ascii="Garamond" w:hAnsi="Garamond"/>
        </w:rPr>
      </w:pPr>
      <w:r w:rsidRPr="009B2C7B">
        <w:rPr>
          <w:rFonts w:ascii="Garamond" w:hAnsi="Garamond"/>
        </w:rPr>
        <w:t xml:space="preserve">We are in, or nearly in, a recession.  </w:t>
      </w:r>
      <w:r w:rsidR="00F968A6" w:rsidRPr="009B2C7B">
        <w:rPr>
          <w:rFonts w:ascii="Garamond" w:hAnsi="Garamond"/>
        </w:rPr>
        <w:t>Inflation is high</w:t>
      </w:r>
      <w:r w:rsidR="00783023" w:rsidRPr="009B2C7B">
        <w:rPr>
          <w:rFonts w:ascii="Garamond" w:hAnsi="Garamond"/>
        </w:rPr>
        <w:t xml:space="preserve"> and will </w:t>
      </w:r>
      <w:r w:rsidR="00641635" w:rsidRPr="009B2C7B">
        <w:rPr>
          <w:rFonts w:ascii="Garamond" w:hAnsi="Garamond"/>
        </w:rPr>
        <w:t>probably</w:t>
      </w:r>
      <w:r w:rsidR="00783023" w:rsidRPr="009B2C7B">
        <w:rPr>
          <w:rFonts w:ascii="Garamond" w:hAnsi="Garamond"/>
        </w:rPr>
        <w:t xml:space="preserve"> go higher.   The Federal Reserve is finally raising interest </w:t>
      </w:r>
      <w:r w:rsidR="000722E5" w:rsidRPr="009B2C7B">
        <w:rPr>
          <w:rFonts w:ascii="Garamond" w:hAnsi="Garamond"/>
        </w:rPr>
        <w:t xml:space="preserve">rates.  In June, rates were increased by </w:t>
      </w:r>
      <w:r w:rsidR="00615B65" w:rsidRPr="009B2C7B">
        <w:rPr>
          <w:rFonts w:ascii="Garamond" w:hAnsi="Garamond"/>
        </w:rPr>
        <w:t>¾%</w:t>
      </w:r>
      <w:r w:rsidR="00221176" w:rsidRPr="009B2C7B">
        <w:rPr>
          <w:rFonts w:ascii="Garamond" w:hAnsi="Garamond"/>
        </w:rPr>
        <w:t xml:space="preserve">, the third increase this year.  </w:t>
      </w:r>
      <w:r w:rsidR="00B1498A" w:rsidRPr="009B2C7B">
        <w:rPr>
          <w:rFonts w:ascii="Garamond" w:hAnsi="Garamond"/>
        </w:rPr>
        <w:t>The</w:t>
      </w:r>
      <w:r w:rsidR="00CA7180" w:rsidRPr="009B2C7B">
        <w:rPr>
          <w:rFonts w:ascii="Garamond" w:hAnsi="Garamond"/>
        </w:rPr>
        <w:t xml:space="preserve"> market expects two more increases this year and potentially further increases next year. </w:t>
      </w:r>
      <w:r w:rsidR="00C06E85" w:rsidRPr="009B2C7B">
        <w:rPr>
          <w:rFonts w:ascii="Garamond" w:hAnsi="Garamond"/>
        </w:rPr>
        <w:t xml:space="preserve"> </w:t>
      </w:r>
      <w:r w:rsidR="00CA7180" w:rsidRPr="009B2C7B">
        <w:rPr>
          <w:rFonts w:ascii="Garamond" w:hAnsi="Garamond"/>
        </w:rPr>
        <w:t>T</w:t>
      </w:r>
      <w:r w:rsidR="00C06E85" w:rsidRPr="009B2C7B">
        <w:rPr>
          <w:rFonts w:ascii="Garamond" w:hAnsi="Garamond"/>
        </w:rPr>
        <w:t xml:space="preserve">hese increases </w:t>
      </w:r>
      <w:r w:rsidR="00CA7180" w:rsidRPr="009B2C7B">
        <w:rPr>
          <w:rFonts w:ascii="Garamond" w:hAnsi="Garamond"/>
        </w:rPr>
        <w:t xml:space="preserve">are expected to </w:t>
      </w:r>
      <w:r w:rsidR="00C06E85" w:rsidRPr="009B2C7B">
        <w:rPr>
          <w:rFonts w:ascii="Garamond" w:hAnsi="Garamond"/>
        </w:rPr>
        <w:t xml:space="preserve">have a negative impact on </w:t>
      </w:r>
      <w:r w:rsidR="00641635" w:rsidRPr="009B2C7B">
        <w:rPr>
          <w:rFonts w:ascii="Garamond" w:hAnsi="Garamond"/>
        </w:rPr>
        <w:t>stocks and</w:t>
      </w:r>
      <w:r w:rsidR="00C06E85" w:rsidRPr="009B2C7B">
        <w:rPr>
          <w:rFonts w:ascii="Garamond" w:hAnsi="Garamond"/>
        </w:rPr>
        <w:t xml:space="preserve"> bonds.</w:t>
      </w:r>
    </w:p>
    <w:p w14:paraId="23CA2E62" w14:textId="77777777" w:rsidR="001C3093" w:rsidRPr="009B2C7B" w:rsidRDefault="001C3093" w:rsidP="00DF38EC">
      <w:pPr>
        <w:spacing w:after="280" w:line="240" w:lineRule="auto"/>
        <w:contextualSpacing/>
        <w:rPr>
          <w:rFonts w:ascii="Garamond" w:hAnsi="Garamond"/>
        </w:rPr>
      </w:pPr>
    </w:p>
    <w:p w14:paraId="080525CC" w14:textId="2E1B0B6D" w:rsidR="004718EF" w:rsidRPr="009B2C7B" w:rsidRDefault="00F61DC7" w:rsidP="00DF38EC">
      <w:pPr>
        <w:spacing w:after="280" w:line="240" w:lineRule="auto"/>
        <w:contextualSpacing/>
        <w:rPr>
          <w:rFonts w:ascii="Garamond" w:hAnsi="Garamond"/>
        </w:rPr>
      </w:pPr>
      <w:r w:rsidRPr="009B2C7B">
        <w:rPr>
          <w:rFonts w:ascii="Garamond" w:hAnsi="Garamond"/>
        </w:rPr>
        <w:t xml:space="preserve">There are many reasons </w:t>
      </w:r>
      <w:r w:rsidR="003C2B10" w:rsidRPr="009B2C7B">
        <w:rPr>
          <w:rFonts w:ascii="Garamond" w:hAnsi="Garamond"/>
        </w:rPr>
        <w:t>wh</w:t>
      </w:r>
      <w:r w:rsidR="00516D28" w:rsidRPr="009B2C7B">
        <w:rPr>
          <w:rFonts w:ascii="Garamond" w:hAnsi="Garamond"/>
        </w:rPr>
        <w:t>y</w:t>
      </w:r>
      <w:r w:rsidR="003C2B10" w:rsidRPr="009B2C7B">
        <w:rPr>
          <w:rFonts w:ascii="Garamond" w:hAnsi="Garamond"/>
        </w:rPr>
        <w:t xml:space="preserve"> our economy has slowed down</w:t>
      </w:r>
      <w:r w:rsidR="0001224C" w:rsidRPr="009B2C7B">
        <w:rPr>
          <w:rFonts w:ascii="Garamond" w:hAnsi="Garamond"/>
        </w:rPr>
        <w:t xml:space="preserve">: Covid, supply chain issues, </w:t>
      </w:r>
      <w:r w:rsidR="00DE5209" w:rsidRPr="009B2C7B">
        <w:rPr>
          <w:rFonts w:ascii="Garamond" w:hAnsi="Garamond"/>
        </w:rPr>
        <w:t>the Russia/Ukraine war</w:t>
      </w:r>
      <w:r w:rsidR="00CA7180" w:rsidRPr="009B2C7B">
        <w:rPr>
          <w:rFonts w:ascii="Garamond" w:hAnsi="Garamond"/>
        </w:rPr>
        <w:t xml:space="preserve"> and its impact on oil</w:t>
      </w:r>
      <w:r w:rsidR="00801A22" w:rsidRPr="009B2C7B">
        <w:rPr>
          <w:rFonts w:ascii="Garamond" w:hAnsi="Garamond"/>
        </w:rPr>
        <w:t xml:space="preserve"> (which impacts many sectors of the economy</w:t>
      </w:r>
      <w:r w:rsidR="00D33EA0" w:rsidRPr="009B2C7B">
        <w:rPr>
          <w:rFonts w:ascii="Garamond" w:hAnsi="Garamond"/>
        </w:rPr>
        <w:t>),</w:t>
      </w:r>
      <w:r w:rsidR="00CA7180" w:rsidRPr="009B2C7B">
        <w:rPr>
          <w:rFonts w:ascii="Garamond" w:hAnsi="Garamond"/>
        </w:rPr>
        <w:t xml:space="preserve"> grain prices</w:t>
      </w:r>
      <w:r w:rsidR="00DE5209" w:rsidRPr="009B2C7B">
        <w:rPr>
          <w:rFonts w:ascii="Garamond" w:hAnsi="Garamond"/>
        </w:rPr>
        <w:t>,</w:t>
      </w:r>
      <w:r w:rsidR="00CA7180" w:rsidRPr="009B2C7B">
        <w:rPr>
          <w:rFonts w:ascii="Garamond" w:hAnsi="Garamond"/>
        </w:rPr>
        <w:t xml:space="preserve"> and</w:t>
      </w:r>
      <w:r w:rsidR="00DE5209" w:rsidRPr="009B2C7B">
        <w:rPr>
          <w:rFonts w:ascii="Garamond" w:hAnsi="Garamond"/>
        </w:rPr>
        <w:t xml:space="preserve"> other goods</w:t>
      </w:r>
      <w:r w:rsidR="00CA7180" w:rsidRPr="009B2C7B">
        <w:rPr>
          <w:rFonts w:ascii="Garamond" w:hAnsi="Garamond"/>
        </w:rPr>
        <w:t xml:space="preserve"> as well as higher mortgage rates and their impact on the housing market. Additional</w:t>
      </w:r>
      <w:r w:rsidR="00801A22" w:rsidRPr="009B2C7B">
        <w:rPr>
          <w:rFonts w:ascii="Garamond" w:hAnsi="Garamond"/>
        </w:rPr>
        <w:t>l</w:t>
      </w:r>
      <w:r w:rsidR="00CA7180" w:rsidRPr="009B2C7B">
        <w:rPr>
          <w:rFonts w:ascii="Garamond" w:hAnsi="Garamond"/>
        </w:rPr>
        <w:t xml:space="preserve">y, consumer confidence has declined significantly </w:t>
      </w:r>
      <w:r w:rsidR="00801A22" w:rsidRPr="009B2C7B">
        <w:rPr>
          <w:rFonts w:ascii="Garamond" w:hAnsi="Garamond"/>
        </w:rPr>
        <w:t>as a result of higher inflation and its impact on consumers daily lives</w:t>
      </w:r>
      <w:r w:rsidR="00A2157F" w:rsidRPr="009B2C7B">
        <w:rPr>
          <w:rFonts w:ascii="Garamond" w:hAnsi="Garamond"/>
        </w:rPr>
        <w:t xml:space="preserve">.  </w:t>
      </w:r>
      <w:r w:rsidR="00801A22" w:rsidRPr="009B2C7B">
        <w:rPr>
          <w:rFonts w:ascii="Garamond" w:hAnsi="Garamond"/>
        </w:rPr>
        <w:t>Additionally, the current administration is sending the oil and gas industry mixed signals that discourage long term investment in oil/gas production capacity.</w:t>
      </w:r>
    </w:p>
    <w:p w14:paraId="54419B94" w14:textId="73FA6BBB" w:rsidR="00A2157F" w:rsidRPr="009B2C7B" w:rsidRDefault="00A2157F" w:rsidP="00DF38EC">
      <w:pPr>
        <w:spacing w:after="280" w:line="240" w:lineRule="auto"/>
        <w:contextualSpacing/>
        <w:rPr>
          <w:rFonts w:ascii="Garamond" w:hAnsi="Garamond"/>
        </w:rPr>
      </w:pPr>
    </w:p>
    <w:p w14:paraId="6903E582" w14:textId="33F7E470" w:rsidR="00A2157F" w:rsidRPr="009B2C7B" w:rsidRDefault="004C4200" w:rsidP="00DF38EC">
      <w:pPr>
        <w:spacing w:after="280" w:line="240" w:lineRule="auto"/>
        <w:contextualSpacing/>
        <w:rPr>
          <w:rFonts w:ascii="Garamond" w:hAnsi="Garamond"/>
        </w:rPr>
      </w:pPr>
      <w:r w:rsidRPr="009B2C7B">
        <w:rPr>
          <w:rFonts w:ascii="Garamond" w:hAnsi="Garamond"/>
        </w:rPr>
        <w:t xml:space="preserve">International markets continued to decline in the second quarter.  The exception was </w:t>
      </w:r>
      <w:r w:rsidR="00641635" w:rsidRPr="009B2C7B">
        <w:rPr>
          <w:rFonts w:ascii="Garamond" w:hAnsi="Garamond"/>
        </w:rPr>
        <w:t>China which</w:t>
      </w:r>
      <w:r w:rsidRPr="009B2C7B">
        <w:rPr>
          <w:rFonts w:ascii="Garamond" w:hAnsi="Garamond"/>
        </w:rPr>
        <w:t xml:space="preserve"> was up +2.6%</w:t>
      </w:r>
      <w:r w:rsidR="00210494" w:rsidRPr="009B2C7B">
        <w:rPr>
          <w:rFonts w:ascii="Garamond" w:hAnsi="Garamond"/>
        </w:rPr>
        <w:t xml:space="preserve"> largely related to relaxation of Covid Restrictions.  Other geographic regions were hurt by the global issues:  the pandemic, oil prices, inflation and, of course, the Russia/Ukraine war.   With respect </w:t>
      </w:r>
      <w:r w:rsidR="00801A22" w:rsidRPr="009B2C7B">
        <w:rPr>
          <w:rFonts w:ascii="Garamond" w:hAnsi="Garamond"/>
        </w:rPr>
        <w:t xml:space="preserve">to </w:t>
      </w:r>
      <w:r w:rsidR="00210494" w:rsidRPr="009B2C7B">
        <w:rPr>
          <w:rFonts w:ascii="Garamond" w:hAnsi="Garamond"/>
        </w:rPr>
        <w:t>market stability, Iran and North Korea continue to be potential problem areas.</w:t>
      </w:r>
    </w:p>
    <w:p w14:paraId="316A49BE" w14:textId="559BDBD5" w:rsidR="00210494" w:rsidRPr="009B2C7B" w:rsidRDefault="00210494" w:rsidP="00DF38EC">
      <w:pPr>
        <w:spacing w:after="280" w:line="240" w:lineRule="auto"/>
        <w:contextualSpacing/>
        <w:rPr>
          <w:rFonts w:ascii="Garamond" w:hAnsi="Garamond"/>
        </w:rPr>
      </w:pPr>
    </w:p>
    <w:p w14:paraId="73568366" w14:textId="6FFBF28E" w:rsidR="004718EF" w:rsidRPr="009B2C7B" w:rsidRDefault="00210494" w:rsidP="00DF38EC">
      <w:pPr>
        <w:spacing w:after="280" w:line="240" w:lineRule="auto"/>
        <w:contextualSpacing/>
        <w:rPr>
          <w:rFonts w:ascii="Garamond" w:hAnsi="Garamond"/>
        </w:rPr>
      </w:pPr>
      <w:r w:rsidRPr="009B2C7B">
        <w:rPr>
          <w:rFonts w:ascii="Garamond" w:hAnsi="Garamond"/>
        </w:rPr>
        <w:t xml:space="preserve">Hopefully, </w:t>
      </w:r>
      <w:r w:rsidR="00D33EA0" w:rsidRPr="009B2C7B">
        <w:rPr>
          <w:rFonts w:ascii="Garamond" w:hAnsi="Garamond"/>
        </w:rPr>
        <w:t xml:space="preserve">in response to the current challenging environment, </w:t>
      </w:r>
      <w:r w:rsidRPr="009B2C7B">
        <w:rPr>
          <w:rFonts w:ascii="Garamond" w:hAnsi="Garamond"/>
        </w:rPr>
        <w:t xml:space="preserve">the U.S. </w:t>
      </w:r>
      <w:r w:rsidR="00CA4936" w:rsidRPr="009B2C7B">
        <w:rPr>
          <w:rFonts w:ascii="Garamond" w:hAnsi="Garamond"/>
        </w:rPr>
        <w:t>government will develop a cohe</w:t>
      </w:r>
      <w:r w:rsidR="0046219F" w:rsidRPr="009B2C7B">
        <w:rPr>
          <w:rFonts w:ascii="Garamond" w:hAnsi="Garamond"/>
        </w:rPr>
        <w:t>sive</w:t>
      </w:r>
      <w:r w:rsidR="00CA4936" w:rsidRPr="009B2C7B">
        <w:rPr>
          <w:rFonts w:ascii="Garamond" w:hAnsi="Garamond"/>
        </w:rPr>
        <w:t xml:space="preserve"> strategy that addresses short term energy needs and long-term clean energy goals.</w:t>
      </w:r>
      <w:r w:rsidRPr="009B2C7B">
        <w:rPr>
          <w:rFonts w:ascii="Garamond" w:hAnsi="Garamond"/>
        </w:rPr>
        <w:t xml:space="preserve"> </w:t>
      </w:r>
      <w:r w:rsidR="00CA4936" w:rsidRPr="009B2C7B">
        <w:rPr>
          <w:rFonts w:ascii="Garamond" w:hAnsi="Garamond"/>
        </w:rPr>
        <w:t>Additionally, ongoing deficit spending</w:t>
      </w:r>
      <w:r w:rsidR="008D37F3" w:rsidRPr="009B2C7B">
        <w:rPr>
          <w:rFonts w:ascii="Garamond" w:hAnsi="Garamond"/>
        </w:rPr>
        <w:t>,</w:t>
      </w:r>
      <w:r w:rsidR="00CA4936" w:rsidRPr="009B2C7B">
        <w:rPr>
          <w:rFonts w:ascii="Garamond" w:hAnsi="Garamond"/>
        </w:rPr>
        <w:t xml:space="preserve"> particularly in a rising rate environ</w:t>
      </w:r>
      <w:r w:rsidR="004B5E57" w:rsidRPr="009B2C7B">
        <w:rPr>
          <w:rFonts w:ascii="Garamond" w:hAnsi="Garamond"/>
        </w:rPr>
        <w:t>ment, poses concerns.</w:t>
      </w:r>
      <w:r w:rsidR="00CA4936" w:rsidRPr="009B2C7B">
        <w:rPr>
          <w:rFonts w:ascii="Garamond" w:hAnsi="Garamond"/>
        </w:rPr>
        <w:t xml:space="preserve">  </w:t>
      </w:r>
      <w:r w:rsidRPr="009B2C7B">
        <w:rPr>
          <w:rFonts w:ascii="Garamond" w:hAnsi="Garamond"/>
        </w:rPr>
        <w:t>Results are detailed below</w:t>
      </w:r>
      <w:r w:rsidR="00147F43" w:rsidRPr="009B2C7B">
        <w:rPr>
          <w:rFonts w:ascii="Garamond" w:hAnsi="Garamond"/>
        </w:rPr>
        <w:t>.</w:t>
      </w:r>
    </w:p>
    <w:p w14:paraId="5307C804" w14:textId="77777777" w:rsidR="004718EF" w:rsidRPr="004F6F75" w:rsidRDefault="004718EF" w:rsidP="00DF38EC">
      <w:pPr>
        <w:spacing w:after="280" w:line="240" w:lineRule="auto"/>
        <w:contextualSpacing/>
        <w:rPr>
          <w:rFonts w:ascii="Garamond" w:hAnsi="Garamond"/>
        </w:rPr>
      </w:pPr>
    </w:p>
    <w:tbl>
      <w:tblPr>
        <w:tblStyle w:val="3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800"/>
        <w:gridCol w:w="1710"/>
        <w:gridCol w:w="1980"/>
        <w:gridCol w:w="1980"/>
      </w:tblGrid>
      <w:tr w:rsidR="0052480B" w:rsidRPr="0034680B" w14:paraId="7C139993" w14:textId="77777777" w:rsidTr="00421B21">
        <w:tc>
          <w:tcPr>
            <w:tcW w:w="2610" w:type="dxa"/>
          </w:tcPr>
          <w:p w14:paraId="5EDF3649" w14:textId="77777777" w:rsidR="0052480B" w:rsidRPr="0034680B" w:rsidRDefault="0052480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4328309" w14:textId="69B49FF4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QUARTER</w:t>
            </w:r>
            <w:r w:rsidR="00B47B0C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 </w:t>
            </w:r>
            <w:r w:rsidR="0081776A"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 w:rsidR="0039621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81776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10D9B50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12 MONTHS Ending</w:t>
            </w:r>
          </w:p>
          <w:p w14:paraId="0B03AA30" w14:textId="32CFAD2E" w:rsidR="0052480B" w:rsidRPr="0034680B" w:rsidRDefault="002A003A" w:rsidP="006F40FD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26A4AD95" w14:textId="0EF38A1F" w:rsidR="0052480B" w:rsidRPr="0034680B" w:rsidRDefault="00951AB2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="001B21E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16A4052C" w14:textId="604D9E2A" w:rsidR="0052480B" w:rsidRPr="0034680B" w:rsidRDefault="00B47B0C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 w:rsidR="0086727E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2D672CD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6A313037" w14:textId="65653E59" w:rsidR="0052480B" w:rsidRPr="0034680B" w:rsidRDefault="002A003A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</w:tr>
      <w:tr w:rsidR="0052480B" w:rsidRPr="0034680B" w14:paraId="0906A7BB" w14:textId="77777777" w:rsidTr="00421B21">
        <w:tc>
          <w:tcPr>
            <w:tcW w:w="2610" w:type="dxa"/>
          </w:tcPr>
          <w:p w14:paraId="16F79650" w14:textId="77777777" w:rsidR="0052480B" w:rsidRPr="0034680B" w:rsidRDefault="001B21E4">
            <w:pPr>
              <w:pStyle w:val="Heading2"/>
              <w:outlineLvl w:val="1"/>
            </w:pPr>
            <w:r w:rsidRPr="0034680B">
              <w:rPr>
                <w:rFonts w:ascii="Garamond" w:eastAsia="Garamond" w:hAnsi="Garamond" w:cs="Garamond"/>
                <w:b/>
                <w:u w:val="none"/>
              </w:rPr>
              <w:t>DJIA</w:t>
            </w:r>
          </w:p>
        </w:tc>
        <w:tc>
          <w:tcPr>
            <w:tcW w:w="1800" w:type="dxa"/>
          </w:tcPr>
          <w:p w14:paraId="334E42EB" w14:textId="2F45DF63" w:rsidR="0052480B" w:rsidRPr="0034680B" w:rsidRDefault="00E21EB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  <w:r w:rsidR="000A722D">
              <w:rPr>
                <w:rFonts w:ascii="Garamond" w:hAnsi="Garamond"/>
                <w:sz w:val="24"/>
                <w:szCs w:val="24"/>
              </w:rPr>
              <w:t>10.8</w:t>
            </w:r>
            <w:r w:rsidR="00017527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14:paraId="5C6A12A0" w14:textId="230B86C8" w:rsidR="0052480B" w:rsidRPr="0034680B" w:rsidRDefault="00BC2C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120A92">
              <w:rPr>
                <w:rFonts w:ascii="Garamond" w:eastAsia="Garamond" w:hAnsi="Garamond" w:cs="Garamond"/>
                <w:sz w:val="24"/>
                <w:szCs w:val="24"/>
              </w:rPr>
              <w:t>9.1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C597B7C" w14:textId="07A94E49" w:rsidR="0052480B" w:rsidRPr="0034680B" w:rsidRDefault="006576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7.4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3FE32B73" w14:textId="4BFEE540" w:rsidR="0052480B" w:rsidRPr="0034680B" w:rsidRDefault="00AF0B3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962177">
              <w:rPr>
                <w:rFonts w:ascii="Garamond" w:eastAsia="Garamond" w:hAnsi="Garamond" w:cs="Garamond"/>
                <w:sz w:val="24"/>
                <w:szCs w:val="24"/>
              </w:rPr>
              <w:t>0.0</w:t>
            </w:r>
            <w:r w:rsidR="009005AD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C5FF143" w14:textId="77777777" w:rsidTr="00421B21">
        <w:tc>
          <w:tcPr>
            <w:tcW w:w="2610" w:type="dxa"/>
          </w:tcPr>
          <w:p w14:paraId="5F5D7950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S &amp; P 500</w:t>
            </w:r>
          </w:p>
        </w:tc>
        <w:tc>
          <w:tcPr>
            <w:tcW w:w="1800" w:type="dxa"/>
          </w:tcPr>
          <w:p w14:paraId="2003DDBD" w14:textId="3FD0390C" w:rsidR="0052480B" w:rsidRPr="0034680B" w:rsidRDefault="00D27D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F52DD7">
              <w:rPr>
                <w:rFonts w:ascii="Garamond" w:eastAsia="Garamond" w:hAnsi="Garamond" w:cs="Garamond"/>
                <w:sz w:val="24"/>
                <w:szCs w:val="24"/>
              </w:rPr>
              <w:t>16.1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14:paraId="4F5E4FCF" w14:textId="3BDD69F7" w:rsidR="0052480B" w:rsidRPr="0034680B" w:rsidRDefault="006924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-10.6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7028A238" w14:textId="0D082D27" w:rsidR="0052480B" w:rsidRPr="0034680B" w:rsidRDefault="00D27DA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D956DC">
              <w:rPr>
                <w:rFonts w:ascii="Garamond" w:eastAsia="Garamond" w:hAnsi="Garamond" w:cs="Garamond"/>
                <w:sz w:val="24"/>
                <w:szCs w:val="24"/>
              </w:rPr>
              <w:t>0.6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1E43F5E" w14:textId="280E92EF" w:rsidR="0052480B" w:rsidRPr="0034680B" w:rsidRDefault="00AF0B3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D956DC">
              <w:rPr>
                <w:rFonts w:ascii="Garamond" w:eastAsia="Garamond" w:hAnsi="Garamond" w:cs="Garamond"/>
                <w:sz w:val="24"/>
                <w:szCs w:val="24"/>
              </w:rPr>
              <w:t>1.3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32CC715B" w14:textId="77777777" w:rsidTr="00421B21">
        <w:tc>
          <w:tcPr>
            <w:tcW w:w="2610" w:type="dxa"/>
          </w:tcPr>
          <w:p w14:paraId="57B75155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NASDAQ Composite</w:t>
            </w:r>
          </w:p>
        </w:tc>
        <w:tc>
          <w:tcPr>
            <w:tcW w:w="1800" w:type="dxa"/>
          </w:tcPr>
          <w:p w14:paraId="2EB81A59" w14:textId="5D44B134" w:rsidR="0052480B" w:rsidRPr="0034680B" w:rsidRDefault="002059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9405F3">
              <w:rPr>
                <w:rFonts w:ascii="Garamond" w:eastAsia="Garamond" w:hAnsi="Garamond" w:cs="Garamond"/>
                <w:sz w:val="24"/>
                <w:szCs w:val="24"/>
              </w:rPr>
              <w:t>22.5</w:t>
            </w:r>
            <w:r w:rsidR="00C160CD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14:paraId="67D79475" w14:textId="37043F92" w:rsidR="0052480B" w:rsidRPr="0034680B" w:rsidRDefault="009405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-24.0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54673B52" w14:textId="65B7E5A0" w:rsidR="0052480B" w:rsidRPr="0034680B" w:rsidRDefault="006444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11.3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175BAB6F" w14:textId="04B288FA" w:rsidR="0052480B" w:rsidRPr="0034680B" w:rsidRDefault="002059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644402">
              <w:rPr>
                <w:rFonts w:ascii="Garamond" w:eastAsia="Garamond" w:hAnsi="Garamond" w:cs="Garamond"/>
                <w:sz w:val="24"/>
                <w:szCs w:val="24"/>
              </w:rPr>
              <w:t>2.4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A044CF2" w14:textId="77777777" w:rsidTr="00421B21">
        <w:tc>
          <w:tcPr>
            <w:tcW w:w="2610" w:type="dxa"/>
            <w:tcBorders>
              <w:bottom w:val="single" w:sz="4" w:space="0" w:color="auto"/>
            </w:tcBorders>
          </w:tcPr>
          <w:p w14:paraId="68257417" w14:textId="0ECFC771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l</w:t>
            </w:r>
            <w:r w:rsidR="00A2137B">
              <w:rPr>
                <w:rFonts w:ascii="Garamond" w:eastAsia="Garamond" w:hAnsi="Garamond" w:cs="Garamond"/>
                <w:b/>
                <w:sz w:val="24"/>
                <w:szCs w:val="24"/>
              </w:rPr>
              <w:t>oo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mb</w:t>
            </w:r>
            <w:r w:rsidR="00A2137B">
              <w:rPr>
                <w:rFonts w:ascii="Garamond" w:eastAsia="Garamond" w:hAnsi="Garamond" w:cs="Garamond"/>
                <w:b/>
                <w:sz w:val="24"/>
                <w:szCs w:val="24"/>
              </w:rPr>
              <w:t>e</w:t>
            </w:r>
            <w:r w:rsidR="00ED3F22">
              <w:rPr>
                <w:rFonts w:ascii="Garamond" w:eastAsia="Garamond" w:hAnsi="Garamond" w:cs="Garamond"/>
                <w:b/>
                <w:sz w:val="24"/>
                <w:szCs w:val="24"/>
              </w:rPr>
              <w:t>r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g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Agg. </w:t>
            </w:r>
            <w:r w:rsidR="00A13790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ond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E393DB" w14:textId="5F8478E2" w:rsidR="0052480B" w:rsidRPr="0034680B" w:rsidRDefault="00881D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262DE4">
              <w:rPr>
                <w:rFonts w:ascii="Garamond" w:eastAsia="Garamond" w:hAnsi="Garamond" w:cs="Garamond"/>
                <w:sz w:val="24"/>
                <w:szCs w:val="24"/>
              </w:rPr>
              <w:t>4.7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8AC4247" w14:textId="7249E5B6" w:rsidR="0052480B" w:rsidRPr="0034680B" w:rsidRDefault="00022438" w:rsidP="009005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C309F6">
              <w:rPr>
                <w:rFonts w:ascii="Garamond" w:eastAsia="Garamond" w:hAnsi="Garamond" w:cs="Garamond"/>
                <w:sz w:val="24"/>
                <w:szCs w:val="24"/>
              </w:rPr>
              <w:t>10.3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77723C" w14:textId="7FD0884B" w:rsidR="0052480B" w:rsidRPr="0034680B" w:rsidRDefault="00FE565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-0.9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8665CD5" w14:textId="6464CACC" w:rsidR="0052480B" w:rsidRPr="004E78D2" w:rsidRDefault="00FE565B" w:rsidP="004E78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0.9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6D6E01" w:rsidRPr="0034680B" w14:paraId="08879F1A" w14:textId="77777777" w:rsidTr="00421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1F9" w14:textId="77777777" w:rsidR="006D6E01" w:rsidRPr="0034680B" w:rsidRDefault="006D6E01" w:rsidP="00B464D2">
            <w:pPr>
              <w:rPr>
                <w:rFonts w:ascii="Garamond" w:eastAsia="Garamond" w:hAnsi="Garamond" w:cs="Garamond"/>
                <w:i/>
              </w:rPr>
            </w:pPr>
            <w:r w:rsidRPr="0034680B">
              <w:rPr>
                <w:rFonts w:ascii="Garamond" w:eastAsia="Garamond" w:hAnsi="Garamond" w:cs="Garamond"/>
                <w:i/>
              </w:rPr>
              <w:t>Mutual Funds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9E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2FB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E6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09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77D03299" w14:textId="77777777" w:rsidTr="00421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30A" w14:textId="77777777" w:rsidR="006D6E01" w:rsidRPr="00A26706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Domestic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21E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0C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A7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A6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2177E49A" w14:textId="77777777" w:rsidTr="00421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0F8" w14:textId="77777777" w:rsidR="006D6E01" w:rsidRPr="0034680B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i/>
              </w:rPr>
              <w:t xml:space="preserve">     Large Cap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77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AA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814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A3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0333B" w:rsidRPr="0034680B" w14:paraId="2B47122E" w14:textId="77777777" w:rsidTr="00421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0C6" w14:textId="0256F781" w:rsidR="00F0333B" w:rsidRPr="0034680B" w:rsidRDefault="00F0333B" w:rsidP="00031BF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F97" w14:textId="389760C7" w:rsidR="00F0333B" w:rsidRDefault="00061A2D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A66039">
              <w:rPr>
                <w:rFonts w:ascii="Garamond" w:eastAsia="Garamond" w:hAnsi="Garamond" w:cs="Garamond"/>
              </w:rPr>
              <w:t>2</w:t>
            </w:r>
            <w:r>
              <w:rPr>
                <w:rFonts w:ascii="Garamond" w:eastAsia="Garamond" w:hAnsi="Garamond" w:cs="Garamond"/>
              </w:rPr>
              <w:t>0.8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E84" w14:textId="2A1DA96F" w:rsidR="00F0333B" w:rsidRDefault="00A53C81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-23.9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5EA" w14:textId="3D4AD689" w:rsidR="00F0333B" w:rsidRDefault="008C46F8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8.</w:t>
            </w:r>
            <w:r w:rsidR="00A53C81">
              <w:rPr>
                <w:rFonts w:ascii="Garamond" w:eastAsia="Garamond" w:hAnsi="Garamond" w:cs="Garamond"/>
              </w:rPr>
              <w:t>1</w:t>
            </w:r>
            <w:r w:rsidR="00603604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480" w14:textId="4B7DBC51" w:rsidR="00F0333B" w:rsidRDefault="008C46F8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A53C81">
              <w:rPr>
                <w:rFonts w:ascii="Garamond" w:eastAsia="Garamond" w:hAnsi="Garamond" w:cs="Garamond"/>
              </w:rPr>
              <w:t>1.0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3D119AF5" w14:textId="77777777" w:rsidTr="00421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B20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52D" w14:textId="4A2E1970" w:rsidR="00031BF8" w:rsidRPr="0034680B" w:rsidRDefault="008C46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E42563">
              <w:rPr>
                <w:rFonts w:ascii="Garamond" w:eastAsia="Garamond" w:hAnsi="Garamond" w:cs="Garamond"/>
              </w:rPr>
              <w:t>11.3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9B6" w14:textId="3240CB9B" w:rsidR="00031BF8" w:rsidRPr="0034680B" w:rsidRDefault="00E42563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-4.9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735" w14:textId="092EDE7E" w:rsidR="00031BF8" w:rsidRPr="0034680B" w:rsidRDefault="00E42563" w:rsidP="00E4256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7.9</w:t>
            </w:r>
            <w:r w:rsidR="00C81AE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CB" w14:textId="767A069B" w:rsidR="00031BF8" w:rsidRPr="0034680B" w:rsidRDefault="005E6B41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7</w:t>
            </w:r>
            <w:r w:rsidR="0073201A">
              <w:rPr>
                <w:rFonts w:ascii="Garamond" w:eastAsia="Garamond" w:hAnsi="Garamond" w:cs="Garamond"/>
              </w:rPr>
              <w:t>.8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17466872" w14:textId="77777777" w:rsidTr="00421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277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</w:t>
            </w:r>
            <w:r w:rsidRPr="0034680B">
              <w:rPr>
                <w:rFonts w:ascii="Garamond" w:eastAsia="Garamond" w:hAnsi="Garamond" w:cs="Garamond"/>
                <w:i/>
              </w:rPr>
              <w:t>Small Cap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ACA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F04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8CE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433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31BF8" w:rsidRPr="0034680B" w14:paraId="42DD6A6B" w14:textId="77777777" w:rsidTr="00421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E92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083" w14:textId="6D014B26" w:rsidR="00031BF8" w:rsidRPr="0034680B" w:rsidRDefault="0073201A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-1</w:t>
            </w:r>
            <w:r w:rsidR="00F920B5">
              <w:rPr>
                <w:rFonts w:ascii="Garamond" w:eastAsia="Garamond" w:hAnsi="Garamond" w:cs="Garamond"/>
              </w:rPr>
              <w:t>9.6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148" w14:textId="5981E845" w:rsidR="00031BF8" w:rsidRPr="0034680B" w:rsidRDefault="0073201A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F920B5">
              <w:rPr>
                <w:rFonts w:ascii="Garamond" w:eastAsia="Garamond" w:hAnsi="Garamond" w:cs="Garamond"/>
              </w:rPr>
              <w:t>30.3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0C5" w14:textId="206A2660" w:rsidR="00031BF8" w:rsidRPr="0034680B" w:rsidRDefault="004B28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4.2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8B2" w14:textId="5F4D5373" w:rsidR="00031BF8" w:rsidRPr="0034680B" w:rsidRDefault="006A308C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7.8%</w:t>
            </w:r>
          </w:p>
        </w:tc>
      </w:tr>
      <w:tr w:rsidR="00031BF8" w:rsidRPr="006F4CEA" w14:paraId="67226B66" w14:textId="77777777" w:rsidTr="00421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F9" w14:textId="77777777" w:rsidR="00031BF8" w:rsidRPr="006F4CEA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1C6" w14:textId="73896C46" w:rsidR="00031BF8" w:rsidRPr="006F4CEA" w:rsidRDefault="00CA2372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576E6C">
              <w:rPr>
                <w:rFonts w:ascii="Garamond" w:eastAsia="Garamond" w:hAnsi="Garamond" w:cs="Garamond"/>
              </w:rPr>
              <w:t>13.4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C5D" w14:textId="4568718F" w:rsidR="00031BF8" w:rsidRPr="000E58F1" w:rsidRDefault="00576E6C" w:rsidP="00031BF8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</w:rPr>
              <w:t>-12.0</w:t>
            </w:r>
            <w:r w:rsidR="00031BF8" w:rsidRPr="00942C6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0B0" w14:textId="7AA9F842" w:rsidR="00031BF8" w:rsidRPr="006F4CEA" w:rsidRDefault="00E73EB6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7.7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8E" w14:textId="58F0AB0C" w:rsidR="00031BF8" w:rsidRPr="006F4CEA" w:rsidRDefault="00E73EB6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5.3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</w:tr>
    </w:tbl>
    <w:tbl>
      <w:tblPr>
        <w:tblStyle w:val="1"/>
        <w:tblW w:w="1008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1710"/>
        <w:gridCol w:w="1980"/>
        <w:gridCol w:w="1980"/>
      </w:tblGrid>
      <w:tr w:rsidR="009E6B7D" w:rsidRPr="006F4CEA" w14:paraId="6882554E" w14:textId="77777777" w:rsidTr="00421B21">
        <w:tc>
          <w:tcPr>
            <w:tcW w:w="2610" w:type="dxa"/>
          </w:tcPr>
          <w:p w14:paraId="74530B22" w14:textId="33516DAB" w:rsidR="009E6B7D" w:rsidRPr="006F4CEA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30DF1EF9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7AB4079A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67949448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4A097961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9E6B7D" w:rsidRPr="006F4CEA" w14:paraId="15BE94FF" w14:textId="77777777" w:rsidTr="00421B21">
        <w:tc>
          <w:tcPr>
            <w:tcW w:w="2610" w:type="dxa"/>
          </w:tcPr>
          <w:p w14:paraId="1BA4DA14" w14:textId="55E90971" w:rsidR="009E6B7D" w:rsidRPr="00A26706" w:rsidRDefault="00A26706" w:rsidP="004B7DA6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International</w:t>
            </w:r>
          </w:p>
        </w:tc>
        <w:tc>
          <w:tcPr>
            <w:tcW w:w="1800" w:type="dxa"/>
          </w:tcPr>
          <w:p w14:paraId="1E4EF53A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5622823E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04EB6C01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569B0FEB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9E6B7D" w:rsidRPr="006F4CEA" w14:paraId="30821C7C" w14:textId="77777777" w:rsidTr="00421B21">
        <w:tc>
          <w:tcPr>
            <w:tcW w:w="2610" w:type="dxa"/>
          </w:tcPr>
          <w:p w14:paraId="6B0F6DB8" w14:textId="5692260B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Europe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00" w:type="dxa"/>
          </w:tcPr>
          <w:p w14:paraId="49F12A9F" w14:textId="1C311E9A" w:rsidR="009E6B7D" w:rsidRPr="000A5ADF" w:rsidRDefault="006614A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-1</w:t>
            </w:r>
            <w:r w:rsidR="002972CE">
              <w:rPr>
                <w:rFonts w:ascii="Garamond" w:eastAsia="Garamond" w:hAnsi="Garamond" w:cs="Garamond"/>
              </w:rPr>
              <w:t>3.9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3FCFC7D" w14:textId="39ADFF95" w:rsidR="009E6B7D" w:rsidRPr="000A5ADF" w:rsidRDefault="002972CE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-19.2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B6F225F" w14:textId="76B94828" w:rsidR="009E6B7D" w:rsidRPr="000A5ADF" w:rsidRDefault="002972CE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1.7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18683FB" w14:textId="54F11C9C" w:rsidR="009E6B7D" w:rsidRPr="000A5ADF" w:rsidRDefault="00A5235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2.0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6FAE24A4" w14:textId="77777777" w:rsidTr="00421B21">
        <w:tc>
          <w:tcPr>
            <w:tcW w:w="2610" w:type="dxa"/>
          </w:tcPr>
          <w:p w14:paraId="0A8B94E5" w14:textId="51543987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Latin Am</w:t>
            </w:r>
            <w:r w:rsidR="002B3B64">
              <w:rPr>
                <w:rFonts w:ascii="Garamond" w:eastAsia="Garamond" w:hAnsi="Garamond" w:cs="Garamond"/>
              </w:rPr>
              <w:t>erica</w:t>
            </w:r>
          </w:p>
        </w:tc>
        <w:tc>
          <w:tcPr>
            <w:tcW w:w="1800" w:type="dxa"/>
          </w:tcPr>
          <w:p w14:paraId="27DBD27C" w14:textId="19213948" w:rsidR="009E6B7D" w:rsidRPr="006F4CEA" w:rsidRDefault="00A5235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-23.7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3726A8DA" w14:textId="1A631E40" w:rsidR="009E6B7D" w:rsidRPr="006F4CEA" w:rsidRDefault="00A52357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-24.1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12889D0" w14:textId="224F2B93" w:rsidR="009E6B7D" w:rsidRPr="006A0F13" w:rsidRDefault="00437BAB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-8.3</w:t>
            </w:r>
            <w:r w:rsidR="002E6C97" w:rsidRPr="006A0F13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B3BC980" w14:textId="155CDDCC" w:rsidR="009E6B7D" w:rsidRPr="006F4CEA" w:rsidRDefault="00437BAB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0.2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5E81B2D4" w14:textId="77777777" w:rsidTr="00421B21">
        <w:trPr>
          <w:trHeight w:val="58"/>
        </w:trPr>
        <w:tc>
          <w:tcPr>
            <w:tcW w:w="2610" w:type="dxa"/>
          </w:tcPr>
          <w:p w14:paraId="06C08C36" w14:textId="3076B45C" w:rsidR="009E6B7D" w:rsidRPr="006F4CEA" w:rsidRDefault="005A32CA" w:rsidP="004B7DA6">
            <w:pPr>
              <w:spacing w:after="0" w:line="240" w:lineRule="auto"/>
            </w:pPr>
            <w:r>
              <w:rPr>
                <w:rFonts w:ascii="Garamond" w:eastAsia="Garamond" w:hAnsi="Garamond" w:cs="Garamond"/>
              </w:rPr>
              <w:t xml:space="preserve">     </w:t>
            </w:r>
            <w:r w:rsidR="009E6B7D" w:rsidRPr="006F4CEA">
              <w:rPr>
                <w:rFonts w:ascii="Garamond" w:eastAsia="Garamond" w:hAnsi="Garamond" w:cs="Garamond"/>
              </w:rPr>
              <w:t>Japan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00" w:type="dxa"/>
          </w:tcPr>
          <w:p w14:paraId="23CFA4FF" w14:textId="5DDF2EB0" w:rsidR="009E6B7D" w:rsidRPr="00CC577E" w:rsidRDefault="0020048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437BAB">
              <w:rPr>
                <w:rFonts w:ascii="Garamond" w:eastAsia="Garamond" w:hAnsi="Garamond" w:cs="Garamond"/>
              </w:rPr>
              <w:t>10.2</w:t>
            </w:r>
            <w:r w:rsidR="009B4BB5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FF99902" w14:textId="493E335C" w:rsidR="009E6B7D" w:rsidRPr="00CC577E" w:rsidRDefault="004E7637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437BAB">
              <w:rPr>
                <w:rFonts w:ascii="Garamond" w:eastAsia="Garamond" w:hAnsi="Garamond" w:cs="Garamond"/>
              </w:rPr>
              <w:t>16.3</w:t>
            </w:r>
            <w:r w:rsidR="00CF21B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56FE1C7" w14:textId="3B109DBC" w:rsidR="009E6B7D" w:rsidRPr="00CC577E" w:rsidRDefault="00776740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1.7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0357977" w14:textId="2FB72710" w:rsidR="009E6B7D" w:rsidRPr="00CC577E" w:rsidRDefault="00776740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1.8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081C8C6F" w14:textId="77777777" w:rsidTr="00421B21">
        <w:tc>
          <w:tcPr>
            <w:tcW w:w="2610" w:type="dxa"/>
          </w:tcPr>
          <w:p w14:paraId="30B65EBC" w14:textId="169FC70B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Pac</w:t>
            </w:r>
            <w:r w:rsidR="00A26706">
              <w:rPr>
                <w:rFonts w:ascii="Garamond" w:eastAsia="Garamond" w:hAnsi="Garamond" w:cs="Garamond"/>
              </w:rPr>
              <w:t>ific</w:t>
            </w:r>
            <w:r w:rsidRPr="006F4CEA">
              <w:rPr>
                <w:rFonts w:ascii="Garamond" w:eastAsia="Garamond" w:hAnsi="Garamond" w:cs="Garamond"/>
              </w:rPr>
              <w:t xml:space="preserve"> ex J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p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n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00" w:type="dxa"/>
          </w:tcPr>
          <w:p w14:paraId="5F5D2577" w14:textId="77B6FBF6" w:rsidR="009E6B7D" w:rsidRPr="000A5ADF" w:rsidRDefault="0023249D" w:rsidP="00687CD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F4403A">
              <w:rPr>
                <w:rFonts w:ascii="Garamond" w:eastAsia="Garamond" w:hAnsi="Garamond" w:cs="Garamond"/>
              </w:rPr>
              <w:t>8.</w:t>
            </w:r>
            <w:r w:rsidR="00776740">
              <w:rPr>
                <w:rFonts w:ascii="Garamond" w:eastAsia="Garamond" w:hAnsi="Garamond" w:cs="Garamond"/>
              </w:rPr>
              <w:t>1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137337E6" w14:textId="21F5D82F" w:rsidR="009E6B7D" w:rsidRPr="000A5ADF" w:rsidRDefault="003010A0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50646C">
              <w:rPr>
                <w:rFonts w:ascii="Garamond" w:eastAsia="Garamond" w:hAnsi="Garamond" w:cs="Garamond"/>
              </w:rPr>
              <w:t>23.3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6343B16" w14:textId="7B9ACEC6" w:rsidR="009E6B7D" w:rsidRPr="000A5ADF" w:rsidRDefault="0050646C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3.2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CCB8E3C" w14:textId="5CC53C70" w:rsidR="009E6B7D" w:rsidRPr="000A5ADF" w:rsidRDefault="0050646C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4.3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03ADB827" w14:textId="77777777" w:rsidTr="00421B21">
        <w:tc>
          <w:tcPr>
            <w:tcW w:w="2610" w:type="dxa"/>
          </w:tcPr>
          <w:p w14:paraId="4A4442BC" w14:textId="66403EEC" w:rsidR="009E6B7D" w:rsidRPr="006F4CEA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China </w:t>
            </w:r>
          </w:p>
        </w:tc>
        <w:tc>
          <w:tcPr>
            <w:tcW w:w="1800" w:type="dxa"/>
          </w:tcPr>
          <w:p w14:paraId="37C0F9EB" w14:textId="3F502B95" w:rsidR="009E6B7D" w:rsidRPr="000A5ADF" w:rsidRDefault="004654F9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2.6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01407B20" w14:textId="0BF205B2" w:rsidR="009E6B7D" w:rsidRPr="000A5ADF" w:rsidRDefault="0048340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B87861">
              <w:rPr>
                <w:rFonts w:ascii="Garamond" w:eastAsia="Garamond" w:hAnsi="Garamond" w:cs="Garamond"/>
              </w:rPr>
              <w:t>2</w:t>
            </w:r>
            <w:r w:rsidR="004654F9">
              <w:rPr>
                <w:rFonts w:ascii="Garamond" w:eastAsia="Garamond" w:hAnsi="Garamond" w:cs="Garamond"/>
              </w:rPr>
              <w:t>5.5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21C02A6E" w14:textId="76F6260F" w:rsidR="009E6B7D" w:rsidRPr="000A5ADF" w:rsidRDefault="004654F9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4.8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4289374" w14:textId="54C9B7E9" w:rsidR="009E6B7D" w:rsidRPr="000A5ADF" w:rsidRDefault="0088076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4.2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7ACDCD16" w14:textId="77777777" w:rsidTr="00421B21">
        <w:tc>
          <w:tcPr>
            <w:tcW w:w="2610" w:type="dxa"/>
          </w:tcPr>
          <w:p w14:paraId="3A7E5449" w14:textId="08E5D85B" w:rsidR="009E6B7D" w:rsidRPr="0034680B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India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00" w:type="dxa"/>
          </w:tcPr>
          <w:p w14:paraId="1B743D21" w14:textId="14F998B4" w:rsidR="009E6B7D" w:rsidRPr="00A26706" w:rsidRDefault="00577446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880763">
              <w:rPr>
                <w:rFonts w:ascii="Garamond" w:eastAsia="Garamond" w:hAnsi="Garamond" w:cs="Garamond"/>
              </w:rPr>
              <w:t>13.6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5559CED6" w14:textId="2A45BEDC" w:rsidR="009E6B7D" w:rsidRPr="00A26706" w:rsidRDefault="0088076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-8.2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160DC41" w14:textId="39EB1C04" w:rsidR="009E6B7D" w:rsidRPr="00A26706" w:rsidRDefault="004D5C1B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5.9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2BEE94C3" w14:textId="5F7A101B" w:rsidR="009E6B7D" w:rsidRPr="00A26706" w:rsidRDefault="004D5C1B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</w:t>
            </w:r>
            <w:r w:rsidR="00512153">
              <w:rPr>
                <w:rFonts w:ascii="Garamond" w:eastAsia="Garamond" w:hAnsi="Garamond" w:cs="Garamond"/>
              </w:rPr>
              <w:t>.0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</w:tr>
    </w:tbl>
    <w:p w14:paraId="34FD7575" w14:textId="752103FC" w:rsidR="00B72428" w:rsidRDefault="00B72428"/>
    <w:tbl>
      <w:tblPr>
        <w:tblStyle w:val="3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800"/>
        <w:gridCol w:w="1710"/>
        <w:gridCol w:w="1980"/>
        <w:gridCol w:w="1980"/>
      </w:tblGrid>
      <w:tr w:rsidR="002D6DE8" w:rsidRPr="0034680B" w14:paraId="397A8FD1" w14:textId="77777777" w:rsidTr="008D02CF">
        <w:trPr>
          <w:trHeight w:val="58"/>
        </w:trPr>
        <w:tc>
          <w:tcPr>
            <w:tcW w:w="2610" w:type="dxa"/>
            <w:tcBorders>
              <w:top w:val="single" w:sz="4" w:space="0" w:color="auto"/>
            </w:tcBorders>
          </w:tcPr>
          <w:p w14:paraId="6FA5BF92" w14:textId="77777777" w:rsidR="002D6DE8" w:rsidRPr="0034680B" w:rsidRDefault="002D6DE8" w:rsidP="0034680B">
            <w:pPr>
              <w:rPr>
                <w:rFonts w:ascii="Garamond" w:eastAsia="Garamond" w:hAnsi="Garamond" w:cs="Garamond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B3340F" w14:textId="5F695918" w:rsidR="002D6DE8" w:rsidRPr="0034680B" w:rsidRDefault="002D6DE8" w:rsidP="0034680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QUARTER Ending 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0940589" w14:textId="05C8ABCC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C81AE6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2 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MONTHS Ending</w:t>
            </w:r>
          </w:p>
          <w:p w14:paraId="29E0EC35" w14:textId="458F4088" w:rsidR="002D6DE8" w:rsidRPr="0034680B" w:rsidRDefault="002D6DE8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 w:rsidR="00F632C1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424D1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65D6564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34D26F0B" w14:textId="000323E4" w:rsidR="002D6DE8" w:rsidRPr="0034680B" w:rsidRDefault="002D6DE8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2A003A"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F2F975E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07FABEE8" w14:textId="1C102F13" w:rsidR="002D6DE8" w:rsidRPr="0034680B" w:rsidRDefault="002A003A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6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0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B45933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</w:p>
        </w:tc>
      </w:tr>
    </w:tbl>
    <w:tbl>
      <w:tblPr>
        <w:tblStyle w:val="1"/>
        <w:tblW w:w="1008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1710"/>
        <w:gridCol w:w="1980"/>
        <w:gridCol w:w="1980"/>
      </w:tblGrid>
      <w:tr w:rsidR="004E78D2" w:rsidRPr="0034680B" w14:paraId="3995C701" w14:textId="77777777" w:rsidTr="00421B21">
        <w:tc>
          <w:tcPr>
            <w:tcW w:w="2610" w:type="dxa"/>
          </w:tcPr>
          <w:p w14:paraId="2FB86464" w14:textId="77777777" w:rsidR="004E78D2" w:rsidRPr="0034680B" w:rsidRDefault="004E78D2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4FF01B2E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494F9F28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0E99AD82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38A1FDE3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0123ACE6" w14:textId="77777777" w:rsidTr="00421B21">
        <w:tc>
          <w:tcPr>
            <w:tcW w:w="2610" w:type="dxa"/>
          </w:tcPr>
          <w:p w14:paraId="571EF58D" w14:textId="77777777" w:rsidR="0034680B" w:rsidRPr="00A26706" w:rsidRDefault="0034680B" w:rsidP="0034680B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Corporate Bond</w:t>
            </w:r>
          </w:p>
        </w:tc>
        <w:tc>
          <w:tcPr>
            <w:tcW w:w="1800" w:type="dxa"/>
          </w:tcPr>
          <w:p w14:paraId="59BF06DA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1076B0D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346BD5B1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27F1C51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1439DD4F" w14:textId="77777777" w:rsidTr="00421B21">
        <w:tc>
          <w:tcPr>
            <w:tcW w:w="2610" w:type="dxa"/>
          </w:tcPr>
          <w:p w14:paraId="50ACB258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Long</w:t>
            </w:r>
          </w:p>
        </w:tc>
        <w:tc>
          <w:tcPr>
            <w:tcW w:w="1800" w:type="dxa"/>
          </w:tcPr>
          <w:p w14:paraId="0C42BC0E" w14:textId="6C49ABFC" w:rsidR="0034680B" w:rsidRPr="0034680B" w:rsidRDefault="00B879A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774F25">
              <w:rPr>
                <w:rFonts w:ascii="Garamond" w:eastAsia="Garamond" w:hAnsi="Garamond" w:cs="Garamond"/>
              </w:rPr>
              <w:t>11</w:t>
            </w:r>
            <w:r w:rsidR="003A0DC3">
              <w:rPr>
                <w:rFonts w:ascii="Garamond" w:eastAsia="Garamond" w:hAnsi="Garamond" w:cs="Garamond"/>
              </w:rPr>
              <w:t>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77351B1B" w14:textId="4DFE1491" w:rsidR="0034680B" w:rsidRPr="0034680B" w:rsidRDefault="00F94C47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675F7D">
              <w:rPr>
                <w:rFonts w:ascii="Garamond" w:eastAsia="Garamond" w:hAnsi="Garamond" w:cs="Garamond"/>
              </w:rPr>
              <w:t>1</w:t>
            </w:r>
            <w:r w:rsidR="00234900">
              <w:rPr>
                <w:rFonts w:ascii="Garamond" w:eastAsia="Garamond" w:hAnsi="Garamond" w:cs="Garamond"/>
              </w:rPr>
              <w:t>9.5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B5DD996" w14:textId="0E688166" w:rsidR="0034680B" w:rsidRPr="0034680B" w:rsidRDefault="00675F7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4174EC">
              <w:rPr>
                <w:rFonts w:ascii="Garamond" w:eastAsia="Garamond" w:hAnsi="Garamond" w:cs="Garamond"/>
              </w:rPr>
              <w:t>1.9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A713637" w14:textId="3D65B370" w:rsidR="0034680B" w:rsidRPr="0034680B" w:rsidRDefault="00675F7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701FB27" w14:textId="77777777" w:rsidTr="00421B21">
        <w:tc>
          <w:tcPr>
            <w:tcW w:w="2610" w:type="dxa"/>
          </w:tcPr>
          <w:p w14:paraId="0AEBE6CF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17025524" w14:textId="61C7FE67" w:rsidR="0034680B" w:rsidRPr="0034680B" w:rsidRDefault="00C81AE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EA6CDB">
              <w:rPr>
                <w:rFonts w:ascii="Garamond" w:eastAsia="Garamond" w:hAnsi="Garamond" w:cs="Garamond"/>
              </w:rPr>
              <w:t>-</w:t>
            </w:r>
            <w:r w:rsidR="00043E58">
              <w:rPr>
                <w:rFonts w:ascii="Garamond" w:eastAsia="Garamond" w:hAnsi="Garamond" w:cs="Garamond"/>
              </w:rPr>
              <w:t>3.0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F88F38F" w14:textId="13FCF50F" w:rsidR="0034680B" w:rsidRPr="0034680B" w:rsidRDefault="00B43F8E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043E58">
              <w:rPr>
                <w:rFonts w:ascii="Garamond" w:eastAsia="Garamond" w:hAnsi="Garamond" w:cs="Garamond"/>
              </w:rPr>
              <w:t>8.3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3F4989A" w14:textId="57C46D7A" w:rsidR="0034680B" w:rsidRPr="0034680B" w:rsidRDefault="00043E58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-0.3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98F3C1C" w14:textId="2EBBFB8E" w:rsidR="0034680B" w:rsidRPr="0034680B" w:rsidRDefault="00E805A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251698FB" w14:textId="77777777" w:rsidTr="00421B21">
        <w:trPr>
          <w:trHeight w:val="197"/>
        </w:trPr>
        <w:tc>
          <w:tcPr>
            <w:tcW w:w="2610" w:type="dxa"/>
          </w:tcPr>
          <w:p w14:paraId="620CE01B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22FE5CF4" w14:textId="48D9E476" w:rsidR="0034680B" w:rsidRPr="0034680B" w:rsidRDefault="00F74DD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DC0793">
              <w:rPr>
                <w:rFonts w:ascii="Garamond" w:eastAsia="Garamond" w:hAnsi="Garamond" w:cs="Garamond"/>
              </w:rPr>
              <w:t>-</w:t>
            </w:r>
            <w:r w:rsidR="00E805AD">
              <w:rPr>
                <w:rFonts w:ascii="Garamond" w:eastAsia="Garamond" w:hAnsi="Garamond" w:cs="Garamond"/>
              </w:rPr>
              <w:t>0.5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1340BAC2" w14:textId="07425A76" w:rsidR="0034680B" w:rsidRPr="0034680B" w:rsidRDefault="009F13BF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-3.1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5496E35" w14:textId="422838B3" w:rsidR="0034680B" w:rsidRPr="0034680B" w:rsidRDefault="006411D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D15B6E7" w14:textId="292EF305" w:rsidR="0034680B" w:rsidRPr="0034680B" w:rsidRDefault="006411D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6FB8ED5" w14:textId="77777777" w:rsidTr="00421B21">
        <w:tc>
          <w:tcPr>
            <w:tcW w:w="2610" w:type="dxa"/>
          </w:tcPr>
          <w:p w14:paraId="6EF79F96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Government Bond</w:t>
            </w:r>
          </w:p>
        </w:tc>
        <w:tc>
          <w:tcPr>
            <w:tcW w:w="1800" w:type="dxa"/>
          </w:tcPr>
          <w:p w14:paraId="2CB2257F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4955311C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6449CCF2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E484E94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41144C28" w14:textId="77777777" w:rsidTr="00421B21">
        <w:tc>
          <w:tcPr>
            <w:tcW w:w="2610" w:type="dxa"/>
          </w:tcPr>
          <w:p w14:paraId="6BA36003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800" w:type="dxa"/>
          </w:tcPr>
          <w:p w14:paraId="75A73CBC" w14:textId="1B4D68AD" w:rsidR="0034680B" w:rsidRPr="008847F9" w:rsidRDefault="008762E5" w:rsidP="00274B2C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-1</w:t>
            </w:r>
            <w:r w:rsidR="00E96859">
              <w:rPr>
                <w:rFonts w:ascii="Garamond" w:eastAsia="Garamond" w:hAnsi="Garamond" w:cs="Garamond"/>
              </w:rPr>
              <w:t>2</w:t>
            </w:r>
            <w:r>
              <w:rPr>
                <w:rFonts w:ascii="Garamond" w:eastAsia="Garamond" w:hAnsi="Garamond" w:cs="Garamond"/>
              </w:rPr>
              <w:t>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2BD1FCFF" w14:textId="48D44729" w:rsidR="0034680B" w:rsidRPr="0034680B" w:rsidRDefault="00D52D60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8762E5">
              <w:rPr>
                <w:rFonts w:ascii="Garamond" w:eastAsia="Garamond" w:hAnsi="Garamond" w:cs="Garamond"/>
              </w:rPr>
              <w:t>1</w:t>
            </w:r>
            <w:r w:rsidR="00A94FB5">
              <w:rPr>
                <w:rFonts w:ascii="Garamond" w:eastAsia="Garamond" w:hAnsi="Garamond" w:cs="Garamond"/>
              </w:rPr>
              <w:t>8</w:t>
            </w:r>
            <w:r w:rsidR="008762E5">
              <w:rPr>
                <w:rFonts w:ascii="Garamond" w:eastAsia="Garamond" w:hAnsi="Garamond" w:cs="Garamond"/>
              </w:rPr>
              <w:t>.</w:t>
            </w:r>
            <w:r w:rsidR="00A94FB5">
              <w:rPr>
                <w:rFonts w:ascii="Garamond" w:eastAsia="Garamond" w:hAnsi="Garamond" w:cs="Garamond"/>
              </w:rPr>
              <w:t>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1E3907D" w14:textId="7B75CA4E" w:rsidR="0034680B" w:rsidRPr="0034680B" w:rsidRDefault="00A94FB5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-3</w:t>
            </w:r>
            <w:r w:rsidR="009F13BF">
              <w:rPr>
                <w:rFonts w:ascii="Garamond" w:eastAsia="Garamond" w:hAnsi="Garamond" w:cs="Garamond"/>
              </w:rPr>
              <w:t>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22ADAB0" w14:textId="374A5BBA" w:rsidR="0034680B" w:rsidRPr="0034680B" w:rsidRDefault="009F13B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</w:t>
            </w:r>
            <w:r w:rsidR="007F0E29">
              <w:rPr>
                <w:rFonts w:ascii="Garamond" w:eastAsia="Garamond" w:hAnsi="Garamond" w:cs="Garamond"/>
              </w:rPr>
              <w:t>.</w:t>
            </w:r>
            <w:r w:rsidR="00A94FB5">
              <w:rPr>
                <w:rFonts w:ascii="Garamond" w:eastAsia="Garamond" w:hAnsi="Garamond" w:cs="Garamond"/>
              </w:rPr>
              <w:t>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F73C3C8" w14:textId="77777777" w:rsidTr="00421B21">
        <w:tc>
          <w:tcPr>
            <w:tcW w:w="2610" w:type="dxa"/>
          </w:tcPr>
          <w:p w14:paraId="42BA798B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06D5A044" w14:textId="3E3855DD" w:rsidR="0034680B" w:rsidRPr="0034680B" w:rsidRDefault="00962C37" w:rsidP="00274B2C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86205D">
              <w:rPr>
                <w:rFonts w:ascii="Garamond" w:eastAsia="Garamond" w:hAnsi="Garamond" w:cs="Garamond"/>
              </w:rPr>
              <w:t>3.5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C721137" w14:textId="1E6AD77C" w:rsidR="0034680B" w:rsidRPr="0034680B" w:rsidRDefault="008F2202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86205D">
              <w:rPr>
                <w:rFonts w:ascii="Garamond" w:eastAsia="Garamond" w:hAnsi="Garamond" w:cs="Garamond"/>
              </w:rPr>
              <w:t>8.5</w:t>
            </w:r>
            <w:r w:rsidR="0034680B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F0B53E1" w14:textId="1C9AA511" w:rsidR="0034680B" w:rsidRPr="0034680B" w:rsidRDefault="0086205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-1.1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09DC3F8" w14:textId="46A9A554" w:rsidR="0034680B" w:rsidRPr="0034680B" w:rsidRDefault="0086205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18456151" w14:textId="77777777" w:rsidTr="00421B21">
        <w:tc>
          <w:tcPr>
            <w:tcW w:w="2610" w:type="dxa"/>
          </w:tcPr>
          <w:p w14:paraId="572A9C75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18C120C7" w14:textId="2BF5D742" w:rsidR="0034680B" w:rsidRPr="0034680B" w:rsidRDefault="00274B2C" w:rsidP="00274B2C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337544">
              <w:rPr>
                <w:rFonts w:ascii="Garamond" w:eastAsia="Garamond" w:hAnsi="Garamond" w:cs="Garamond"/>
              </w:rPr>
              <w:t>1.3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41337D4" w14:textId="3CF615DA" w:rsidR="0034680B" w:rsidRPr="0034680B" w:rsidRDefault="0097310B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337544">
              <w:rPr>
                <w:rFonts w:ascii="Garamond" w:eastAsia="Garamond" w:hAnsi="Garamond" w:cs="Garamond"/>
              </w:rPr>
              <w:t>4</w:t>
            </w:r>
            <w:r>
              <w:rPr>
                <w:rFonts w:ascii="Garamond" w:eastAsia="Garamond" w:hAnsi="Garamond" w:cs="Garamond"/>
              </w:rPr>
              <w:t>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0518912" w14:textId="3BD5A06C" w:rsidR="0034680B" w:rsidRPr="0034680B" w:rsidRDefault="00337544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97310B">
              <w:rPr>
                <w:rFonts w:ascii="Garamond" w:eastAsia="Garamond" w:hAnsi="Garamond" w:cs="Garamond"/>
              </w:rPr>
              <w:t>0.</w:t>
            </w:r>
            <w:r>
              <w:rPr>
                <w:rFonts w:ascii="Garamond" w:eastAsia="Garamond" w:hAnsi="Garamond" w:cs="Garamond"/>
              </w:rPr>
              <w:t>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3045533" w14:textId="0BB4114E" w:rsidR="0034680B" w:rsidRPr="0034680B" w:rsidRDefault="0097310B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EC481F">
              <w:rPr>
                <w:rFonts w:ascii="Garamond" w:eastAsia="Garamond" w:hAnsi="Garamond" w:cs="Garamond"/>
              </w:rPr>
              <w:t>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5C073C71" w14:textId="77777777" w:rsidTr="00421B21">
        <w:tc>
          <w:tcPr>
            <w:tcW w:w="2610" w:type="dxa"/>
          </w:tcPr>
          <w:p w14:paraId="38B32775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Municipal Bond</w:t>
            </w:r>
          </w:p>
        </w:tc>
        <w:tc>
          <w:tcPr>
            <w:tcW w:w="1800" w:type="dxa"/>
          </w:tcPr>
          <w:p w14:paraId="4BFD94D6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5A43ADB5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16BDC0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51E5129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591B90B1" w14:textId="77777777" w:rsidTr="00421B21">
        <w:tc>
          <w:tcPr>
            <w:tcW w:w="2610" w:type="dxa"/>
          </w:tcPr>
          <w:p w14:paraId="1CA6921F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800" w:type="dxa"/>
          </w:tcPr>
          <w:p w14:paraId="3D406549" w14:textId="0E7C9F25" w:rsidR="0034680B" w:rsidRPr="0034680B" w:rsidRDefault="001F4CA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EC481F">
              <w:rPr>
                <w:rFonts w:ascii="Garamond" w:eastAsia="Garamond" w:hAnsi="Garamond" w:cs="Garamond"/>
              </w:rPr>
              <w:t>4.7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A7A79EF" w14:textId="2058453C" w:rsidR="0034680B" w:rsidRPr="0034680B" w:rsidRDefault="001F4CA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EC481F">
              <w:rPr>
                <w:rFonts w:ascii="Garamond" w:eastAsia="Garamond" w:hAnsi="Garamond" w:cs="Garamond"/>
              </w:rPr>
              <w:t>11.3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7A4AC8C" w14:textId="78CE797D" w:rsidR="0034680B" w:rsidRPr="0034680B" w:rsidRDefault="00EC481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-0.8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37C7831" w14:textId="4CFCC47F" w:rsidR="0034680B" w:rsidRPr="0034680B" w:rsidRDefault="001A1D6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FF883DF" w14:textId="77777777" w:rsidTr="00421B21">
        <w:tc>
          <w:tcPr>
            <w:tcW w:w="2610" w:type="dxa"/>
          </w:tcPr>
          <w:p w14:paraId="118ACC8A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14D595BD" w14:textId="7BD408E2" w:rsidR="0034680B" w:rsidRPr="0034680B" w:rsidRDefault="00823DC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1A1D6F">
              <w:rPr>
                <w:rFonts w:ascii="Garamond" w:eastAsia="Garamond" w:hAnsi="Garamond" w:cs="Garamond"/>
              </w:rPr>
              <w:t>3.0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0DE31B3" w14:textId="33849F09" w:rsidR="0034680B" w:rsidRPr="0034680B" w:rsidRDefault="00823DC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1A1D6F">
              <w:rPr>
                <w:rFonts w:ascii="Garamond" w:eastAsia="Garamond" w:hAnsi="Garamond" w:cs="Garamond"/>
              </w:rPr>
              <w:t>8.3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7258927" w14:textId="29EF9811" w:rsidR="0034680B" w:rsidRPr="0034680B" w:rsidRDefault="00892E7A" w:rsidP="0034680B">
            <w:pPr>
              <w:spacing w:after="0" w:line="240" w:lineRule="auto"/>
              <w:jc w:val="center"/>
            </w:pPr>
            <w:r>
              <w:t>-0.3%</w:t>
            </w:r>
          </w:p>
        </w:tc>
        <w:tc>
          <w:tcPr>
            <w:tcW w:w="1980" w:type="dxa"/>
          </w:tcPr>
          <w:p w14:paraId="060B70F1" w14:textId="1297939B" w:rsidR="0034680B" w:rsidRPr="0034680B" w:rsidRDefault="00892E7A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8F12800" w14:textId="77777777" w:rsidTr="00421B21">
        <w:tc>
          <w:tcPr>
            <w:tcW w:w="2610" w:type="dxa"/>
          </w:tcPr>
          <w:p w14:paraId="7BE7F64C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0CE0BE38" w14:textId="6F3F5706" w:rsidR="0034680B" w:rsidRPr="0034680B" w:rsidRDefault="00543DBF" w:rsidP="00705F1C">
            <w:pPr>
              <w:tabs>
                <w:tab w:val="left" w:pos="564"/>
                <w:tab w:val="center" w:pos="682"/>
              </w:tabs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892E7A">
              <w:rPr>
                <w:rFonts w:ascii="Garamond" w:eastAsia="Garamond" w:hAnsi="Garamond" w:cs="Garamond"/>
              </w:rPr>
              <w:t>0.5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24EE2085" w14:textId="670B7715" w:rsidR="0034680B" w:rsidRPr="0034680B" w:rsidRDefault="00543DB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892E7A">
              <w:rPr>
                <w:rFonts w:ascii="Garamond" w:eastAsia="Garamond" w:hAnsi="Garamond" w:cs="Garamond"/>
              </w:rPr>
              <w:t>3.</w:t>
            </w:r>
            <w:r w:rsidR="003E138E">
              <w:rPr>
                <w:rFonts w:ascii="Garamond" w:eastAsia="Garamond" w:hAnsi="Garamond" w:cs="Garamond"/>
              </w:rPr>
              <w:t>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E624E4E" w14:textId="79222E10" w:rsidR="0034680B" w:rsidRPr="0034680B" w:rsidRDefault="008D45E9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3E138E">
              <w:rPr>
                <w:rFonts w:ascii="Garamond" w:eastAsia="Garamond" w:hAnsi="Garamond" w:cs="Garamond"/>
              </w:rPr>
              <w:t>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C62E4D1" w14:textId="5C1A86C2" w:rsidR="0034680B" w:rsidRPr="002161DA" w:rsidRDefault="003E138E" w:rsidP="002161DA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</w:tbl>
    <w:p w14:paraId="7F747B45" w14:textId="77777777" w:rsidR="008954AC" w:rsidRDefault="008954AC" w:rsidP="00307775">
      <w:pPr>
        <w:spacing w:before="100" w:after="280" w:line="24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784F79F2" w14:textId="022F82B1" w:rsidR="004D1010" w:rsidRDefault="003915C5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  <w:r w:rsidRPr="00022208">
        <w:rPr>
          <w:rFonts w:ascii="Garamond" w:eastAsia="Garamond" w:hAnsi="Garamond" w:cs="Garamond"/>
          <w:b/>
          <w:sz w:val="28"/>
          <w:szCs w:val="28"/>
          <w:u w:val="single"/>
        </w:rPr>
        <w:t>Market Outlook</w:t>
      </w:r>
      <w:r w:rsidR="004D1010" w:rsidRPr="004D1010">
        <w:rPr>
          <w:rFonts w:ascii="Garamond" w:hAnsi="Garamond"/>
          <w:sz w:val="28"/>
          <w:szCs w:val="28"/>
        </w:rPr>
        <w:t xml:space="preserve"> </w:t>
      </w:r>
    </w:p>
    <w:p w14:paraId="73B56683" w14:textId="112AA1DC" w:rsidR="00481084" w:rsidRDefault="00481084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</w:p>
    <w:p w14:paraId="2B903F7A" w14:textId="01019EC1" w:rsidR="00481084" w:rsidRPr="009B2C7B" w:rsidRDefault="00BF1158" w:rsidP="004D1010">
      <w:pPr>
        <w:spacing w:after="280" w:line="240" w:lineRule="auto"/>
        <w:contextualSpacing/>
        <w:rPr>
          <w:rFonts w:ascii="Garamond" w:hAnsi="Garamond"/>
        </w:rPr>
      </w:pPr>
      <w:r w:rsidRPr="009B2C7B">
        <w:rPr>
          <w:rFonts w:ascii="Garamond" w:hAnsi="Garamond"/>
        </w:rPr>
        <w:t>With caution advised last quarter, we are now advising even more caution</w:t>
      </w:r>
      <w:r w:rsidR="00EC69DC" w:rsidRPr="009B2C7B">
        <w:rPr>
          <w:rFonts w:ascii="Garamond" w:hAnsi="Garamond"/>
        </w:rPr>
        <w:t xml:space="preserve"> as we anticipate a recession in coming months.  The Federal Reserve will continue with rate increases and interest rates will continue to rise.  International issues will always be with us.</w:t>
      </w:r>
    </w:p>
    <w:p w14:paraId="3633FFAC" w14:textId="03E42DC0" w:rsidR="00EC69DC" w:rsidRPr="009B2C7B" w:rsidRDefault="00EC69DC" w:rsidP="004D1010">
      <w:pPr>
        <w:spacing w:after="280" w:line="240" w:lineRule="auto"/>
        <w:contextualSpacing/>
        <w:rPr>
          <w:rFonts w:ascii="Garamond" w:hAnsi="Garamond"/>
        </w:rPr>
      </w:pPr>
    </w:p>
    <w:p w14:paraId="63BBC988" w14:textId="1DBBBCBD" w:rsidR="00EC69DC" w:rsidRPr="009B2C7B" w:rsidRDefault="00ED5823" w:rsidP="004D1010">
      <w:pPr>
        <w:spacing w:after="280" w:line="240" w:lineRule="auto"/>
        <w:contextualSpacing/>
        <w:rPr>
          <w:rFonts w:ascii="Garamond" w:hAnsi="Garamond"/>
        </w:rPr>
      </w:pPr>
      <w:r w:rsidRPr="009B2C7B">
        <w:rPr>
          <w:rFonts w:ascii="Garamond" w:hAnsi="Garamond"/>
        </w:rPr>
        <w:t>Therefore,</w:t>
      </w:r>
      <w:r w:rsidR="00EC69DC" w:rsidRPr="009B2C7B">
        <w:rPr>
          <w:rFonts w:ascii="Garamond" w:hAnsi="Garamond"/>
        </w:rPr>
        <w:t xml:space="preserve"> we recommend you consider making </w:t>
      </w:r>
      <w:r w:rsidR="00EF1379">
        <w:rPr>
          <w:rFonts w:ascii="Garamond" w:hAnsi="Garamond"/>
        </w:rPr>
        <w:t>additional</w:t>
      </w:r>
      <w:r w:rsidR="00EC69DC" w:rsidRPr="009B2C7B">
        <w:rPr>
          <w:rFonts w:ascii="Garamond" w:hAnsi="Garamond"/>
        </w:rPr>
        <w:t xml:space="preserve"> reductions to your current equity allocation</w:t>
      </w:r>
      <w:r w:rsidR="00CA4936" w:rsidRPr="009B2C7B">
        <w:rPr>
          <w:rFonts w:ascii="Garamond" w:hAnsi="Garamond"/>
        </w:rPr>
        <w:t xml:space="preserve"> particularly if you are at or near retirement</w:t>
      </w:r>
      <w:r w:rsidR="00EC69DC" w:rsidRPr="009B2C7B">
        <w:rPr>
          <w:rFonts w:ascii="Garamond" w:hAnsi="Garamond"/>
        </w:rPr>
        <w:t xml:space="preserve">.  The proceeds should be invested in short term fixed income investments.  Whenever possible, these changes should be made in non-taxable accounts to avoid potential </w:t>
      </w:r>
      <w:r w:rsidR="005F39F7" w:rsidRPr="009B2C7B">
        <w:rPr>
          <w:rFonts w:ascii="Garamond" w:hAnsi="Garamond"/>
        </w:rPr>
        <w:t xml:space="preserve">capital gains taxes.  We can always </w:t>
      </w:r>
      <w:r w:rsidR="00CA4936" w:rsidRPr="009B2C7B">
        <w:rPr>
          <w:rFonts w:ascii="Garamond" w:hAnsi="Garamond"/>
        </w:rPr>
        <w:t>increase equity allocations</w:t>
      </w:r>
      <w:r w:rsidR="005F39F7" w:rsidRPr="009B2C7B">
        <w:rPr>
          <w:rFonts w:ascii="Garamond" w:hAnsi="Garamond"/>
        </w:rPr>
        <w:t xml:space="preserve"> when economic conditions are more favorable.</w:t>
      </w:r>
    </w:p>
    <w:p w14:paraId="2C3CA779" w14:textId="6EA845F5" w:rsidR="00176984" w:rsidRDefault="00176984" w:rsidP="00307775">
      <w:pPr>
        <w:spacing w:before="100" w:after="280" w:line="240" w:lineRule="auto"/>
        <w:rPr>
          <w:rFonts w:ascii="Garamond" w:hAnsi="Garamond"/>
        </w:rPr>
      </w:pPr>
    </w:p>
    <w:p w14:paraId="28C706BC" w14:textId="77777777" w:rsidR="00176984" w:rsidRDefault="00176984" w:rsidP="00307775">
      <w:pPr>
        <w:spacing w:before="100" w:after="280" w:line="24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15EEDB62" w14:textId="77777777" w:rsidR="00996F6D" w:rsidRDefault="00996F6D" w:rsidP="00307775">
      <w:pPr>
        <w:spacing w:before="100" w:after="280" w:line="240" w:lineRule="auto"/>
        <w:contextualSpacing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11272CB4" w14:textId="7DE6E712" w:rsidR="009D638B" w:rsidRPr="00DA5208" w:rsidRDefault="001B21E4" w:rsidP="009D638B">
      <w:pPr>
        <w:spacing w:after="0" w:line="240" w:lineRule="auto"/>
        <w:jc w:val="right"/>
        <w:rPr>
          <w:b/>
          <w:sz w:val="24"/>
          <w:szCs w:val="24"/>
        </w:rPr>
      </w:pPr>
      <w:r w:rsidRPr="00DA5208">
        <w:rPr>
          <w:rFonts w:ascii="Garamond" w:eastAsia="Garamond" w:hAnsi="Garamond" w:cs="Garamond"/>
          <w:b/>
          <w:sz w:val="24"/>
          <w:szCs w:val="24"/>
        </w:rPr>
        <w:t>MSM FINANCIAL STRATEGIES</w:t>
      </w:r>
    </w:p>
    <w:p w14:paraId="26EAA319" w14:textId="604AB14E" w:rsidR="0090706C" w:rsidRPr="00DA5208" w:rsidRDefault="009D638B" w:rsidP="002E198A">
      <w:pPr>
        <w:spacing w:after="0" w:line="240" w:lineRule="auto"/>
        <w:ind w:left="7920" w:firstLine="720"/>
        <w:rPr>
          <w:rFonts w:ascii="Garamond" w:eastAsia="Garamond" w:hAnsi="Garamond" w:cs="Garamond"/>
          <w:b/>
          <w:sz w:val="24"/>
          <w:szCs w:val="24"/>
        </w:rPr>
      </w:pPr>
      <w:r w:rsidRPr="00DA520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915C5" w:rsidRPr="00DA520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51342">
        <w:rPr>
          <w:rFonts w:ascii="Garamond" w:eastAsia="Garamond" w:hAnsi="Garamond" w:cs="Garamond"/>
          <w:b/>
          <w:sz w:val="24"/>
          <w:szCs w:val="24"/>
        </w:rPr>
        <w:t>7</w:t>
      </w:r>
      <w:r w:rsidR="007301DF" w:rsidRPr="00DA5208">
        <w:rPr>
          <w:rFonts w:ascii="Garamond" w:eastAsia="Garamond" w:hAnsi="Garamond" w:cs="Garamond"/>
          <w:b/>
          <w:sz w:val="24"/>
          <w:szCs w:val="24"/>
        </w:rPr>
        <w:t>/</w:t>
      </w:r>
      <w:r w:rsidR="00302ACC">
        <w:rPr>
          <w:rFonts w:ascii="Garamond" w:eastAsia="Garamond" w:hAnsi="Garamond" w:cs="Garamond"/>
          <w:b/>
          <w:sz w:val="24"/>
          <w:szCs w:val="24"/>
        </w:rPr>
        <w:t>7</w:t>
      </w:r>
      <w:r w:rsidR="003915C5" w:rsidRPr="00DA5208">
        <w:rPr>
          <w:rFonts w:ascii="Garamond" w:eastAsia="Garamond" w:hAnsi="Garamond" w:cs="Garamond"/>
          <w:b/>
          <w:sz w:val="24"/>
          <w:szCs w:val="24"/>
        </w:rPr>
        <w:t>/20</w:t>
      </w:r>
      <w:r w:rsidR="00C97BF1" w:rsidRPr="00DA5208">
        <w:rPr>
          <w:rFonts w:ascii="Garamond" w:eastAsia="Garamond" w:hAnsi="Garamond" w:cs="Garamond"/>
          <w:b/>
          <w:sz w:val="24"/>
          <w:szCs w:val="24"/>
        </w:rPr>
        <w:t>2</w:t>
      </w:r>
      <w:r w:rsidR="00E9386E">
        <w:rPr>
          <w:rFonts w:ascii="Garamond" w:eastAsia="Garamond" w:hAnsi="Garamond" w:cs="Garamond"/>
          <w:b/>
          <w:sz w:val="24"/>
          <w:szCs w:val="24"/>
        </w:rPr>
        <w:t>2</w:t>
      </w:r>
    </w:p>
    <w:p w14:paraId="127FC848" w14:textId="5D5CDE6F" w:rsidR="0052480B" w:rsidRPr="0092215C" w:rsidRDefault="003915C5">
      <w:pPr>
        <w:spacing w:line="240" w:lineRule="auto"/>
        <w:jc w:val="both"/>
        <w:rPr>
          <w:i/>
          <w:sz w:val="16"/>
          <w:szCs w:val="16"/>
        </w:rPr>
      </w:pPr>
      <w:r w:rsidRPr="0092215C">
        <w:rPr>
          <w:rFonts w:ascii="Garamond" w:eastAsia="Garamond" w:hAnsi="Garamond" w:cs="Garamond"/>
          <w:i/>
          <w:sz w:val="16"/>
          <w:szCs w:val="16"/>
        </w:rPr>
        <w:t>@Copyright 20</w:t>
      </w:r>
      <w:r w:rsidR="00C97BF1">
        <w:rPr>
          <w:rFonts w:ascii="Garamond" w:eastAsia="Garamond" w:hAnsi="Garamond" w:cs="Garamond"/>
          <w:i/>
          <w:sz w:val="16"/>
          <w:szCs w:val="16"/>
        </w:rPr>
        <w:t>2</w:t>
      </w:r>
      <w:r w:rsidR="00056425">
        <w:rPr>
          <w:rFonts w:ascii="Garamond" w:eastAsia="Garamond" w:hAnsi="Garamond" w:cs="Garamond"/>
          <w:i/>
          <w:sz w:val="16"/>
          <w:szCs w:val="16"/>
        </w:rPr>
        <w:t>2</w:t>
      </w:r>
      <w:r w:rsidR="001B21E4" w:rsidRPr="0092215C">
        <w:rPr>
          <w:rFonts w:ascii="Garamond" w:eastAsia="Garamond" w:hAnsi="Garamond" w:cs="Garamond"/>
          <w:i/>
          <w:sz w:val="16"/>
          <w:szCs w:val="16"/>
        </w:rPr>
        <w:t xml:space="preserve"> MSM Financial Strategies</w:t>
      </w:r>
    </w:p>
    <w:sectPr w:rsidR="0052480B" w:rsidRPr="0092215C" w:rsidSect="00425259">
      <w:headerReference w:type="default" r:id="rId10"/>
      <w:pgSz w:w="12240" w:h="15840" w:code="1"/>
      <w:pgMar w:top="1440" w:right="1080" w:bottom="1440" w:left="108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E603" w14:textId="77777777" w:rsidR="00E70283" w:rsidRDefault="00E70283">
      <w:pPr>
        <w:spacing w:after="0" w:line="240" w:lineRule="auto"/>
      </w:pPr>
      <w:r>
        <w:separator/>
      </w:r>
    </w:p>
  </w:endnote>
  <w:endnote w:type="continuationSeparator" w:id="0">
    <w:p w14:paraId="707FF279" w14:textId="77777777" w:rsidR="00E70283" w:rsidRDefault="00E7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C790" w14:textId="77777777" w:rsidR="00E70283" w:rsidRDefault="00E70283">
      <w:pPr>
        <w:spacing w:after="0" w:line="240" w:lineRule="auto"/>
      </w:pPr>
      <w:r>
        <w:separator/>
      </w:r>
    </w:p>
  </w:footnote>
  <w:footnote w:type="continuationSeparator" w:id="0">
    <w:p w14:paraId="7A08C558" w14:textId="77777777" w:rsidR="00E70283" w:rsidRDefault="00E7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2002" w14:textId="75CFAD23" w:rsidR="00E854D4" w:rsidRPr="00D767B6" w:rsidRDefault="0081776A" w:rsidP="00996F6D">
    <w:pPr>
      <w:pStyle w:val="Title"/>
      <w:rPr>
        <w:rFonts w:ascii="Garamond" w:eastAsia="Garamond" w:hAnsi="Garamond" w:cs="Garamond"/>
        <w:sz w:val="32"/>
        <w:szCs w:val="32"/>
      </w:rPr>
    </w:pPr>
    <w:r>
      <w:rPr>
        <w:rFonts w:ascii="Garamond" w:eastAsia="Garamond" w:hAnsi="Garamond" w:cs="Garamond"/>
        <w:sz w:val="32"/>
        <w:szCs w:val="32"/>
      </w:rPr>
      <w:t>Second</w:t>
    </w:r>
    <w:r w:rsidR="00B45933">
      <w:rPr>
        <w:rFonts w:ascii="Garamond" w:eastAsia="Garamond" w:hAnsi="Garamond" w:cs="Garamond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Quarter 20</w:t>
    </w:r>
    <w:r w:rsidR="00EC1D61">
      <w:rPr>
        <w:rFonts w:ascii="Garamond" w:eastAsia="Garamond" w:hAnsi="Garamond" w:cs="Garamond"/>
        <w:sz w:val="32"/>
        <w:szCs w:val="32"/>
      </w:rPr>
      <w:t>2</w:t>
    </w:r>
    <w:r w:rsidR="00B45933">
      <w:rPr>
        <w:rFonts w:ascii="Garamond" w:eastAsia="Garamond" w:hAnsi="Garamond" w:cs="Garamond"/>
        <w:sz w:val="32"/>
        <w:szCs w:val="32"/>
      </w:rPr>
      <w:t>2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Review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and Outlook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0B"/>
    <w:rsid w:val="00000931"/>
    <w:rsid w:val="00004577"/>
    <w:rsid w:val="000048A3"/>
    <w:rsid w:val="00005C3D"/>
    <w:rsid w:val="00011C7D"/>
    <w:rsid w:val="0001224C"/>
    <w:rsid w:val="00012400"/>
    <w:rsid w:val="00012D31"/>
    <w:rsid w:val="00013036"/>
    <w:rsid w:val="00014F60"/>
    <w:rsid w:val="00016F97"/>
    <w:rsid w:val="00017527"/>
    <w:rsid w:val="00022208"/>
    <w:rsid w:val="00022438"/>
    <w:rsid w:val="00022C99"/>
    <w:rsid w:val="00025BC2"/>
    <w:rsid w:val="00031490"/>
    <w:rsid w:val="00031BF8"/>
    <w:rsid w:val="000355F5"/>
    <w:rsid w:val="00040BDA"/>
    <w:rsid w:val="00041997"/>
    <w:rsid w:val="000435EB"/>
    <w:rsid w:val="00043E58"/>
    <w:rsid w:val="00044A48"/>
    <w:rsid w:val="00044CBF"/>
    <w:rsid w:val="00046110"/>
    <w:rsid w:val="0005098A"/>
    <w:rsid w:val="000516FE"/>
    <w:rsid w:val="000522AE"/>
    <w:rsid w:val="00056425"/>
    <w:rsid w:val="00056AC9"/>
    <w:rsid w:val="0005746D"/>
    <w:rsid w:val="00061A2D"/>
    <w:rsid w:val="00063352"/>
    <w:rsid w:val="00065D27"/>
    <w:rsid w:val="000666ED"/>
    <w:rsid w:val="0007008F"/>
    <w:rsid w:val="00071DEF"/>
    <w:rsid w:val="000722E5"/>
    <w:rsid w:val="00080F39"/>
    <w:rsid w:val="00085B57"/>
    <w:rsid w:val="00087BFD"/>
    <w:rsid w:val="0009064D"/>
    <w:rsid w:val="0009286C"/>
    <w:rsid w:val="000934DF"/>
    <w:rsid w:val="000948A6"/>
    <w:rsid w:val="000955FA"/>
    <w:rsid w:val="00096061"/>
    <w:rsid w:val="000969C3"/>
    <w:rsid w:val="000A0E2F"/>
    <w:rsid w:val="000A193F"/>
    <w:rsid w:val="000A5ADF"/>
    <w:rsid w:val="000A60AA"/>
    <w:rsid w:val="000A722D"/>
    <w:rsid w:val="000B0276"/>
    <w:rsid w:val="000B1B9E"/>
    <w:rsid w:val="000B2B7F"/>
    <w:rsid w:val="000B2E0F"/>
    <w:rsid w:val="000B47C2"/>
    <w:rsid w:val="000B5A30"/>
    <w:rsid w:val="000B755C"/>
    <w:rsid w:val="000C0307"/>
    <w:rsid w:val="000C06CF"/>
    <w:rsid w:val="000C0C2B"/>
    <w:rsid w:val="000C1DAC"/>
    <w:rsid w:val="000C2F16"/>
    <w:rsid w:val="000C333E"/>
    <w:rsid w:val="000C5431"/>
    <w:rsid w:val="000C6FA4"/>
    <w:rsid w:val="000D3031"/>
    <w:rsid w:val="000D3317"/>
    <w:rsid w:val="000D40E6"/>
    <w:rsid w:val="000D6EA0"/>
    <w:rsid w:val="000E1BC1"/>
    <w:rsid w:val="000E3A53"/>
    <w:rsid w:val="000E56AF"/>
    <w:rsid w:val="000E58F1"/>
    <w:rsid w:val="000E5DB9"/>
    <w:rsid w:val="000F4AA9"/>
    <w:rsid w:val="000F5D82"/>
    <w:rsid w:val="000F6AB2"/>
    <w:rsid w:val="000F781C"/>
    <w:rsid w:val="00103138"/>
    <w:rsid w:val="001078CD"/>
    <w:rsid w:val="00114AE4"/>
    <w:rsid w:val="00120A92"/>
    <w:rsid w:val="001221DB"/>
    <w:rsid w:val="00124D05"/>
    <w:rsid w:val="00124F15"/>
    <w:rsid w:val="00125B51"/>
    <w:rsid w:val="00125DDB"/>
    <w:rsid w:val="00125ED4"/>
    <w:rsid w:val="00130558"/>
    <w:rsid w:val="001320C4"/>
    <w:rsid w:val="00132C8A"/>
    <w:rsid w:val="00133447"/>
    <w:rsid w:val="00134CB9"/>
    <w:rsid w:val="001424F0"/>
    <w:rsid w:val="00145019"/>
    <w:rsid w:val="00147632"/>
    <w:rsid w:val="00147F43"/>
    <w:rsid w:val="0015094E"/>
    <w:rsid w:val="001535A1"/>
    <w:rsid w:val="00155806"/>
    <w:rsid w:val="0015635D"/>
    <w:rsid w:val="00163097"/>
    <w:rsid w:val="00163F6C"/>
    <w:rsid w:val="001665E1"/>
    <w:rsid w:val="00170F51"/>
    <w:rsid w:val="00172593"/>
    <w:rsid w:val="00176984"/>
    <w:rsid w:val="001828D8"/>
    <w:rsid w:val="00184231"/>
    <w:rsid w:val="00186E47"/>
    <w:rsid w:val="00187EB7"/>
    <w:rsid w:val="00190358"/>
    <w:rsid w:val="00191C19"/>
    <w:rsid w:val="00195402"/>
    <w:rsid w:val="001A1D6F"/>
    <w:rsid w:val="001A4366"/>
    <w:rsid w:val="001A5FDC"/>
    <w:rsid w:val="001A6AB6"/>
    <w:rsid w:val="001A7647"/>
    <w:rsid w:val="001B21E4"/>
    <w:rsid w:val="001B2913"/>
    <w:rsid w:val="001B3F20"/>
    <w:rsid w:val="001B5228"/>
    <w:rsid w:val="001B710C"/>
    <w:rsid w:val="001C3093"/>
    <w:rsid w:val="001C5DC2"/>
    <w:rsid w:val="001C73A3"/>
    <w:rsid w:val="001D1D8D"/>
    <w:rsid w:val="001D2C58"/>
    <w:rsid w:val="001D2F06"/>
    <w:rsid w:val="001D5348"/>
    <w:rsid w:val="001D57FD"/>
    <w:rsid w:val="001D6E15"/>
    <w:rsid w:val="001E24C0"/>
    <w:rsid w:val="001E40BF"/>
    <w:rsid w:val="001E5A6A"/>
    <w:rsid w:val="001E632D"/>
    <w:rsid w:val="001F47A0"/>
    <w:rsid w:val="001F4CAC"/>
    <w:rsid w:val="001F6F06"/>
    <w:rsid w:val="00200487"/>
    <w:rsid w:val="00203DF5"/>
    <w:rsid w:val="0020441A"/>
    <w:rsid w:val="00204950"/>
    <w:rsid w:val="002059DC"/>
    <w:rsid w:val="00205F8B"/>
    <w:rsid w:val="00207C56"/>
    <w:rsid w:val="00210494"/>
    <w:rsid w:val="00210FCC"/>
    <w:rsid w:val="002132C6"/>
    <w:rsid w:val="00213E7E"/>
    <w:rsid w:val="002147B4"/>
    <w:rsid w:val="00215D2B"/>
    <w:rsid w:val="002161DA"/>
    <w:rsid w:val="00221176"/>
    <w:rsid w:val="00221365"/>
    <w:rsid w:val="00221888"/>
    <w:rsid w:val="00223190"/>
    <w:rsid w:val="002301ED"/>
    <w:rsid w:val="0023249D"/>
    <w:rsid w:val="00234900"/>
    <w:rsid w:val="002369CF"/>
    <w:rsid w:val="00237BCD"/>
    <w:rsid w:val="00240066"/>
    <w:rsid w:val="0024236A"/>
    <w:rsid w:val="0024336A"/>
    <w:rsid w:val="0024364A"/>
    <w:rsid w:val="0025038E"/>
    <w:rsid w:val="00252A22"/>
    <w:rsid w:val="00256AC6"/>
    <w:rsid w:val="00261112"/>
    <w:rsid w:val="00261830"/>
    <w:rsid w:val="002621C7"/>
    <w:rsid w:val="00262DE4"/>
    <w:rsid w:val="00273154"/>
    <w:rsid w:val="00274B2C"/>
    <w:rsid w:val="00280CEF"/>
    <w:rsid w:val="0028603C"/>
    <w:rsid w:val="002862BF"/>
    <w:rsid w:val="0029090B"/>
    <w:rsid w:val="00291212"/>
    <w:rsid w:val="00294DD8"/>
    <w:rsid w:val="0029501D"/>
    <w:rsid w:val="002972CE"/>
    <w:rsid w:val="002A002C"/>
    <w:rsid w:val="002A003A"/>
    <w:rsid w:val="002A0277"/>
    <w:rsid w:val="002A202E"/>
    <w:rsid w:val="002B25CF"/>
    <w:rsid w:val="002B2A62"/>
    <w:rsid w:val="002B3B64"/>
    <w:rsid w:val="002B4A90"/>
    <w:rsid w:val="002B4B28"/>
    <w:rsid w:val="002B6B1D"/>
    <w:rsid w:val="002C0726"/>
    <w:rsid w:val="002C2DE8"/>
    <w:rsid w:val="002C512D"/>
    <w:rsid w:val="002D17BE"/>
    <w:rsid w:val="002D26EB"/>
    <w:rsid w:val="002D302A"/>
    <w:rsid w:val="002D48AF"/>
    <w:rsid w:val="002D538A"/>
    <w:rsid w:val="002D6711"/>
    <w:rsid w:val="002D67DC"/>
    <w:rsid w:val="002D6DE8"/>
    <w:rsid w:val="002E198A"/>
    <w:rsid w:val="002E39F6"/>
    <w:rsid w:val="002E6A28"/>
    <w:rsid w:val="002E6C97"/>
    <w:rsid w:val="002F196F"/>
    <w:rsid w:val="002F4CF6"/>
    <w:rsid w:val="003010A0"/>
    <w:rsid w:val="00302ACC"/>
    <w:rsid w:val="00304AB8"/>
    <w:rsid w:val="00305448"/>
    <w:rsid w:val="00305FAC"/>
    <w:rsid w:val="003073E9"/>
    <w:rsid w:val="00307775"/>
    <w:rsid w:val="00307A6A"/>
    <w:rsid w:val="00307C1F"/>
    <w:rsid w:val="00311041"/>
    <w:rsid w:val="00315C56"/>
    <w:rsid w:val="00315F56"/>
    <w:rsid w:val="003169D0"/>
    <w:rsid w:val="00317BA9"/>
    <w:rsid w:val="00317FE1"/>
    <w:rsid w:val="003223FE"/>
    <w:rsid w:val="003278E9"/>
    <w:rsid w:val="0033110B"/>
    <w:rsid w:val="00331DE9"/>
    <w:rsid w:val="00335EFA"/>
    <w:rsid w:val="00337544"/>
    <w:rsid w:val="00337855"/>
    <w:rsid w:val="00337DAB"/>
    <w:rsid w:val="003437F9"/>
    <w:rsid w:val="003448B9"/>
    <w:rsid w:val="003453F8"/>
    <w:rsid w:val="003464AF"/>
    <w:rsid w:val="0034680B"/>
    <w:rsid w:val="00352C30"/>
    <w:rsid w:val="003566D2"/>
    <w:rsid w:val="00360E9A"/>
    <w:rsid w:val="00365C8C"/>
    <w:rsid w:val="00367344"/>
    <w:rsid w:val="0037061B"/>
    <w:rsid w:val="003718AB"/>
    <w:rsid w:val="00375249"/>
    <w:rsid w:val="00375924"/>
    <w:rsid w:val="00375981"/>
    <w:rsid w:val="0037654D"/>
    <w:rsid w:val="00377856"/>
    <w:rsid w:val="00381CC1"/>
    <w:rsid w:val="00384963"/>
    <w:rsid w:val="0038597A"/>
    <w:rsid w:val="00387CD0"/>
    <w:rsid w:val="003915C5"/>
    <w:rsid w:val="00393280"/>
    <w:rsid w:val="0039439A"/>
    <w:rsid w:val="00394833"/>
    <w:rsid w:val="00396214"/>
    <w:rsid w:val="003A0380"/>
    <w:rsid w:val="003A0DC3"/>
    <w:rsid w:val="003A5DEC"/>
    <w:rsid w:val="003A765A"/>
    <w:rsid w:val="003A76DD"/>
    <w:rsid w:val="003C0D8B"/>
    <w:rsid w:val="003C166D"/>
    <w:rsid w:val="003C1C7A"/>
    <w:rsid w:val="003C2B10"/>
    <w:rsid w:val="003C2E65"/>
    <w:rsid w:val="003C4434"/>
    <w:rsid w:val="003D2531"/>
    <w:rsid w:val="003E138E"/>
    <w:rsid w:val="003E2A44"/>
    <w:rsid w:val="003F2CAA"/>
    <w:rsid w:val="00403CF4"/>
    <w:rsid w:val="004043A4"/>
    <w:rsid w:val="00404EB8"/>
    <w:rsid w:val="00407BA7"/>
    <w:rsid w:val="00411DBA"/>
    <w:rsid w:val="00413991"/>
    <w:rsid w:val="00413D7D"/>
    <w:rsid w:val="0041420B"/>
    <w:rsid w:val="00416EF8"/>
    <w:rsid w:val="0041715F"/>
    <w:rsid w:val="004174EC"/>
    <w:rsid w:val="00420022"/>
    <w:rsid w:val="0042186D"/>
    <w:rsid w:val="00421B21"/>
    <w:rsid w:val="00421F4D"/>
    <w:rsid w:val="00424D1C"/>
    <w:rsid w:val="00425259"/>
    <w:rsid w:val="00426D93"/>
    <w:rsid w:val="0043405F"/>
    <w:rsid w:val="00434A3A"/>
    <w:rsid w:val="0043563C"/>
    <w:rsid w:val="00437BAB"/>
    <w:rsid w:val="0044401B"/>
    <w:rsid w:val="00446CD6"/>
    <w:rsid w:val="0044786D"/>
    <w:rsid w:val="0045199A"/>
    <w:rsid w:val="00451A8C"/>
    <w:rsid w:val="00451B6E"/>
    <w:rsid w:val="00451FA7"/>
    <w:rsid w:val="00452ACD"/>
    <w:rsid w:val="004541BD"/>
    <w:rsid w:val="00456356"/>
    <w:rsid w:val="00456ED7"/>
    <w:rsid w:val="00456FEC"/>
    <w:rsid w:val="004605BE"/>
    <w:rsid w:val="0046219F"/>
    <w:rsid w:val="004654F9"/>
    <w:rsid w:val="004718EF"/>
    <w:rsid w:val="00472F63"/>
    <w:rsid w:val="00481084"/>
    <w:rsid w:val="0048224B"/>
    <w:rsid w:val="0048290A"/>
    <w:rsid w:val="00482AE2"/>
    <w:rsid w:val="00483403"/>
    <w:rsid w:val="0049134F"/>
    <w:rsid w:val="004935C5"/>
    <w:rsid w:val="004961F9"/>
    <w:rsid w:val="004965DD"/>
    <w:rsid w:val="004A05C2"/>
    <w:rsid w:val="004A0D06"/>
    <w:rsid w:val="004A53A7"/>
    <w:rsid w:val="004A73AF"/>
    <w:rsid w:val="004B0B65"/>
    <w:rsid w:val="004B28F8"/>
    <w:rsid w:val="004B37CA"/>
    <w:rsid w:val="004B453C"/>
    <w:rsid w:val="004B5E57"/>
    <w:rsid w:val="004B7629"/>
    <w:rsid w:val="004C1A46"/>
    <w:rsid w:val="004C3C5D"/>
    <w:rsid w:val="004C4200"/>
    <w:rsid w:val="004C6A13"/>
    <w:rsid w:val="004D0D29"/>
    <w:rsid w:val="004D1010"/>
    <w:rsid w:val="004D296D"/>
    <w:rsid w:val="004D4D25"/>
    <w:rsid w:val="004D5C1B"/>
    <w:rsid w:val="004E08FA"/>
    <w:rsid w:val="004E3145"/>
    <w:rsid w:val="004E5C89"/>
    <w:rsid w:val="004E673B"/>
    <w:rsid w:val="004E6765"/>
    <w:rsid w:val="004E680F"/>
    <w:rsid w:val="004E7637"/>
    <w:rsid w:val="004E78D2"/>
    <w:rsid w:val="004F3538"/>
    <w:rsid w:val="004F38CD"/>
    <w:rsid w:val="004F6F75"/>
    <w:rsid w:val="00500370"/>
    <w:rsid w:val="005012EB"/>
    <w:rsid w:val="0050646C"/>
    <w:rsid w:val="00507759"/>
    <w:rsid w:val="00510673"/>
    <w:rsid w:val="00511044"/>
    <w:rsid w:val="00512153"/>
    <w:rsid w:val="00514A1F"/>
    <w:rsid w:val="00516D28"/>
    <w:rsid w:val="00522502"/>
    <w:rsid w:val="0052480B"/>
    <w:rsid w:val="00526E83"/>
    <w:rsid w:val="00527825"/>
    <w:rsid w:val="005321C5"/>
    <w:rsid w:val="005329C2"/>
    <w:rsid w:val="005353E1"/>
    <w:rsid w:val="00536717"/>
    <w:rsid w:val="0054082F"/>
    <w:rsid w:val="005409DF"/>
    <w:rsid w:val="005410EC"/>
    <w:rsid w:val="00543DBF"/>
    <w:rsid w:val="00543F7E"/>
    <w:rsid w:val="00551170"/>
    <w:rsid w:val="0055210D"/>
    <w:rsid w:val="005528E7"/>
    <w:rsid w:val="00554024"/>
    <w:rsid w:val="00554349"/>
    <w:rsid w:val="00555DAC"/>
    <w:rsid w:val="00556D39"/>
    <w:rsid w:val="00561F67"/>
    <w:rsid w:val="005623DD"/>
    <w:rsid w:val="00564F4B"/>
    <w:rsid w:val="00570CA2"/>
    <w:rsid w:val="0057143F"/>
    <w:rsid w:val="005728D6"/>
    <w:rsid w:val="005729DA"/>
    <w:rsid w:val="00573227"/>
    <w:rsid w:val="00574241"/>
    <w:rsid w:val="00574864"/>
    <w:rsid w:val="005758B5"/>
    <w:rsid w:val="00576D0D"/>
    <w:rsid w:val="00576E6C"/>
    <w:rsid w:val="00577446"/>
    <w:rsid w:val="00577888"/>
    <w:rsid w:val="0058175D"/>
    <w:rsid w:val="005839A5"/>
    <w:rsid w:val="00584234"/>
    <w:rsid w:val="005858EB"/>
    <w:rsid w:val="00587813"/>
    <w:rsid w:val="00592C29"/>
    <w:rsid w:val="005976F3"/>
    <w:rsid w:val="005A1143"/>
    <w:rsid w:val="005A233D"/>
    <w:rsid w:val="005A32CA"/>
    <w:rsid w:val="005A46FB"/>
    <w:rsid w:val="005A5E34"/>
    <w:rsid w:val="005A6A4E"/>
    <w:rsid w:val="005B34BD"/>
    <w:rsid w:val="005B522F"/>
    <w:rsid w:val="005B7B08"/>
    <w:rsid w:val="005C22FF"/>
    <w:rsid w:val="005C4AEB"/>
    <w:rsid w:val="005C5221"/>
    <w:rsid w:val="005C596D"/>
    <w:rsid w:val="005C7C6E"/>
    <w:rsid w:val="005D09BC"/>
    <w:rsid w:val="005D168F"/>
    <w:rsid w:val="005D3086"/>
    <w:rsid w:val="005D3811"/>
    <w:rsid w:val="005D49D4"/>
    <w:rsid w:val="005E1332"/>
    <w:rsid w:val="005E1F93"/>
    <w:rsid w:val="005E30EE"/>
    <w:rsid w:val="005E4D4E"/>
    <w:rsid w:val="005E5CD8"/>
    <w:rsid w:val="005E6B41"/>
    <w:rsid w:val="005F0D95"/>
    <w:rsid w:val="005F35B4"/>
    <w:rsid w:val="005F39F7"/>
    <w:rsid w:val="005F3A37"/>
    <w:rsid w:val="005F4105"/>
    <w:rsid w:val="005F4842"/>
    <w:rsid w:val="005F6FFA"/>
    <w:rsid w:val="0060191E"/>
    <w:rsid w:val="00603604"/>
    <w:rsid w:val="006041BF"/>
    <w:rsid w:val="00605629"/>
    <w:rsid w:val="006073E3"/>
    <w:rsid w:val="00615B65"/>
    <w:rsid w:val="0062340C"/>
    <w:rsid w:val="00625901"/>
    <w:rsid w:val="00626C46"/>
    <w:rsid w:val="00635B7C"/>
    <w:rsid w:val="00635F56"/>
    <w:rsid w:val="006411D6"/>
    <w:rsid w:val="00641635"/>
    <w:rsid w:val="006429AA"/>
    <w:rsid w:val="00644402"/>
    <w:rsid w:val="00644B2E"/>
    <w:rsid w:val="006456FC"/>
    <w:rsid w:val="0064617E"/>
    <w:rsid w:val="00647000"/>
    <w:rsid w:val="006520A4"/>
    <w:rsid w:val="006538AC"/>
    <w:rsid w:val="006557C1"/>
    <w:rsid w:val="00657667"/>
    <w:rsid w:val="00660293"/>
    <w:rsid w:val="006612F5"/>
    <w:rsid w:val="006614AD"/>
    <w:rsid w:val="006646AD"/>
    <w:rsid w:val="006648DC"/>
    <w:rsid w:val="00664905"/>
    <w:rsid w:val="006678DB"/>
    <w:rsid w:val="00674D7E"/>
    <w:rsid w:val="006750E7"/>
    <w:rsid w:val="006756A2"/>
    <w:rsid w:val="00675F7D"/>
    <w:rsid w:val="00675FFA"/>
    <w:rsid w:val="00677517"/>
    <w:rsid w:val="00677694"/>
    <w:rsid w:val="006815EE"/>
    <w:rsid w:val="006818A5"/>
    <w:rsid w:val="00681DB4"/>
    <w:rsid w:val="00683B35"/>
    <w:rsid w:val="00684450"/>
    <w:rsid w:val="00685469"/>
    <w:rsid w:val="006855D1"/>
    <w:rsid w:val="0068648D"/>
    <w:rsid w:val="00686C12"/>
    <w:rsid w:val="00687131"/>
    <w:rsid w:val="0068728D"/>
    <w:rsid w:val="00687CD2"/>
    <w:rsid w:val="00690288"/>
    <w:rsid w:val="00690AF4"/>
    <w:rsid w:val="006916E2"/>
    <w:rsid w:val="006924A7"/>
    <w:rsid w:val="00692C25"/>
    <w:rsid w:val="00692CBE"/>
    <w:rsid w:val="006930B9"/>
    <w:rsid w:val="0069314F"/>
    <w:rsid w:val="00696D24"/>
    <w:rsid w:val="006A0F13"/>
    <w:rsid w:val="006A274A"/>
    <w:rsid w:val="006A2CC5"/>
    <w:rsid w:val="006A2E90"/>
    <w:rsid w:val="006A308C"/>
    <w:rsid w:val="006A3621"/>
    <w:rsid w:val="006A6F86"/>
    <w:rsid w:val="006A7F62"/>
    <w:rsid w:val="006B268C"/>
    <w:rsid w:val="006B48F2"/>
    <w:rsid w:val="006B545B"/>
    <w:rsid w:val="006B5DB4"/>
    <w:rsid w:val="006B643B"/>
    <w:rsid w:val="006B6BE6"/>
    <w:rsid w:val="006C12B1"/>
    <w:rsid w:val="006C29D1"/>
    <w:rsid w:val="006C54C2"/>
    <w:rsid w:val="006D0DD5"/>
    <w:rsid w:val="006D24A9"/>
    <w:rsid w:val="006D4219"/>
    <w:rsid w:val="006D580B"/>
    <w:rsid w:val="006D6E01"/>
    <w:rsid w:val="006E0932"/>
    <w:rsid w:val="006E0C7E"/>
    <w:rsid w:val="006E27FF"/>
    <w:rsid w:val="006E629E"/>
    <w:rsid w:val="006F21C6"/>
    <w:rsid w:val="006F40FD"/>
    <w:rsid w:val="006F4CEA"/>
    <w:rsid w:val="006F599B"/>
    <w:rsid w:val="00700A35"/>
    <w:rsid w:val="00705A27"/>
    <w:rsid w:val="00705CA2"/>
    <w:rsid w:val="00705F1C"/>
    <w:rsid w:val="00706843"/>
    <w:rsid w:val="0071134C"/>
    <w:rsid w:val="00713EF4"/>
    <w:rsid w:val="007145BD"/>
    <w:rsid w:val="00714AB6"/>
    <w:rsid w:val="0071611C"/>
    <w:rsid w:val="00717AA7"/>
    <w:rsid w:val="00721F0A"/>
    <w:rsid w:val="007242C6"/>
    <w:rsid w:val="00726469"/>
    <w:rsid w:val="00726E57"/>
    <w:rsid w:val="007270E4"/>
    <w:rsid w:val="007301DF"/>
    <w:rsid w:val="007307F7"/>
    <w:rsid w:val="0073201A"/>
    <w:rsid w:val="00732359"/>
    <w:rsid w:val="00733781"/>
    <w:rsid w:val="00735EA3"/>
    <w:rsid w:val="00736926"/>
    <w:rsid w:val="00737282"/>
    <w:rsid w:val="00743BD0"/>
    <w:rsid w:val="007468D1"/>
    <w:rsid w:val="00746C29"/>
    <w:rsid w:val="007509A5"/>
    <w:rsid w:val="00757658"/>
    <w:rsid w:val="00760979"/>
    <w:rsid w:val="0076167B"/>
    <w:rsid w:val="00762579"/>
    <w:rsid w:val="00763DBD"/>
    <w:rsid w:val="0076564B"/>
    <w:rsid w:val="0076627E"/>
    <w:rsid w:val="00766C79"/>
    <w:rsid w:val="00774F25"/>
    <w:rsid w:val="0077621D"/>
    <w:rsid w:val="00776740"/>
    <w:rsid w:val="0078160C"/>
    <w:rsid w:val="00781EBE"/>
    <w:rsid w:val="00783023"/>
    <w:rsid w:val="00783F4D"/>
    <w:rsid w:val="00785544"/>
    <w:rsid w:val="00787D1B"/>
    <w:rsid w:val="00790230"/>
    <w:rsid w:val="00791A1F"/>
    <w:rsid w:val="007957E8"/>
    <w:rsid w:val="00795802"/>
    <w:rsid w:val="007A0122"/>
    <w:rsid w:val="007A5B2B"/>
    <w:rsid w:val="007A72F5"/>
    <w:rsid w:val="007A73AE"/>
    <w:rsid w:val="007B5A65"/>
    <w:rsid w:val="007B5B8D"/>
    <w:rsid w:val="007B780C"/>
    <w:rsid w:val="007C30A2"/>
    <w:rsid w:val="007C43EE"/>
    <w:rsid w:val="007C7717"/>
    <w:rsid w:val="007C7B8B"/>
    <w:rsid w:val="007D30E1"/>
    <w:rsid w:val="007D336F"/>
    <w:rsid w:val="007D6013"/>
    <w:rsid w:val="007D6A38"/>
    <w:rsid w:val="007D7DC3"/>
    <w:rsid w:val="007E2418"/>
    <w:rsid w:val="007E642E"/>
    <w:rsid w:val="007F0E29"/>
    <w:rsid w:val="007F1FE4"/>
    <w:rsid w:val="007F296E"/>
    <w:rsid w:val="007F3FAC"/>
    <w:rsid w:val="007F47DB"/>
    <w:rsid w:val="007F4EA4"/>
    <w:rsid w:val="007F5CBC"/>
    <w:rsid w:val="007F618C"/>
    <w:rsid w:val="007F78B2"/>
    <w:rsid w:val="00801A22"/>
    <w:rsid w:val="008041B1"/>
    <w:rsid w:val="008048CC"/>
    <w:rsid w:val="00810EB7"/>
    <w:rsid w:val="0081776A"/>
    <w:rsid w:val="0082168C"/>
    <w:rsid w:val="00823DCF"/>
    <w:rsid w:val="00824635"/>
    <w:rsid w:val="00824747"/>
    <w:rsid w:val="00825312"/>
    <w:rsid w:val="008253CE"/>
    <w:rsid w:val="00825946"/>
    <w:rsid w:val="00826C4F"/>
    <w:rsid w:val="008314A6"/>
    <w:rsid w:val="00834257"/>
    <w:rsid w:val="00845471"/>
    <w:rsid w:val="008603B2"/>
    <w:rsid w:val="00860FAF"/>
    <w:rsid w:val="0086205D"/>
    <w:rsid w:val="00864A6F"/>
    <w:rsid w:val="00865F34"/>
    <w:rsid w:val="0086727E"/>
    <w:rsid w:val="00867E0D"/>
    <w:rsid w:val="00867FB7"/>
    <w:rsid w:val="0087011C"/>
    <w:rsid w:val="0087510E"/>
    <w:rsid w:val="008757E1"/>
    <w:rsid w:val="008762E5"/>
    <w:rsid w:val="00876581"/>
    <w:rsid w:val="0087700E"/>
    <w:rsid w:val="00880763"/>
    <w:rsid w:val="008807F4"/>
    <w:rsid w:val="00881217"/>
    <w:rsid w:val="00881252"/>
    <w:rsid w:val="00881437"/>
    <w:rsid w:val="00881D94"/>
    <w:rsid w:val="00882135"/>
    <w:rsid w:val="008847F9"/>
    <w:rsid w:val="0088484C"/>
    <w:rsid w:val="008852F0"/>
    <w:rsid w:val="00887360"/>
    <w:rsid w:val="008903F5"/>
    <w:rsid w:val="00892E7A"/>
    <w:rsid w:val="008947BA"/>
    <w:rsid w:val="008954AC"/>
    <w:rsid w:val="00895EC7"/>
    <w:rsid w:val="00896FF1"/>
    <w:rsid w:val="008A0AFA"/>
    <w:rsid w:val="008A0EB5"/>
    <w:rsid w:val="008A2A8A"/>
    <w:rsid w:val="008A3771"/>
    <w:rsid w:val="008A7912"/>
    <w:rsid w:val="008B2F1F"/>
    <w:rsid w:val="008B405F"/>
    <w:rsid w:val="008B7499"/>
    <w:rsid w:val="008C0B69"/>
    <w:rsid w:val="008C3B7B"/>
    <w:rsid w:val="008C46F8"/>
    <w:rsid w:val="008C502D"/>
    <w:rsid w:val="008C79AE"/>
    <w:rsid w:val="008D02CF"/>
    <w:rsid w:val="008D37F3"/>
    <w:rsid w:val="008D45E9"/>
    <w:rsid w:val="008E549C"/>
    <w:rsid w:val="008F0E46"/>
    <w:rsid w:val="008F2202"/>
    <w:rsid w:val="008F38BC"/>
    <w:rsid w:val="008F5A92"/>
    <w:rsid w:val="009005AD"/>
    <w:rsid w:val="00902593"/>
    <w:rsid w:val="0090338A"/>
    <w:rsid w:val="00905AB4"/>
    <w:rsid w:val="0090706C"/>
    <w:rsid w:val="009115DA"/>
    <w:rsid w:val="009170C3"/>
    <w:rsid w:val="00920263"/>
    <w:rsid w:val="00920E58"/>
    <w:rsid w:val="0092215C"/>
    <w:rsid w:val="00932722"/>
    <w:rsid w:val="00932988"/>
    <w:rsid w:val="00936A10"/>
    <w:rsid w:val="009405F3"/>
    <w:rsid w:val="0094127B"/>
    <w:rsid w:val="009417DE"/>
    <w:rsid w:val="00942C6E"/>
    <w:rsid w:val="00944294"/>
    <w:rsid w:val="00944E72"/>
    <w:rsid w:val="00946C4E"/>
    <w:rsid w:val="0094767E"/>
    <w:rsid w:val="009506AC"/>
    <w:rsid w:val="00950C9C"/>
    <w:rsid w:val="00951AB2"/>
    <w:rsid w:val="00952030"/>
    <w:rsid w:val="0095497A"/>
    <w:rsid w:val="0095728A"/>
    <w:rsid w:val="0096040F"/>
    <w:rsid w:val="009605A7"/>
    <w:rsid w:val="00962177"/>
    <w:rsid w:val="00962C37"/>
    <w:rsid w:val="00963DC5"/>
    <w:rsid w:val="0097310B"/>
    <w:rsid w:val="00976001"/>
    <w:rsid w:val="009760B8"/>
    <w:rsid w:val="00977BC6"/>
    <w:rsid w:val="00980F3F"/>
    <w:rsid w:val="009819AF"/>
    <w:rsid w:val="00984EC3"/>
    <w:rsid w:val="00993BEB"/>
    <w:rsid w:val="00996F6D"/>
    <w:rsid w:val="00997174"/>
    <w:rsid w:val="009A1BF1"/>
    <w:rsid w:val="009A23C0"/>
    <w:rsid w:val="009A28E3"/>
    <w:rsid w:val="009A40F3"/>
    <w:rsid w:val="009A7687"/>
    <w:rsid w:val="009A7A16"/>
    <w:rsid w:val="009B2128"/>
    <w:rsid w:val="009B2C7B"/>
    <w:rsid w:val="009B43A4"/>
    <w:rsid w:val="009B4A43"/>
    <w:rsid w:val="009B4BB5"/>
    <w:rsid w:val="009C293C"/>
    <w:rsid w:val="009D29FC"/>
    <w:rsid w:val="009D5E11"/>
    <w:rsid w:val="009D5F62"/>
    <w:rsid w:val="009D638B"/>
    <w:rsid w:val="009E0914"/>
    <w:rsid w:val="009E4C3E"/>
    <w:rsid w:val="009E4CF6"/>
    <w:rsid w:val="009E6B7D"/>
    <w:rsid w:val="009F09B9"/>
    <w:rsid w:val="009F13BF"/>
    <w:rsid w:val="009F2F8B"/>
    <w:rsid w:val="009F3262"/>
    <w:rsid w:val="00A00E95"/>
    <w:rsid w:val="00A028F7"/>
    <w:rsid w:val="00A0577E"/>
    <w:rsid w:val="00A0777A"/>
    <w:rsid w:val="00A127E7"/>
    <w:rsid w:val="00A13731"/>
    <w:rsid w:val="00A13790"/>
    <w:rsid w:val="00A14D5B"/>
    <w:rsid w:val="00A16695"/>
    <w:rsid w:val="00A1682C"/>
    <w:rsid w:val="00A2137B"/>
    <w:rsid w:val="00A2157F"/>
    <w:rsid w:val="00A21CF9"/>
    <w:rsid w:val="00A265B3"/>
    <w:rsid w:val="00A26706"/>
    <w:rsid w:val="00A301C4"/>
    <w:rsid w:val="00A3046C"/>
    <w:rsid w:val="00A35BD1"/>
    <w:rsid w:val="00A37F98"/>
    <w:rsid w:val="00A51342"/>
    <w:rsid w:val="00A52357"/>
    <w:rsid w:val="00A52573"/>
    <w:rsid w:val="00A52E20"/>
    <w:rsid w:val="00A53C81"/>
    <w:rsid w:val="00A547D0"/>
    <w:rsid w:val="00A5543B"/>
    <w:rsid w:val="00A5605A"/>
    <w:rsid w:val="00A56FBA"/>
    <w:rsid w:val="00A639E4"/>
    <w:rsid w:val="00A650D8"/>
    <w:rsid w:val="00A66013"/>
    <w:rsid w:val="00A66039"/>
    <w:rsid w:val="00A6607B"/>
    <w:rsid w:val="00A660C4"/>
    <w:rsid w:val="00A733CC"/>
    <w:rsid w:val="00A812F1"/>
    <w:rsid w:val="00A82A74"/>
    <w:rsid w:val="00A84AD8"/>
    <w:rsid w:val="00A8505C"/>
    <w:rsid w:val="00A87228"/>
    <w:rsid w:val="00A90136"/>
    <w:rsid w:val="00A94143"/>
    <w:rsid w:val="00A94B73"/>
    <w:rsid w:val="00A94FB5"/>
    <w:rsid w:val="00AA052D"/>
    <w:rsid w:val="00AA1D31"/>
    <w:rsid w:val="00AA2843"/>
    <w:rsid w:val="00AA3C5B"/>
    <w:rsid w:val="00AA5A63"/>
    <w:rsid w:val="00AB007B"/>
    <w:rsid w:val="00AB1BAC"/>
    <w:rsid w:val="00AC18CB"/>
    <w:rsid w:val="00AD054B"/>
    <w:rsid w:val="00AD22D9"/>
    <w:rsid w:val="00AD60AA"/>
    <w:rsid w:val="00AF0B33"/>
    <w:rsid w:val="00AF1210"/>
    <w:rsid w:val="00AF13D1"/>
    <w:rsid w:val="00AF239E"/>
    <w:rsid w:val="00AF2BA1"/>
    <w:rsid w:val="00B00313"/>
    <w:rsid w:val="00B005B0"/>
    <w:rsid w:val="00B0162B"/>
    <w:rsid w:val="00B02404"/>
    <w:rsid w:val="00B05DFC"/>
    <w:rsid w:val="00B06361"/>
    <w:rsid w:val="00B10912"/>
    <w:rsid w:val="00B11695"/>
    <w:rsid w:val="00B12109"/>
    <w:rsid w:val="00B12866"/>
    <w:rsid w:val="00B12F5C"/>
    <w:rsid w:val="00B1498A"/>
    <w:rsid w:val="00B21E1B"/>
    <w:rsid w:val="00B2754A"/>
    <w:rsid w:val="00B31E7C"/>
    <w:rsid w:val="00B3382E"/>
    <w:rsid w:val="00B408C6"/>
    <w:rsid w:val="00B4346F"/>
    <w:rsid w:val="00B43F8E"/>
    <w:rsid w:val="00B43FAB"/>
    <w:rsid w:val="00B45933"/>
    <w:rsid w:val="00B4665B"/>
    <w:rsid w:val="00B46837"/>
    <w:rsid w:val="00B46F1A"/>
    <w:rsid w:val="00B474F7"/>
    <w:rsid w:val="00B47B0C"/>
    <w:rsid w:val="00B56085"/>
    <w:rsid w:val="00B6313B"/>
    <w:rsid w:val="00B662BE"/>
    <w:rsid w:val="00B72428"/>
    <w:rsid w:val="00B72626"/>
    <w:rsid w:val="00B737F8"/>
    <w:rsid w:val="00B83202"/>
    <w:rsid w:val="00B87861"/>
    <w:rsid w:val="00B879AD"/>
    <w:rsid w:val="00B9107F"/>
    <w:rsid w:val="00B91364"/>
    <w:rsid w:val="00B95174"/>
    <w:rsid w:val="00B97100"/>
    <w:rsid w:val="00BA0B82"/>
    <w:rsid w:val="00BA1B38"/>
    <w:rsid w:val="00BA293A"/>
    <w:rsid w:val="00BA3A37"/>
    <w:rsid w:val="00BA5494"/>
    <w:rsid w:val="00BA73FE"/>
    <w:rsid w:val="00BA74BC"/>
    <w:rsid w:val="00BB2336"/>
    <w:rsid w:val="00BB3B72"/>
    <w:rsid w:val="00BB5B9A"/>
    <w:rsid w:val="00BB61A4"/>
    <w:rsid w:val="00BB7992"/>
    <w:rsid w:val="00BC1D9D"/>
    <w:rsid w:val="00BC2C9F"/>
    <w:rsid w:val="00BD2AF5"/>
    <w:rsid w:val="00BD3221"/>
    <w:rsid w:val="00BD32CC"/>
    <w:rsid w:val="00BD4B22"/>
    <w:rsid w:val="00BD6A7D"/>
    <w:rsid w:val="00BD6C21"/>
    <w:rsid w:val="00BD6E20"/>
    <w:rsid w:val="00BD7AFB"/>
    <w:rsid w:val="00BE1503"/>
    <w:rsid w:val="00BE22AE"/>
    <w:rsid w:val="00BE4A31"/>
    <w:rsid w:val="00BE5779"/>
    <w:rsid w:val="00BE7FD4"/>
    <w:rsid w:val="00BF1158"/>
    <w:rsid w:val="00BF26D6"/>
    <w:rsid w:val="00BF5544"/>
    <w:rsid w:val="00BF55E6"/>
    <w:rsid w:val="00BF5E08"/>
    <w:rsid w:val="00C01476"/>
    <w:rsid w:val="00C0535C"/>
    <w:rsid w:val="00C05872"/>
    <w:rsid w:val="00C06E85"/>
    <w:rsid w:val="00C1271E"/>
    <w:rsid w:val="00C13F66"/>
    <w:rsid w:val="00C160CD"/>
    <w:rsid w:val="00C17445"/>
    <w:rsid w:val="00C20FF5"/>
    <w:rsid w:val="00C230DE"/>
    <w:rsid w:val="00C23301"/>
    <w:rsid w:val="00C26945"/>
    <w:rsid w:val="00C309F6"/>
    <w:rsid w:val="00C339F8"/>
    <w:rsid w:val="00C33B97"/>
    <w:rsid w:val="00C3445D"/>
    <w:rsid w:val="00C34A80"/>
    <w:rsid w:val="00C42CCF"/>
    <w:rsid w:val="00C4483B"/>
    <w:rsid w:val="00C4507A"/>
    <w:rsid w:val="00C45544"/>
    <w:rsid w:val="00C4580C"/>
    <w:rsid w:val="00C45B0A"/>
    <w:rsid w:val="00C47550"/>
    <w:rsid w:val="00C47FD0"/>
    <w:rsid w:val="00C64890"/>
    <w:rsid w:val="00C70021"/>
    <w:rsid w:val="00C712A1"/>
    <w:rsid w:val="00C713B9"/>
    <w:rsid w:val="00C7523A"/>
    <w:rsid w:val="00C76F92"/>
    <w:rsid w:val="00C770AB"/>
    <w:rsid w:val="00C7746C"/>
    <w:rsid w:val="00C80153"/>
    <w:rsid w:val="00C81AE6"/>
    <w:rsid w:val="00C83B18"/>
    <w:rsid w:val="00C853A3"/>
    <w:rsid w:val="00C85CD5"/>
    <w:rsid w:val="00C875D2"/>
    <w:rsid w:val="00C90BC0"/>
    <w:rsid w:val="00C90F0B"/>
    <w:rsid w:val="00C92C43"/>
    <w:rsid w:val="00C939D7"/>
    <w:rsid w:val="00C95687"/>
    <w:rsid w:val="00C95FCF"/>
    <w:rsid w:val="00C96E45"/>
    <w:rsid w:val="00C96E70"/>
    <w:rsid w:val="00C97BF1"/>
    <w:rsid w:val="00C97F9B"/>
    <w:rsid w:val="00CA0EB4"/>
    <w:rsid w:val="00CA2372"/>
    <w:rsid w:val="00CA25C5"/>
    <w:rsid w:val="00CA4936"/>
    <w:rsid w:val="00CA5FED"/>
    <w:rsid w:val="00CA690E"/>
    <w:rsid w:val="00CA7180"/>
    <w:rsid w:val="00CB494D"/>
    <w:rsid w:val="00CC2824"/>
    <w:rsid w:val="00CC3404"/>
    <w:rsid w:val="00CC37CD"/>
    <w:rsid w:val="00CC46DB"/>
    <w:rsid w:val="00CC577E"/>
    <w:rsid w:val="00CD0598"/>
    <w:rsid w:val="00CD3DB2"/>
    <w:rsid w:val="00CD4D66"/>
    <w:rsid w:val="00CE123B"/>
    <w:rsid w:val="00CE1DD1"/>
    <w:rsid w:val="00CE2092"/>
    <w:rsid w:val="00CE6B3F"/>
    <w:rsid w:val="00CF21BA"/>
    <w:rsid w:val="00CF5877"/>
    <w:rsid w:val="00CF5919"/>
    <w:rsid w:val="00CF621D"/>
    <w:rsid w:val="00CF725C"/>
    <w:rsid w:val="00D01824"/>
    <w:rsid w:val="00D0597F"/>
    <w:rsid w:val="00D111D7"/>
    <w:rsid w:val="00D1280D"/>
    <w:rsid w:val="00D12D11"/>
    <w:rsid w:val="00D14601"/>
    <w:rsid w:val="00D15C67"/>
    <w:rsid w:val="00D21E60"/>
    <w:rsid w:val="00D22244"/>
    <w:rsid w:val="00D22FB3"/>
    <w:rsid w:val="00D23640"/>
    <w:rsid w:val="00D270AF"/>
    <w:rsid w:val="00D27DA1"/>
    <w:rsid w:val="00D311C7"/>
    <w:rsid w:val="00D31825"/>
    <w:rsid w:val="00D33EA0"/>
    <w:rsid w:val="00D37126"/>
    <w:rsid w:val="00D41304"/>
    <w:rsid w:val="00D50BB5"/>
    <w:rsid w:val="00D518FD"/>
    <w:rsid w:val="00D52D60"/>
    <w:rsid w:val="00D546E2"/>
    <w:rsid w:val="00D549FC"/>
    <w:rsid w:val="00D55935"/>
    <w:rsid w:val="00D62699"/>
    <w:rsid w:val="00D6293B"/>
    <w:rsid w:val="00D64361"/>
    <w:rsid w:val="00D65CD6"/>
    <w:rsid w:val="00D7307D"/>
    <w:rsid w:val="00D75427"/>
    <w:rsid w:val="00D75503"/>
    <w:rsid w:val="00D76171"/>
    <w:rsid w:val="00D765D5"/>
    <w:rsid w:val="00D767B6"/>
    <w:rsid w:val="00D808CF"/>
    <w:rsid w:val="00D80A52"/>
    <w:rsid w:val="00D81C0A"/>
    <w:rsid w:val="00D90410"/>
    <w:rsid w:val="00D90B3B"/>
    <w:rsid w:val="00D93AE9"/>
    <w:rsid w:val="00D956DC"/>
    <w:rsid w:val="00D95BAA"/>
    <w:rsid w:val="00D95CF8"/>
    <w:rsid w:val="00D96F6D"/>
    <w:rsid w:val="00DA096B"/>
    <w:rsid w:val="00DA375C"/>
    <w:rsid w:val="00DA476E"/>
    <w:rsid w:val="00DA4D9C"/>
    <w:rsid w:val="00DA5208"/>
    <w:rsid w:val="00DA54E3"/>
    <w:rsid w:val="00DA586D"/>
    <w:rsid w:val="00DA6A53"/>
    <w:rsid w:val="00DB075D"/>
    <w:rsid w:val="00DB15CC"/>
    <w:rsid w:val="00DB6DA2"/>
    <w:rsid w:val="00DC0793"/>
    <w:rsid w:val="00DC1761"/>
    <w:rsid w:val="00DC1FCC"/>
    <w:rsid w:val="00DC2D37"/>
    <w:rsid w:val="00DC5F39"/>
    <w:rsid w:val="00DC678B"/>
    <w:rsid w:val="00DD4158"/>
    <w:rsid w:val="00DD4FD2"/>
    <w:rsid w:val="00DD6EE3"/>
    <w:rsid w:val="00DD7E65"/>
    <w:rsid w:val="00DE067E"/>
    <w:rsid w:val="00DE0C32"/>
    <w:rsid w:val="00DE1968"/>
    <w:rsid w:val="00DE1C19"/>
    <w:rsid w:val="00DE2E60"/>
    <w:rsid w:val="00DE3A8C"/>
    <w:rsid w:val="00DE5209"/>
    <w:rsid w:val="00DF08D1"/>
    <w:rsid w:val="00DF38EC"/>
    <w:rsid w:val="00DF4662"/>
    <w:rsid w:val="00DF5DF0"/>
    <w:rsid w:val="00E01DD4"/>
    <w:rsid w:val="00E035C5"/>
    <w:rsid w:val="00E04F46"/>
    <w:rsid w:val="00E05E66"/>
    <w:rsid w:val="00E108A3"/>
    <w:rsid w:val="00E113CD"/>
    <w:rsid w:val="00E118A6"/>
    <w:rsid w:val="00E11B93"/>
    <w:rsid w:val="00E15971"/>
    <w:rsid w:val="00E1651A"/>
    <w:rsid w:val="00E21415"/>
    <w:rsid w:val="00E21EB7"/>
    <w:rsid w:val="00E24225"/>
    <w:rsid w:val="00E42563"/>
    <w:rsid w:val="00E43A93"/>
    <w:rsid w:val="00E4495F"/>
    <w:rsid w:val="00E473C9"/>
    <w:rsid w:val="00E543DD"/>
    <w:rsid w:val="00E545CB"/>
    <w:rsid w:val="00E54E24"/>
    <w:rsid w:val="00E5679A"/>
    <w:rsid w:val="00E568BE"/>
    <w:rsid w:val="00E6080B"/>
    <w:rsid w:val="00E6169B"/>
    <w:rsid w:val="00E6487F"/>
    <w:rsid w:val="00E64C24"/>
    <w:rsid w:val="00E67642"/>
    <w:rsid w:val="00E70283"/>
    <w:rsid w:val="00E71742"/>
    <w:rsid w:val="00E7279D"/>
    <w:rsid w:val="00E7345C"/>
    <w:rsid w:val="00E73EB6"/>
    <w:rsid w:val="00E7406E"/>
    <w:rsid w:val="00E747A7"/>
    <w:rsid w:val="00E75339"/>
    <w:rsid w:val="00E76DAF"/>
    <w:rsid w:val="00E805AD"/>
    <w:rsid w:val="00E80E2D"/>
    <w:rsid w:val="00E83B84"/>
    <w:rsid w:val="00E854D4"/>
    <w:rsid w:val="00E920E5"/>
    <w:rsid w:val="00E926BF"/>
    <w:rsid w:val="00E9386E"/>
    <w:rsid w:val="00E959BC"/>
    <w:rsid w:val="00E96859"/>
    <w:rsid w:val="00EA459E"/>
    <w:rsid w:val="00EA52B1"/>
    <w:rsid w:val="00EA61A1"/>
    <w:rsid w:val="00EA6CDB"/>
    <w:rsid w:val="00EA79A0"/>
    <w:rsid w:val="00EB2C91"/>
    <w:rsid w:val="00EB5D88"/>
    <w:rsid w:val="00EB5EC8"/>
    <w:rsid w:val="00EB5FDE"/>
    <w:rsid w:val="00EB6299"/>
    <w:rsid w:val="00EC0E01"/>
    <w:rsid w:val="00EC1A72"/>
    <w:rsid w:val="00EC1D61"/>
    <w:rsid w:val="00EC23DF"/>
    <w:rsid w:val="00EC481F"/>
    <w:rsid w:val="00EC63AB"/>
    <w:rsid w:val="00EC69DC"/>
    <w:rsid w:val="00ED0344"/>
    <w:rsid w:val="00ED14A8"/>
    <w:rsid w:val="00ED2E92"/>
    <w:rsid w:val="00ED3F22"/>
    <w:rsid w:val="00ED4B96"/>
    <w:rsid w:val="00ED5823"/>
    <w:rsid w:val="00ED5AE3"/>
    <w:rsid w:val="00EE1D66"/>
    <w:rsid w:val="00EF042C"/>
    <w:rsid w:val="00EF1379"/>
    <w:rsid w:val="00EF2943"/>
    <w:rsid w:val="00EF2D3E"/>
    <w:rsid w:val="00EF43F1"/>
    <w:rsid w:val="00EF61AA"/>
    <w:rsid w:val="00F0333B"/>
    <w:rsid w:val="00F07A7D"/>
    <w:rsid w:val="00F100D1"/>
    <w:rsid w:val="00F1493F"/>
    <w:rsid w:val="00F16D00"/>
    <w:rsid w:val="00F172F1"/>
    <w:rsid w:val="00F20CF8"/>
    <w:rsid w:val="00F20F0E"/>
    <w:rsid w:val="00F254C0"/>
    <w:rsid w:val="00F30241"/>
    <w:rsid w:val="00F33405"/>
    <w:rsid w:val="00F3374C"/>
    <w:rsid w:val="00F3751D"/>
    <w:rsid w:val="00F409D9"/>
    <w:rsid w:val="00F43B79"/>
    <w:rsid w:val="00F4403A"/>
    <w:rsid w:val="00F44C0E"/>
    <w:rsid w:val="00F51754"/>
    <w:rsid w:val="00F52DD7"/>
    <w:rsid w:val="00F56058"/>
    <w:rsid w:val="00F57BF5"/>
    <w:rsid w:val="00F61109"/>
    <w:rsid w:val="00F61916"/>
    <w:rsid w:val="00F61DC7"/>
    <w:rsid w:val="00F632C1"/>
    <w:rsid w:val="00F7160F"/>
    <w:rsid w:val="00F74DD6"/>
    <w:rsid w:val="00F77E9A"/>
    <w:rsid w:val="00F825E7"/>
    <w:rsid w:val="00F8267A"/>
    <w:rsid w:val="00F84FE9"/>
    <w:rsid w:val="00F85FE7"/>
    <w:rsid w:val="00F867EC"/>
    <w:rsid w:val="00F86AD4"/>
    <w:rsid w:val="00F8776A"/>
    <w:rsid w:val="00F90240"/>
    <w:rsid w:val="00F920B5"/>
    <w:rsid w:val="00F94C47"/>
    <w:rsid w:val="00F951B2"/>
    <w:rsid w:val="00F9527B"/>
    <w:rsid w:val="00F95A61"/>
    <w:rsid w:val="00F968A6"/>
    <w:rsid w:val="00F96B33"/>
    <w:rsid w:val="00F97DF8"/>
    <w:rsid w:val="00FA05EB"/>
    <w:rsid w:val="00FA5651"/>
    <w:rsid w:val="00FA7011"/>
    <w:rsid w:val="00FA75AD"/>
    <w:rsid w:val="00FB042D"/>
    <w:rsid w:val="00FB0866"/>
    <w:rsid w:val="00FB66FD"/>
    <w:rsid w:val="00FC2C4E"/>
    <w:rsid w:val="00FC49DB"/>
    <w:rsid w:val="00FC4CBB"/>
    <w:rsid w:val="00FD1A21"/>
    <w:rsid w:val="00FD1AE7"/>
    <w:rsid w:val="00FD1F43"/>
    <w:rsid w:val="00FD2549"/>
    <w:rsid w:val="00FD2AE8"/>
    <w:rsid w:val="00FD3469"/>
    <w:rsid w:val="00FD3B15"/>
    <w:rsid w:val="00FD4515"/>
    <w:rsid w:val="00FD4CFF"/>
    <w:rsid w:val="00FE0A58"/>
    <w:rsid w:val="00FE2186"/>
    <w:rsid w:val="00FE28A6"/>
    <w:rsid w:val="00FE313E"/>
    <w:rsid w:val="00FE565B"/>
    <w:rsid w:val="00FE56BB"/>
    <w:rsid w:val="00FE5A0C"/>
    <w:rsid w:val="00FE62F7"/>
    <w:rsid w:val="00FE774A"/>
    <w:rsid w:val="00FE7CB9"/>
    <w:rsid w:val="00FF1BD1"/>
    <w:rsid w:val="00FF5A62"/>
    <w:rsid w:val="00FF6BF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4FD86"/>
  <w15:docId w15:val="{3AE21912-3E8D-40D8-8180-43B2374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B7D"/>
  </w:style>
  <w:style w:type="paragraph" w:styleId="Heading1">
    <w:name w:val="heading 1"/>
    <w:basedOn w:val="Normal"/>
    <w:next w:val="Normal"/>
    <w:rsid w:val="00BD6E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D6E20"/>
    <w:pPr>
      <w:keepNext/>
      <w:keepLines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rsid w:val="00BD6E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D6E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D6E2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D6E20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D6E2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rsid w:val="00BD6E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BD6E2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0C"/>
  </w:style>
  <w:style w:type="paragraph" w:styleId="Footer">
    <w:name w:val="footer"/>
    <w:basedOn w:val="Normal"/>
    <w:link w:val="Foot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0C"/>
  </w:style>
  <w:style w:type="character" w:styleId="CommentReference">
    <w:name w:val="annotation reference"/>
    <w:basedOn w:val="DefaultParagraphFont"/>
    <w:uiPriority w:val="99"/>
    <w:semiHidden/>
    <w:unhideWhenUsed/>
    <w:rsid w:val="0095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B2"/>
    <w:rPr>
      <w:b/>
      <w:bCs/>
      <w:sz w:val="20"/>
      <w:szCs w:val="20"/>
    </w:rPr>
  </w:style>
  <w:style w:type="paragraph" w:styleId="NoSpacing">
    <w:name w:val="No Spacing"/>
    <w:uiPriority w:val="1"/>
    <w:qFormat/>
    <w:rsid w:val="00E60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C8E9B2B75EE47A37094EB0DDD326B" ma:contentTypeVersion="14" ma:contentTypeDescription="Create a new document." ma:contentTypeScope="" ma:versionID="2b8779521746d7ef34f18c46d59758ed">
  <xsd:schema xmlns:xsd="http://www.w3.org/2001/XMLSchema" xmlns:xs="http://www.w3.org/2001/XMLSchema" xmlns:p="http://schemas.microsoft.com/office/2006/metadata/properties" xmlns:ns3="3a42bfe0-eaf4-4a53-bd23-101af9684bc7" xmlns:ns4="13cf06ad-dfd7-46c0-a304-5f5a126f6cdd" targetNamespace="http://schemas.microsoft.com/office/2006/metadata/properties" ma:root="true" ma:fieldsID="bba13a4b63bdb865511803ad15c20c78" ns3:_="" ns4:_="">
    <xsd:import namespace="3a42bfe0-eaf4-4a53-bd23-101af9684bc7"/>
    <xsd:import namespace="13cf06ad-dfd7-46c0-a304-5f5a126f6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2bfe0-eaf4-4a53-bd23-101af9684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06ad-dfd7-46c0-a304-5f5a126f6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47EDC-C59F-4804-B3A9-F79CF901F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1E4DC-974E-457E-8806-7430C827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2bfe0-eaf4-4a53-bd23-101af9684bc7"/>
    <ds:schemaRef ds:uri="13cf06ad-dfd7-46c0-a304-5f5a126f6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8A95B-0D5D-4066-96F7-01C5D37BA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E3B80B-09E4-4998-AF9D-15FCA9697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Scott</dc:creator>
  <cp:keywords/>
  <dc:description/>
  <cp:lastModifiedBy>Patricia C. Scott</cp:lastModifiedBy>
  <cp:revision>3</cp:revision>
  <cp:lastPrinted>2022-04-13T18:26:00Z</cp:lastPrinted>
  <dcterms:created xsi:type="dcterms:W3CDTF">2022-07-11T13:28:00Z</dcterms:created>
  <dcterms:modified xsi:type="dcterms:W3CDTF">2022-07-11T13:29:00Z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0x0101008B8C8E9B2B75EE47A37094EB0DDD326B</vt:lpwstr>
  </property>
</Properties>
</file>