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858" w:rsidRDefault="00432858">
      <w:pPr>
        <w:shd w:val="clear" w:color="auto" w:fill="FFFFFF"/>
        <w:spacing w:after="0" w:line="240" w:lineRule="auto"/>
        <w:ind w:right="-270"/>
        <w:jc w:val="center"/>
        <w:rPr>
          <w:b/>
          <w:color w:val="000000"/>
          <w:sz w:val="28"/>
          <w:szCs w:val="28"/>
        </w:rPr>
      </w:pPr>
      <w:bookmarkStart w:id="0" w:name="_GoBack"/>
      <w:bookmarkEnd w:id="0"/>
    </w:p>
    <w:p w:rsidR="00432858" w:rsidRDefault="00EC19C3">
      <w:pPr>
        <w:shd w:val="clear" w:color="auto" w:fill="FFFFFF"/>
        <w:spacing w:after="0" w:line="240" w:lineRule="auto"/>
        <w:ind w:right="-270"/>
        <w:jc w:val="center"/>
        <w:rPr>
          <w:b/>
          <w:color w:val="000000"/>
          <w:sz w:val="28"/>
          <w:szCs w:val="28"/>
        </w:rPr>
      </w:pPr>
      <w:bookmarkStart w:id="1" w:name="_heading=h.gjdgxs" w:colFirst="0" w:colLast="0"/>
      <w:bookmarkEnd w:id="1"/>
      <w:r>
        <w:rPr>
          <w:b/>
          <w:color w:val="000000"/>
          <w:sz w:val="28"/>
          <w:szCs w:val="28"/>
        </w:rPr>
        <w:t xml:space="preserve">RSAI </w:t>
      </w:r>
      <w:r w:rsidR="00CC0A1F">
        <w:rPr>
          <w:b/>
          <w:color w:val="000000"/>
          <w:sz w:val="28"/>
          <w:szCs w:val="28"/>
        </w:rPr>
        <w:t xml:space="preserve">LEGISLATIVE </w:t>
      </w:r>
      <w:r w:rsidR="00A67C6B">
        <w:rPr>
          <w:b/>
          <w:color w:val="000000"/>
          <w:sz w:val="28"/>
          <w:szCs w:val="28"/>
        </w:rPr>
        <w:t>PRIORITIES</w:t>
      </w:r>
    </w:p>
    <w:p w:rsidR="00432858" w:rsidRDefault="00432858">
      <w:pPr>
        <w:shd w:val="clear" w:color="auto" w:fill="FFFFFF"/>
        <w:spacing w:after="0" w:line="240" w:lineRule="auto"/>
        <w:ind w:right="-270"/>
        <w:rPr>
          <w:color w:val="000000"/>
          <w:sz w:val="24"/>
          <w:szCs w:val="24"/>
        </w:rPr>
      </w:pPr>
    </w:p>
    <w:p w:rsidR="00432858" w:rsidRPr="009A681A" w:rsidRDefault="009A681A" w:rsidP="00CC0A1F">
      <w:pPr>
        <w:shd w:val="clear" w:color="auto" w:fill="FFFFFF"/>
        <w:spacing w:after="0" w:line="240" w:lineRule="auto"/>
        <w:ind w:right="-270"/>
        <w:jc w:val="center"/>
        <w:rPr>
          <w:b/>
          <w:color w:val="000000"/>
          <w:sz w:val="28"/>
          <w:szCs w:val="28"/>
        </w:rPr>
      </w:pPr>
      <w:r>
        <w:rPr>
          <w:b/>
          <w:color w:val="000000"/>
          <w:sz w:val="28"/>
          <w:szCs w:val="28"/>
        </w:rPr>
        <w:t>Top Priorities for the 2025 Legislative Session</w:t>
      </w:r>
    </w:p>
    <w:p w:rsidR="00733BE6" w:rsidRPr="009A681A" w:rsidRDefault="00733BE6" w:rsidP="00CC0A1F">
      <w:pPr>
        <w:shd w:val="clear" w:color="auto" w:fill="FFFFFF"/>
        <w:spacing w:after="0" w:line="240" w:lineRule="auto"/>
        <w:ind w:right="-270"/>
        <w:jc w:val="center"/>
        <w:rPr>
          <w:color w:val="000000"/>
          <w:szCs w:val="28"/>
        </w:rPr>
      </w:pPr>
      <w:r w:rsidRPr="009A681A">
        <w:rPr>
          <w:color w:val="000000"/>
          <w:szCs w:val="28"/>
        </w:rPr>
        <w:t>As approved by members at the Oct. 15 Annual Meeting and by the Nov. 13 Leadership Group</w:t>
      </w:r>
    </w:p>
    <w:p w:rsidR="00CC0A1F" w:rsidRDefault="00CC0A1F">
      <w:pPr>
        <w:shd w:val="clear" w:color="auto" w:fill="FFFFFF"/>
        <w:spacing w:after="0" w:line="240" w:lineRule="auto"/>
        <w:ind w:left="-18"/>
        <w:rPr>
          <w:b/>
          <w:color w:val="000000"/>
          <w:sz w:val="24"/>
          <w:szCs w:val="24"/>
        </w:rPr>
      </w:pPr>
    </w:p>
    <w:p w:rsidR="00CC0A1F" w:rsidRPr="00CC0A1F" w:rsidRDefault="00DC5466">
      <w:pPr>
        <w:shd w:val="clear" w:color="auto" w:fill="FFFFFF"/>
        <w:spacing w:after="0" w:line="240" w:lineRule="auto"/>
        <w:ind w:left="-18"/>
        <w:rPr>
          <w:color w:val="000000"/>
          <w:sz w:val="24"/>
          <w:szCs w:val="24"/>
          <w:u w:val="single"/>
        </w:rPr>
      </w:pPr>
      <w:r w:rsidRPr="00CC0A1F">
        <w:rPr>
          <w:b/>
          <w:color w:val="000000"/>
          <w:sz w:val="24"/>
          <w:szCs w:val="24"/>
          <w:u w:val="single"/>
        </w:rPr>
        <w:t>Adequate School Resources:</w:t>
      </w:r>
      <w:r w:rsidRPr="00CC0A1F">
        <w:rPr>
          <w:color w:val="000000"/>
          <w:sz w:val="24"/>
          <w:szCs w:val="24"/>
          <w:u w:val="single"/>
        </w:rPr>
        <w:t xml:space="preserve"> </w:t>
      </w:r>
    </w:p>
    <w:p w:rsidR="00432858" w:rsidRPr="009A681A" w:rsidRDefault="00CC0A1F">
      <w:pPr>
        <w:shd w:val="clear" w:color="auto" w:fill="FFFFFF"/>
        <w:spacing w:after="0" w:line="240" w:lineRule="auto"/>
        <w:ind w:left="-18"/>
        <w:rPr>
          <w:color w:val="000000"/>
          <w:sz w:val="24"/>
          <w:szCs w:val="24"/>
        </w:rPr>
      </w:pPr>
      <w:r w:rsidRPr="009A681A">
        <w:rPr>
          <w:color w:val="000000"/>
          <w:sz w:val="24"/>
          <w:szCs w:val="24"/>
        </w:rPr>
        <w:t>T</w:t>
      </w:r>
      <w:r w:rsidR="00DC5466" w:rsidRPr="009A681A">
        <w:rPr>
          <w:color w:val="000000"/>
          <w:sz w:val="24"/>
          <w:szCs w:val="24"/>
        </w:rPr>
        <w:t xml:space="preserve">he increase in SSA provides resources for Iowa schools to deliver an educational experience for students that meets the expectations of Iowa parents, communities, employers and policymakers. </w:t>
      </w:r>
      <w:r w:rsidR="00DC5466" w:rsidRPr="009A681A">
        <w:rPr>
          <w:b/>
          <w:color w:val="000000"/>
          <w:sz w:val="24"/>
          <w:szCs w:val="24"/>
          <w:highlight w:val="white"/>
        </w:rPr>
        <w:t xml:space="preserve">Iowa’s school foundation formula must </w:t>
      </w:r>
      <w:r w:rsidR="00DC5466" w:rsidRPr="009A681A">
        <w:rPr>
          <w:b/>
          <w:color w:val="000000"/>
          <w:sz w:val="24"/>
          <w:szCs w:val="24"/>
        </w:rPr>
        <w:t xml:space="preserve">maintain balanced </w:t>
      </w:r>
      <w:r w:rsidR="00DC5466" w:rsidRPr="009A681A">
        <w:rPr>
          <w:b/>
          <w:sz w:val="24"/>
          <w:szCs w:val="24"/>
        </w:rPr>
        <w:t xml:space="preserve">state </w:t>
      </w:r>
      <w:r w:rsidR="00DC5466" w:rsidRPr="009A681A">
        <w:rPr>
          <w:b/>
          <w:color w:val="000000"/>
          <w:sz w:val="24"/>
          <w:szCs w:val="24"/>
        </w:rPr>
        <w:t>and local resources, be predictable, at least minimally exceed inflation, allow schools to compete for labor, and assure adequate time for budget planning and staffing.</w:t>
      </w:r>
      <w:r w:rsidR="00DC5466" w:rsidRPr="009A681A">
        <w:rPr>
          <w:color w:val="000000"/>
          <w:sz w:val="24"/>
          <w:szCs w:val="24"/>
        </w:rPr>
        <w:t xml:space="preserve"> What schools can deliver is dependent on the level of funding provided, which begins with the 2025-26 school year and requires a consistent and sustainable commitment</w:t>
      </w:r>
      <w:r w:rsidR="00264CF0" w:rsidRPr="009A681A">
        <w:rPr>
          <w:color w:val="000000"/>
          <w:sz w:val="24"/>
          <w:szCs w:val="24"/>
        </w:rPr>
        <w:t>.</w:t>
      </w:r>
    </w:p>
    <w:p w:rsidR="00432858" w:rsidRPr="009A681A" w:rsidRDefault="00432858">
      <w:pPr>
        <w:shd w:val="clear" w:color="auto" w:fill="FFFFFF"/>
        <w:spacing w:after="0" w:line="240" w:lineRule="auto"/>
        <w:ind w:left="-18"/>
        <w:rPr>
          <w:color w:val="000000"/>
          <w:sz w:val="24"/>
          <w:szCs w:val="24"/>
        </w:rPr>
      </w:pPr>
    </w:p>
    <w:p w:rsidR="00432858" w:rsidRPr="009A681A" w:rsidRDefault="00DC5466" w:rsidP="00CC0A1F">
      <w:pPr>
        <w:pBdr>
          <w:top w:val="nil"/>
          <w:left w:val="nil"/>
          <w:bottom w:val="nil"/>
          <w:right w:val="nil"/>
          <w:between w:val="nil"/>
        </w:pBdr>
        <w:shd w:val="clear" w:color="auto" w:fill="FFFFFF"/>
        <w:spacing w:after="0" w:line="240" w:lineRule="auto"/>
        <w:rPr>
          <w:color w:val="000000"/>
          <w:sz w:val="24"/>
          <w:szCs w:val="24"/>
        </w:rPr>
      </w:pPr>
      <w:r w:rsidRPr="009A681A">
        <w:rPr>
          <w:color w:val="000000"/>
          <w:sz w:val="24"/>
          <w:szCs w:val="24"/>
        </w:rPr>
        <w:t xml:space="preserve">Impact of AEA changes: rural schools may not be able to afford the services, especially education </w:t>
      </w:r>
      <w:r w:rsidR="00735539" w:rsidRPr="009A681A">
        <w:rPr>
          <w:color w:val="000000"/>
          <w:sz w:val="24"/>
          <w:szCs w:val="24"/>
        </w:rPr>
        <w:t xml:space="preserve">services (such as crisis support, instructional materials and professional development) </w:t>
      </w:r>
      <w:r w:rsidRPr="009A681A">
        <w:rPr>
          <w:color w:val="000000"/>
          <w:sz w:val="24"/>
          <w:szCs w:val="24"/>
        </w:rPr>
        <w:t>and media services</w:t>
      </w:r>
      <w:r w:rsidR="00735539" w:rsidRPr="009A681A">
        <w:rPr>
          <w:color w:val="000000"/>
          <w:sz w:val="24"/>
          <w:szCs w:val="24"/>
        </w:rPr>
        <w:t xml:space="preserve"> (such as software, technical equipment, and virtual libraries)</w:t>
      </w:r>
      <w:r w:rsidRPr="009A681A">
        <w:rPr>
          <w:color w:val="000000"/>
          <w:sz w:val="24"/>
          <w:szCs w:val="24"/>
        </w:rPr>
        <w:t xml:space="preserve">, </w:t>
      </w:r>
      <w:r w:rsidR="00735539" w:rsidRPr="009A681A">
        <w:rPr>
          <w:color w:val="000000"/>
          <w:sz w:val="24"/>
          <w:szCs w:val="24"/>
        </w:rPr>
        <w:t>which</w:t>
      </w:r>
      <w:r w:rsidRPr="009A681A">
        <w:rPr>
          <w:color w:val="000000"/>
          <w:sz w:val="24"/>
          <w:szCs w:val="24"/>
        </w:rPr>
        <w:t xml:space="preserve"> AEAs used to provide, given changes in economy of scale and AEA staffing challenges. Without sufficient increases in SSA to cover these costs</w:t>
      </w:r>
      <w:r w:rsidR="00735539" w:rsidRPr="009A681A">
        <w:rPr>
          <w:color w:val="000000"/>
          <w:sz w:val="24"/>
          <w:szCs w:val="24"/>
        </w:rPr>
        <w:t xml:space="preserve"> combined with fewer dollars provided to the AEAs, </w:t>
      </w:r>
      <w:r w:rsidRPr="009A681A">
        <w:rPr>
          <w:color w:val="000000"/>
          <w:sz w:val="24"/>
          <w:szCs w:val="24"/>
        </w:rPr>
        <w:t xml:space="preserve">rural school students and staff may not be able to access or afford the support that AEAs have provided in the past. </w:t>
      </w:r>
    </w:p>
    <w:p w:rsidR="00432858" w:rsidRDefault="00432858">
      <w:pPr>
        <w:shd w:val="clear" w:color="auto" w:fill="FFFFFF"/>
        <w:spacing w:after="0" w:line="240" w:lineRule="auto"/>
        <w:ind w:right="-270"/>
        <w:rPr>
          <w:color w:val="000000"/>
          <w:sz w:val="24"/>
          <w:szCs w:val="24"/>
        </w:rPr>
      </w:pPr>
    </w:p>
    <w:p w:rsidR="00CC0A1F" w:rsidRPr="00CC0A1F" w:rsidRDefault="00CC0A1F">
      <w:pPr>
        <w:spacing w:after="0" w:line="240" w:lineRule="auto"/>
        <w:ind w:right="54"/>
        <w:rPr>
          <w:b/>
          <w:color w:val="000000"/>
          <w:sz w:val="24"/>
          <w:szCs w:val="24"/>
          <w:u w:val="single"/>
        </w:rPr>
      </w:pPr>
      <w:r>
        <w:rPr>
          <w:b/>
          <w:color w:val="000000"/>
          <w:sz w:val="24"/>
          <w:szCs w:val="24"/>
          <w:u w:val="single"/>
        </w:rPr>
        <w:t xml:space="preserve">Address </w:t>
      </w:r>
      <w:r w:rsidR="00DC5466" w:rsidRPr="00CC0A1F">
        <w:rPr>
          <w:b/>
          <w:color w:val="000000"/>
          <w:sz w:val="24"/>
          <w:szCs w:val="24"/>
          <w:u w:val="single"/>
        </w:rPr>
        <w:t xml:space="preserve">Staff Shortages: </w:t>
      </w:r>
    </w:p>
    <w:p w:rsidR="00432858" w:rsidRPr="009A681A" w:rsidRDefault="00DC5466">
      <w:pPr>
        <w:spacing w:after="0" w:line="240" w:lineRule="auto"/>
        <w:ind w:right="54"/>
        <w:rPr>
          <w:color w:val="000000"/>
          <w:sz w:val="24"/>
          <w:szCs w:val="24"/>
        </w:rPr>
      </w:pPr>
      <w:r w:rsidRPr="009A681A">
        <w:rPr>
          <w:color w:val="000000"/>
          <w:sz w:val="24"/>
          <w:szCs w:val="24"/>
        </w:rPr>
        <w:t xml:space="preserve">In both the short and long term, policies based on trust </w:t>
      </w:r>
      <w:r w:rsidR="006C0CDA" w:rsidRPr="009A681A">
        <w:rPr>
          <w:color w:val="000000"/>
          <w:sz w:val="24"/>
          <w:szCs w:val="24"/>
        </w:rPr>
        <w:t xml:space="preserve">that </w:t>
      </w:r>
      <w:r w:rsidRPr="009A681A">
        <w:rPr>
          <w:color w:val="000000"/>
          <w:sz w:val="24"/>
          <w:szCs w:val="24"/>
        </w:rPr>
        <w:t xml:space="preserve">champion teaching as a valued profession and improved compensation and benefits options for educators are necessary. Iowans, especially our state leaders, must foster respect for the education profession, which is well deserved, to attract more Iowans into teaching and retain more teachers in Iowa. </w:t>
      </w:r>
    </w:p>
    <w:p w:rsidR="00432858" w:rsidRPr="009A681A" w:rsidRDefault="00432858">
      <w:pPr>
        <w:spacing w:after="0" w:line="240" w:lineRule="auto"/>
        <w:ind w:right="54"/>
        <w:rPr>
          <w:color w:val="000000"/>
          <w:szCs w:val="24"/>
        </w:rPr>
      </w:pPr>
    </w:p>
    <w:p w:rsidR="00432858" w:rsidRPr="009A681A" w:rsidRDefault="00DC5466">
      <w:pPr>
        <w:spacing w:after="0" w:line="240" w:lineRule="auto"/>
        <w:ind w:right="54"/>
        <w:rPr>
          <w:color w:val="000000"/>
          <w:szCs w:val="24"/>
        </w:rPr>
      </w:pPr>
      <w:r w:rsidRPr="009A681A">
        <w:rPr>
          <w:color w:val="000000"/>
          <w:szCs w:val="24"/>
        </w:rPr>
        <w:t>In addition to sufficient SSA and supportive messages, strategies to rebuild Iowa’s education workforce must address these areas during a continuing staff shortage:</w:t>
      </w:r>
    </w:p>
    <w:p w:rsidR="00432858" w:rsidRPr="009A681A" w:rsidRDefault="00432858">
      <w:pPr>
        <w:spacing w:after="0" w:line="240" w:lineRule="auto"/>
        <w:ind w:right="54"/>
        <w:rPr>
          <w:color w:val="000000"/>
          <w:szCs w:val="24"/>
        </w:rPr>
      </w:pPr>
    </w:p>
    <w:p w:rsidR="00432858" w:rsidRPr="009A681A" w:rsidRDefault="00DC5466">
      <w:pPr>
        <w:shd w:val="clear" w:color="auto" w:fill="FFFFFF"/>
        <w:spacing w:after="0" w:line="240" w:lineRule="auto"/>
        <w:ind w:left="720" w:right="54"/>
        <w:rPr>
          <w:color w:val="000000"/>
          <w:szCs w:val="24"/>
        </w:rPr>
      </w:pPr>
      <w:r w:rsidRPr="009A681A">
        <w:rPr>
          <w:b/>
          <w:color w:val="000000"/>
          <w:szCs w:val="24"/>
        </w:rPr>
        <w:t>Recruitment:</w:t>
      </w:r>
      <w:r w:rsidRPr="009A681A">
        <w:rPr>
          <w:color w:val="000000"/>
          <w:szCs w:val="24"/>
        </w:rPr>
        <w:t xml:space="preserve"> to rebuild the pipeline of interest into education, schools need additional flexibility and resources to provide hiring incentives, ongoing investment in CTE and internship programs for high school students to build skill and experience in education fields, resources for grow-your-own educators, </w:t>
      </w:r>
      <w:r w:rsidRPr="009A681A">
        <w:rPr>
          <w:szCs w:val="24"/>
        </w:rPr>
        <w:t>t</w:t>
      </w:r>
      <w:r w:rsidRPr="009A681A">
        <w:rPr>
          <w:color w:val="000000"/>
          <w:szCs w:val="24"/>
        </w:rPr>
        <w:t xml:space="preserve">uition assistance and pay for student teaching, and resources to offset student loans. The Governor and Legislature should dedicate resources to continue </w:t>
      </w:r>
      <w:r w:rsidR="00264CF0" w:rsidRPr="009A681A">
        <w:rPr>
          <w:color w:val="000000"/>
          <w:szCs w:val="24"/>
        </w:rPr>
        <w:t xml:space="preserve">programs like </w:t>
      </w:r>
      <w:r w:rsidRPr="009A681A">
        <w:rPr>
          <w:color w:val="000000"/>
          <w:szCs w:val="24"/>
        </w:rPr>
        <w:t>the Teacher and Paraeducator Registered Apprenticeship Grant Program, TPRA, funded initially by state pandemic funds that are soon to expire.</w:t>
      </w:r>
      <w:r w:rsidR="00264CF0" w:rsidRPr="009A681A">
        <w:rPr>
          <w:color w:val="000000"/>
          <w:szCs w:val="24"/>
        </w:rPr>
        <w:t xml:space="preserve"> These programs should be simplified to make them manageable for smaller districts</w:t>
      </w:r>
      <w:r w:rsidR="00F27F65" w:rsidRPr="009A681A">
        <w:rPr>
          <w:color w:val="000000"/>
          <w:szCs w:val="24"/>
        </w:rPr>
        <w:t xml:space="preserve"> to administer</w:t>
      </w:r>
      <w:r w:rsidR="00264CF0" w:rsidRPr="009A681A">
        <w:rPr>
          <w:color w:val="000000"/>
          <w:szCs w:val="24"/>
        </w:rPr>
        <w:t xml:space="preserve">. </w:t>
      </w:r>
    </w:p>
    <w:p w:rsidR="00432858" w:rsidRPr="009A681A" w:rsidRDefault="00432858">
      <w:pPr>
        <w:shd w:val="clear" w:color="auto" w:fill="FFFFFF"/>
        <w:spacing w:after="0" w:line="240" w:lineRule="auto"/>
        <w:ind w:left="720" w:right="54"/>
        <w:rPr>
          <w:color w:val="000000"/>
          <w:szCs w:val="24"/>
        </w:rPr>
      </w:pPr>
    </w:p>
    <w:p w:rsidR="00432858" w:rsidRPr="009A681A" w:rsidRDefault="00DC5466">
      <w:pPr>
        <w:shd w:val="clear" w:color="auto" w:fill="FFFFFF"/>
        <w:spacing w:after="0" w:line="240" w:lineRule="auto"/>
        <w:ind w:left="720" w:right="54"/>
        <w:rPr>
          <w:color w:val="000000"/>
          <w:szCs w:val="24"/>
        </w:rPr>
      </w:pPr>
      <w:r w:rsidRPr="009A681A">
        <w:rPr>
          <w:b/>
          <w:color w:val="000000"/>
          <w:szCs w:val="24"/>
        </w:rPr>
        <w:t>Retention:</w:t>
      </w:r>
      <w:r w:rsidRPr="009A681A">
        <w:rPr>
          <w:color w:val="000000"/>
          <w:szCs w:val="24"/>
        </w:rPr>
        <w:t xml:space="preserve"> to slow the out-migration of staff from schools to other professions or retirement, school districts need maximum flexibility such as use of the Management Fund for recruitment and retention incentives, flexibility to meet offer and teach requirements, opportunities for teaching expanded courses within existing and/or competency-based licensure, social studies </w:t>
      </w:r>
      <w:r w:rsidRPr="009A681A">
        <w:rPr>
          <w:color w:val="000000"/>
          <w:szCs w:val="24"/>
        </w:rPr>
        <w:lastRenderedPageBreak/>
        <w:t>and other content generalist credentials, a shorter bona fide retirement period for schools to rehire other retirees (such as bus drivers and paraeducators), increase</w:t>
      </w:r>
      <w:r w:rsidR="0068118A" w:rsidRPr="009A681A">
        <w:rPr>
          <w:color w:val="000000"/>
          <w:szCs w:val="24"/>
        </w:rPr>
        <w:t>d</w:t>
      </w:r>
      <w:r w:rsidRPr="009A681A">
        <w:rPr>
          <w:color w:val="000000"/>
          <w:szCs w:val="24"/>
        </w:rPr>
        <w:t xml:space="preserve"> state funding for teacher salary supplement to avoid salary compaction, and </w:t>
      </w:r>
      <w:r w:rsidR="009F6E7E" w:rsidRPr="009A681A">
        <w:rPr>
          <w:color w:val="000000"/>
          <w:szCs w:val="24"/>
        </w:rPr>
        <w:t xml:space="preserve">maintaining </w:t>
      </w:r>
      <w:r w:rsidRPr="009A681A">
        <w:rPr>
          <w:color w:val="000000"/>
          <w:szCs w:val="24"/>
        </w:rPr>
        <w:t xml:space="preserve">resources for mentoring, training and supporting staff. </w:t>
      </w:r>
    </w:p>
    <w:p w:rsidR="00432858" w:rsidRPr="009A681A" w:rsidRDefault="00432858">
      <w:pPr>
        <w:shd w:val="clear" w:color="auto" w:fill="FFFFFF"/>
        <w:spacing w:after="0" w:line="240" w:lineRule="auto"/>
        <w:ind w:left="720" w:right="54"/>
        <w:rPr>
          <w:color w:val="000000"/>
          <w:szCs w:val="24"/>
        </w:rPr>
      </w:pPr>
    </w:p>
    <w:p w:rsidR="00432858" w:rsidRPr="009A681A" w:rsidRDefault="00DC5466">
      <w:pPr>
        <w:shd w:val="clear" w:color="auto" w:fill="FFFFFF"/>
        <w:spacing w:after="0" w:line="240" w:lineRule="auto"/>
        <w:ind w:left="720" w:right="54"/>
        <w:rPr>
          <w:color w:val="000000"/>
          <w:szCs w:val="24"/>
        </w:rPr>
      </w:pPr>
      <w:r w:rsidRPr="009A681A">
        <w:rPr>
          <w:b/>
          <w:color w:val="000000"/>
          <w:szCs w:val="24"/>
        </w:rPr>
        <w:t xml:space="preserve">Competitive and adequate compensation: </w:t>
      </w:r>
      <w:r w:rsidRPr="009A681A">
        <w:rPr>
          <w:color w:val="000000"/>
          <w:szCs w:val="24"/>
        </w:rPr>
        <w:t>school funding primarily pays for quality staff and employees to provide a great education for students. The investment in higher teacher pay minimums from HF 2612 is a great start</w:t>
      </w:r>
      <w:r w:rsidR="0068118A" w:rsidRPr="009A681A">
        <w:rPr>
          <w:color w:val="000000"/>
          <w:szCs w:val="24"/>
        </w:rPr>
        <w:t>,</w:t>
      </w:r>
      <w:r w:rsidRPr="009A681A">
        <w:rPr>
          <w:color w:val="000000"/>
          <w:szCs w:val="24"/>
        </w:rPr>
        <w:t xml:space="preserve"> but </w:t>
      </w:r>
      <w:r w:rsidR="009F6E7E" w:rsidRPr="009A681A">
        <w:rPr>
          <w:color w:val="000000"/>
          <w:szCs w:val="24"/>
        </w:rPr>
        <w:t xml:space="preserve">it </w:t>
      </w:r>
      <w:r w:rsidRPr="009A681A">
        <w:rPr>
          <w:color w:val="000000"/>
          <w:szCs w:val="24"/>
        </w:rPr>
        <w:t xml:space="preserve">must grow to keep up with other states and the Iowa economy. Unfortunately, if funding is not sufficient, </w:t>
      </w:r>
      <w:r w:rsidR="00735539" w:rsidRPr="009A681A">
        <w:rPr>
          <w:color w:val="000000"/>
          <w:szCs w:val="24"/>
        </w:rPr>
        <w:t xml:space="preserve">the new mandated minimums </w:t>
      </w:r>
      <w:r w:rsidRPr="009A681A">
        <w:rPr>
          <w:color w:val="000000"/>
          <w:szCs w:val="24"/>
        </w:rPr>
        <w:t xml:space="preserve">will further stress the ability of school districts to adequately pay nonteaching staff. </w:t>
      </w:r>
      <w:r w:rsidR="008E64E4" w:rsidRPr="009A681A">
        <w:rPr>
          <w:color w:val="000000"/>
          <w:szCs w:val="24"/>
        </w:rPr>
        <w:t>Inadequate funding through Teacher Salary Supplement (TSS) has created salary compaction issues and school leaders are concerned about inequities of funding when not sufficient for all schools to pay staff.</w:t>
      </w:r>
      <w:r w:rsidR="00F8788C" w:rsidRPr="009A681A">
        <w:rPr>
          <w:color w:val="000000"/>
          <w:szCs w:val="24"/>
        </w:rPr>
        <w:t xml:space="preserve"> </w:t>
      </w:r>
      <w:r w:rsidRPr="009A681A">
        <w:rPr>
          <w:color w:val="000000"/>
          <w:szCs w:val="24"/>
        </w:rPr>
        <w:t xml:space="preserve">The Legislature is encouraged to provide resources </w:t>
      </w:r>
      <w:r w:rsidR="008E64E4" w:rsidRPr="009A681A">
        <w:rPr>
          <w:color w:val="000000"/>
          <w:szCs w:val="24"/>
        </w:rPr>
        <w:t xml:space="preserve">to address salary compaction while minimizing per pupil inequities in the formula and </w:t>
      </w:r>
      <w:r w:rsidRPr="009A681A">
        <w:rPr>
          <w:color w:val="000000"/>
          <w:szCs w:val="24"/>
        </w:rPr>
        <w:t xml:space="preserve">for hourly pay through a sufficient and sustainable funding vehicle. </w:t>
      </w:r>
    </w:p>
    <w:p w:rsidR="00432858" w:rsidRDefault="00432858">
      <w:pPr>
        <w:shd w:val="clear" w:color="auto" w:fill="FFFFFF"/>
        <w:spacing w:after="0" w:line="240" w:lineRule="auto"/>
        <w:ind w:right="-270"/>
        <w:rPr>
          <w:color w:val="000000"/>
          <w:sz w:val="24"/>
          <w:szCs w:val="24"/>
        </w:rPr>
      </w:pPr>
    </w:p>
    <w:p w:rsidR="00CC0A1F" w:rsidRPr="00CC0A1F" w:rsidRDefault="00CC0A1F" w:rsidP="00CC0A1F">
      <w:pPr>
        <w:shd w:val="clear" w:color="auto" w:fill="FFFFFF"/>
        <w:spacing w:after="0" w:line="240" w:lineRule="auto"/>
        <w:rPr>
          <w:b/>
          <w:color w:val="000000"/>
          <w:sz w:val="24"/>
          <w:szCs w:val="24"/>
          <w:u w:val="single"/>
        </w:rPr>
      </w:pPr>
      <w:bookmarkStart w:id="2" w:name="_Hlk179479315"/>
      <w:r w:rsidRPr="00CC0A1F">
        <w:rPr>
          <w:b/>
          <w:color w:val="000000"/>
          <w:sz w:val="24"/>
          <w:szCs w:val="24"/>
          <w:u w:val="single"/>
        </w:rPr>
        <w:t xml:space="preserve">Quality Preschool: </w:t>
      </w:r>
    </w:p>
    <w:p w:rsidR="00CC0A1F" w:rsidRPr="009A681A" w:rsidRDefault="00CC0A1F" w:rsidP="00CC0A1F">
      <w:pPr>
        <w:shd w:val="clear" w:color="auto" w:fill="FFFFFF"/>
        <w:spacing w:after="0" w:line="240" w:lineRule="auto"/>
        <w:rPr>
          <w:color w:val="000000"/>
          <w:sz w:val="24"/>
          <w:szCs w:val="24"/>
          <w:highlight w:val="white"/>
        </w:rPr>
      </w:pPr>
      <w:r w:rsidRPr="009A681A">
        <w:rPr>
          <w:color w:val="000000"/>
          <w:sz w:val="24"/>
          <w:szCs w:val="24"/>
        </w:rPr>
        <w:t>Funding of quality statewide voluntary preschool for three and four-year-olds should be set at the 1.0 per pupil cost for full-time or prorated proportionally. The f</w:t>
      </w:r>
      <w:r w:rsidRPr="009A681A">
        <w:rPr>
          <w:color w:val="000000"/>
          <w:sz w:val="24"/>
          <w:szCs w:val="24"/>
          <w:highlight w:val="white"/>
        </w:rPr>
        <w:t xml:space="preserve">ormula should include PK protections against budget and program impacts of preschool enrollment swings similar to K-12. Districts need access to resources for start-up costs to expand enrollment or increase the number of sections. Local districts should have the authority to determine what level or combination of programming is best for their community based on student needs and staff and facility capacity. </w:t>
      </w:r>
    </w:p>
    <w:p w:rsidR="00CC0A1F" w:rsidRPr="009A681A" w:rsidRDefault="00CC0A1F" w:rsidP="00CC0A1F">
      <w:pPr>
        <w:shd w:val="clear" w:color="auto" w:fill="FFFFFF"/>
        <w:spacing w:after="0" w:line="240" w:lineRule="auto"/>
        <w:rPr>
          <w:color w:val="000000"/>
          <w:szCs w:val="24"/>
          <w:highlight w:val="white"/>
        </w:rPr>
      </w:pPr>
    </w:p>
    <w:p w:rsidR="00CC0A1F" w:rsidRPr="009A681A" w:rsidRDefault="00CC0A1F" w:rsidP="00CC0A1F">
      <w:pPr>
        <w:shd w:val="clear" w:color="auto" w:fill="FFFFFF"/>
        <w:spacing w:after="0" w:line="240" w:lineRule="auto"/>
        <w:rPr>
          <w:color w:val="000000"/>
          <w:szCs w:val="24"/>
          <w:highlight w:val="white"/>
        </w:rPr>
      </w:pPr>
      <w:r w:rsidRPr="009A681A">
        <w:rPr>
          <w:color w:val="000000"/>
          <w:szCs w:val="24"/>
          <w:highlight w:val="white"/>
        </w:rPr>
        <w:t xml:space="preserve">Full-day programming increases the opportunity for parent workforce participation, allows Iowa’s limited childcare workforce capacity to focus on younger children, prevents later special education consequences, improves literacy and prepares students for learning. Although all students benefit from quality preschool, Iowa’s low-income and non-English speaking students face barriers to half-day programs, making them even more at risk of lower long-term achievement. </w:t>
      </w:r>
    </w:p>
    <w:p w:rsidR="00CC0A1F" w:rsidRPr="009A681A" w:rsidRDefault="00CC0A1F" w:rsidP="00CC0A1F">
      <w:pPr>
        <w:shd w:val="clear" w:color="auto" w:fill="FFFFFF"/>
        <w:spacing w:after="0" w:line="240" w:lineRule="auto"/>
        <w:rPr>
          <w:color w:val="000000"/>
          <w:szCs w:val="24"/>
          <w:highlight w:val="white"/>
        </w:rPr>
      </w:pPr>
    </w:p>
    <w:p w:rsidR="00CC0A1F" w:rsidRPr="009A681A" w:rsidRDefault="00CC0A1F" w:rsidP="00CC0A1F">
      <w:pPr>
        <w:shd w:val="clear" w:color="auto" w:fill="FFFFFF"/>
        <w:spacing w:after="0" w:line="240" w:lineRule="auto"/>
        <w:ind w:right="-270"/>
        <w:rPr>
          <w:color w:val="000000"/>
          <w:szCs w:val="24"/>
          <w:highlight w:val="white"/>
        </w:rPr>
      </w:pPr>
      <w:r w:rsidRPr="009A681A">
        <w:rPr>
          <w:color w:val="000000"/>
          <w:szCs w:val="24"/>
          <w:highlight w:val="white"/>
        </w:rPr>
        <w:t xml:space="preserve">Additionally, if parents of a 5-year-old would prefer their student delay kindergarten, and there is no transitional kindergarten option in their district, they should be allowed to enroll their student in PK, and that student should be counted for funding purposes. </w:t>
      </w:r>
    </w:p>
    <w:bookmarkEnd w:id="2"/>
    <w:p w:rsidR="00CC0A1F" w:rsidRDefault="00CC0A1F" w:rsidP="00CC0A1F">
      <w:pPr>
        <w:shd w:val="clear" w:color="auto" w:fill="FFFFFF"/>
        <w:spacing w:after="0" w:line="240" w:lineRule="auto"/>
        <w:ind w:right="-270"/>
        <w:rPr>
          <w:color w:val="000000"/>
          <w:sz w:val="24"/>
          <w:szCs w:val="24"/>
          <w:highlight w:val="white"/>
        </w:rPr>
      </w:pPr>
    </w:p>
    <w:p w:rsidR="005465D9" w:rsidRPr="005465D9" w:rsidRDefault="005465D9" w:rsidP="005465D9">
      <w:pPr>
        <w:shd w:val="clear" w:color="auto" w:fill="FFFFFF"/>
        <w:spacing w:after="0" w:line="240" w:lineRule="auto"/>
        <w:ind w:left="-18"/>
        <w:rPr>
          <w:b/>
          <w:color w:val="000000"/>
          <w:sz w:val="24"/>
          <w:szCs w:val="24"/>
          <w:u w:val="single"/>
        </w:rPr>
      </w:pPr>
      <w:bookmarkStart w:id="3" w:name="_Hlk179479421"/>
      <w:r w:rsidRPr="005465D9">
        <w:rPr>
          <w:b/>
          <w:color w:val="000000"/>
          <w:sz w:val="24"/>
          <w:szCs w:val="24"/>
          <w:u w:val="single"/>
        </w:rPr>
        <w:t>Local School Board Authority:</w:t>
      </w:r>
    </w:p>
    <w:p w:rsidR="005465D9" w:rsidRPr="009A681A" w:rsidRDefault="005465D9" w:rsidP="005465D9">
      <w:pPr>
        <w:spacing w:after="0" w:line="240" w:lineRule="auto"/>
        <w:rPr>
          <w:sz w:val="24"/>
          <w:szCs w:val="24"/>
        </w:rPr>
      </w:pPr>
      <w:r w:rsidRPr="009A681A">
        <w:rPr>
          <w:color w:val="000000"/>
          <w:sz w:val="24"/>
          <w:szCs w:val="24"/>
        </w:rPr>
        <w:t xml:space="preserve">Locally elected leaders closest to the community are in the best position to determine the interests of students, staff, district and stakeholders. </w:t>
      </w:r>
      <w:r w:rsidRPr="009A681A">
        <w:rPr>
          <w:sz w:val="24"/>
          <w:szCs w:val="24"/>
        </w:rPr>
        <w:t xml:space="preserve">District leaders need maximum flexibility to provide a great education to all students. The Legislature, the Executive Branch and the courts should follow Iowa Code 274.3 and liberally construe laws and regulations in deference to local control. Additionally, new state programs or mandates should be given adequate time to study, plan and implement. RSAI supports changes to the school start date which would restore local decision-making to schools and communities. </w:t>
      </w:r>
    </w:p>
    <w:p w:rsidR="005465D9" w:rsidRPr="009A681A" w:rsidRDefault="005465D9" w:rsidP="005465D9">
      <w:pPr>
        <w:shd w:val="clear" w:color="auto" w:fill="FFFFFF"/>
        <w:spacing w:after="0" w:line="240" w:lineRule="auto"/>
        <w:ind w:right="-270"/>
        <w:rPr>
          <w:color w:val="000000"/>
          <w:szCs w:val="24"/>
        </w:rPr>
      </w:pPr>
    </w:p>
    <w:bookmarkEnd w:id="3"/>
    <w:p w:rsidR="00CC0A1F" w:rsidRDefault="00CC0A1F">
      <w:pPr>
        <w:shd w:val="clear" w:color="auto" w:fill="FFFFFF"/>
        <w:spacing w:after="0" w:line="240" w:lineRule="auto"/>
        <w:ind w:right="-270"/>
        <w:rPr>
          <w:color w:val="000000"/>
          <w:sz w:val="24"/>
          <w:szCs w:val="24"/>
        </w:rPr>
      </w:pPr>
    </w:p>
    <w:p w:rsidR="009A681A" w:rsidRDefault="009A681A">
      <w:pPr>
        <w:rPr>
          <w:b/>
          <w:color w:val="000000"/>
          <w:sz w:val="28"/>
          <w:szCs w:val="28"/>
        </w:rPr>
      </w:pPr>
      <w:r>
        <w:rPr>
          <w:b/>
          <w:color w:val="000000"/>
          <w:sz w:val="28"/>
          <w:szCs w:val="28"/>
        </w:rPr>
        <w:br w:type="page"/>
      </w:r>
    </w:p>
    <w:p w:rsidR="00C2106E" w:rsidRPr="009A681A" w:rsidRDefault="00CC0A1F" w:rsidP="00CC0A1F">
      <w:pPr>
        <w:shd w:val="clear" w:color="auto" w:fill="FFFFFF"/>
        <w:spacing w:after="0" w:line="240" w:lineRule="auto"/>
        <w:ind w:right="-270"/>
        <w:jc w:val="center"/>
        <w:rPr>
          <w:b/>
          <w:color w:val="000000"/>
          <w:sz w:val="28"/>
          <w:szCs w:val="28"/>
        </w:rPr>
      </w:pPr>
      <w:r w:rsidRPr="009A681A">
        <w:rPr>
          <w:b/>
          <w:color w:val="000000"/>
          <w:sz w:val="28"/>
          <w:szCs w:val="28"/>
        </w:rPr>
        <w:lastRenderedPageBreak/>
        <w:t>OTHER RSAI PRIORITIES</w:t>
      </w:r>
    </w:p>
    <w:p w:rsidR="00CC0A1F" w:rsidRDefault="00CC0A1F">
      <w:pPr>
        <w:shd w:val="clear" w:color="auto" w:fill="FFFFFF"/>
        <w:spacing w:after="0" w:line="240" w:lineRule="auto"/>
        <w:ind w:right="-270"/>
        <w:rPr>
          <w:color w:val="000000"/>
          <w:sz w:val="24"/>
          <w:szCs w:val="24"/>
        </w:rPr>
      </w:pPr>
    </w:p>
    <w:p w:rsidR="005465D9" w:rsidRPr="005465D9" w:rsidRDefault="005465D9" w:rsidP="005465D9">
      <w:pPr>
        <w:shd w:val="clear" w:color="auto" w:fill="FFFFFF"/>
        <w:spacing w:after="0" w:line="240" w:lineRule="auto"/>
        <w:ind w:left="-18"/>
        <w:rPr>
          <w:b/>
          <w:color w:val="000000"/>
          <w:sz w:val="24"/>
          <w:szCs w:val="24"/>
          <w:u w:val="single"/>
        </w:rPr>
      </w:pPr>
      <w:r w:rsidRPr="00CC0A1F">
        <w:rPr>
          <w:b/>
          <w:color w:val="000000"/>
          <w:sz w:val="24"/>
          <w:szCs w:val="24"/>
          <w:u w:val="single"/>
        </w:rPr>
        <w:t>Public School Priority:</w:t>
      </w:r>
    </w:p>
    <w:p w:rsidR="005465D9" w:rsidRPr="009A681A" w:rsidRDefault="005465D9" w:rsidP="005465D9">
      <w:pPr>
        <w:shd w:val="clear" w:color="auto" w:fill="FFFFFF"/>
        <w:spacing w:after="0" w:line="240" w:lineRule="auto"/>
        <w:ind w:right="54"/>
        <w:rPr>
          <w:color w:val="000000"/>
          <w:szCs w:val="24"/>
        </w:rPr>
      </w:pPr>
      <w:r w:rsidRPr="009A681A">
        <w:rPr>
          <w:color w:val="000000"/>
          <w:szCs w:val="24"/>
        </w:rPr>
        <w:t xml:space="preserve">As Iowa public schools will always be the first choice of most Iowa families, they must be adequately funded and supported by the State. </w:t>
      </w:r>
    </w:p>
    <w:p w:rsidR="005465D9" w:rsidRPr="009A681A" w:rsidRDefault="005465D9" w:rsidP="005465D9">
      <w:pPr>
        <w:numPr>
          <w:ilvl w:val="0"/>
          <w:numId w:val="1"/>
        </w:numPr>
        <w:pBdr>
          <w:top w:val="nil"/>
          <w:left w:val="nil"/>
          <w:bottom w:val="nil"/>
          <w:right w:val="nil"/>
          <w:between w:val="nil"/>
        </w:pBdr>
        <w:shd w:val="clear" w:color="auto" w:fill="FFFFFF"/>
        <w:spacing w:after="0" w:line="240" w:lineRule="auto"/>
        <w:ind w:right="54"/>
        <w:rPr>
          <w:color w:val="000000"/>
          <w:szCs w:val="24"/>
        </w:rPr>
      </w:pPr>
      <w:r w:rsidRPr="009A681A">
        <w:rPr>
          <w:color w:val="000000"/>
          <w:szCs w:val="24"/>
        </w:rPr>
        <w:t xml:space="preserve">Since the implementation of Education Savings Accounts, as enacted by HF 68 in 2023, is nearly complete, RSAI supports the following changes. </w:t>
      </w:r>
    </w:p>
    <w:p w:rsidR="005465D9" w:rsidRPr="009A681A" w:rsidRDefault="005465D9" w:rsidP="005465D9">
      <w:pPr>
        <w:numPr>
          <w:ilvl w:val="1"/>
          <w:numId w:val="1"/>
        </w:numPr>
        <w:pBdr>
          <w:top w:val="nil"/>
          <w:left w:val="nil"/>
          <w:bottom w:val="nil"/>
          <w:right w:val="nil"/>
          <w:between w:val="nil"/>
        </w:pBdr>
        <w:shd w:val="clear" w:color="auto" w:fill="FFFFFF"/>
        <w:spacing w:after="0" w:line="240" w:lineRule="auto"/>
        <w:ind w:right="54"/>
        <w:rPr>
          <w:color w:val="000000"/>
          <w:szCs w:val="24"/>
        </w:rPr>
      </w:pPr>
      <w:r w:rsidRPr="009A681A">
        <w:rPr>
          <w:color w:val="000000"/>
          <w:szCs w:val="24"/>
        </w:rPr>
        <w:t xml:space="preserve">Public schools should be relieved of the mandate to reimburse private school parents or provide transportation for private schools. </w:t>
      </w:r>
    </w:p>
    <w:p w:rsidR="005465D9" w:rsidRPr="009A681A" w:rsidRDefault="005465D9" w:rsidP="005465D9">
      <w:pPr>
        <w:numPr>
          <w:ilvl w:val="1"/>
          <w:numId w:val="1"/>
        </w:numPr>
        <w:pBdr>
          <w:top w:val="nil"/>
          <w:left w:val="nil"/>
          <w:bottom w:val="nil"/>
          <w:right w:val="nil"/>
          <w:between w:val="nil"/>
        </w:pBdr>
        <w:shd w:val="clear" w:color="auto" w:fill="FFFFFF"/>
        <w:spacing w:after="0" w:line="240" w:lineRule="auto"/>
        <w:ind w:right="54"/>
        <w:rPr>
          <w:color w:val="000000"/>
          <w:szCs w:val="24"/>
        </w:rPr>
      </w:pPr>
      <w:r w:rsidRPr="009A681A">
        <w:rPr>
          <w:color w:val="000000"/>
          <w:szCs w:val="24"/>
        </w:rPr>
        <w:t>Private school students returning to public school after the October enrollment count date should be funded in a timely manner.</w:t>
      </w:r>
    </w:p>
    <w:p w:rsidR="005465D9" w:rsidRPr="009A681A" w:rsidRDefault="005465D9" w:rsidP="005465D9">
      <w:pPr>
        <w:numPr>
          <w:ilvl w:val="1"/>
          <w:numId w:val="1"/>
        </w:numPr>
        <w:pBdr>
          <w:top w:val="nil"/>
          <w:left w:val="nil"/>
          <w:bottom w:val="nil"/>
          <w:right w:val="nil"/>
          <w:between w:val="nil"/>
        </w:pBdr>
        <w:shd w:val="clear" w:color="auto" w:fill="FFFFFF"/>
        <w:spacing w:after="0" w:line="240" w:lineRule="auto"/>
        <w:ind w:right="54"/>
        <w:rPr>
          <w:color w:val="000000"/>
          <w:szCs w:val="24"/>
        </w:rPr>
      </w:pPr>
      <w:r w:rsidRPr="009A681A">
        <w:rPr>
          <w:color w:val="000000"/>
          <w:szCs w:val="24"/>
        </w:rPr>
        <w:t>ESA applications should be submitted and approved by the March 1 open enrollment deadline to inform both public and private schools in a timely manner for staff and budget planning.</w:t>
      </w:r>
    </w:p>
    <w:p w:rsidR="005465D9" w:rsidRPr="009A681A" w:rsidRDefault="005465D9" w:rsidP="005465D9">
      <w:pPr>
        <w:numPr>
          <w:ilvl w:val="1"/>
          <w:numId w:val="1"/>
        </w:numPr>
        <w:pBdr>
          <w:top w:val="nil"/>
          <w:left w:val="nil"/>
          <w:bottom w:val="nil"/>
          <w:right w:val="nil"/>
          <w:between w:val="nil"/>
        </w:pBdr>
        <w:shd w:val="clear" w:color="auto" w:fill="FFFFFF"/>
        <w:spacing w:after="0" w:line="240" w:lineRule="auto"/>
        <w:ind w:right="54"/>
        <w:rPr>
          <w:color w:val="000000"/>
          <w:szCs w:val="24"/>
        </w:rPr>
      </w:pPr>
      <w:r w:rsidRPr="009A681A">
        <w:rPr>
          <w:color w:val="000000"/>
          <w:szCs w:val="24"/>
        </w:rPr>
        <w:t xml:space="preserve">Local school districts should receive all categorical funds based on the ESA student count, and those funds should be allowed for any use as directed by the school board to best meet the needs of students enrolled in the public school. </w:t>
      </w:r>
    </w:p>
    <w:p w:rsidR="005465D9" w:rsidRPr="009A681A" w:rsidRDefault="005465D9" w:rsidP="005465D9">
      <w:pPr>
        <w:numPr>
          <w:ilvl w:val="0"/>
          <w:numId w:val="1"/>
        </w:numPr>
        <w:pBdr>
          <w:top w:val="nil"/>
          <w:left w:val="nil"/>
          <w:bottom w:val="nil"/>
          <w:right w:val="nil"/>
          <w:between w:val="nil"/>
        </w:pBdr>
        <w:shd w:val="clear" w:color="auto" w:fill="FFFFFF"/>
        <w:spacing w:after="0" w:line="240" w:lineRule="auto"/>
        <w:ind w:right="54"/>
        <w:rPr>
          <w:color w:val="000000"/>
        </w:rPr>
      </w:pPr>
      <w:r w:rsidRPr="009A681A">
        <w:rPr>
          <w:color w:val="000000"/>
        </w:rPr>
        <w:t xml:space="preserve">ESAs should not be expanded to homeschool students or nonaccredited private schools. The </w:t>
      </w:r>
      <w:r w:rsidRPr="009A681A">
        <w:t xml:space="preserve">state </w:t>
      </w:r>
      <w:r w:rsidRPr="009A681A">
        <w:rPr>
          <w:color w:val="000000"/>
        </w:rPr>
        <w:t xml:space="preserve">should resist a weakened accreditation process, which would encourage new private schools without high standards to come to Iowa. </w:t>
      </w:r>
    </w:p>
    <w:p w:rsidR="005465D9" w:rsidRPr="009A681A" w:rsidRDefault="005465D9" w:rsidP="005465D9">
      <w:pPr>
        <w:shd w:val="clear" w:color="auto" w:fill="FFFFFF"/>
        <w:spacing w:after="0" w:line="240" w:lineRule="auto"/>
        <w:ind w:right="-274"/>
        <w:rPr>
          <w:color w:val="000000"/>
        </w:rPr>
      </w:pPr>
    </w:p>
    <w:p w:rsidR="005465D9" w:rsidRPr="009A681A" w:rsidRDefault="005465D9" w:rsidP="005465D9">
      <w:pPr>
        <w:pBdr>
          <w:top w:val="nil"/>
          <w:left w:val="nil"/>
          <w:bottom w:val="nil"/>
          <w:right w:val="nil"/>
          <w:between w:val="nil"/>
        </w:pBdr>
        <w:shd w:val="clear" w:color="auto" w:fill="FFFFFF"/>
        <w:spacing w:after="0" w:line="240" w:lineRule="auto"/>
        <w:ind w:right="54"/>
        <w:rPr>
          <w:color w:val="000000"/>
        </w:rPr>
      </w:pPr>
      <w:r w:rsidRPr="009A681A">
        <w:rPr>
          <w:color w:val="000000"/>
        </w:rPr>
        <w:t>Equity of expectations and regulations should be applied consistently to both public and private schools under an ESA environment. There should be a level playing field requiring acceptance of all students, consistent reporting, comprehensive services, mandated content and transparency. Private schools receiving payments from ESAs should be open to an audit and financial review to ensure funds are spent appropriately.</w:t>
      </w:r>
    </w:p>
    <w:p w:rsidR="005465D9" w:rsidRDefault="005465D9" w:rsidP="005465D9">
      <w:pPr>
        <w:shd w:val="clear" w:color="auto" w:fill="FFFFFF"/>
        <w:spacing w:after="0" w:line="240" w:lineRule="auto"/>
        <w:ind w:right="-270"/>
        <w:rPr>
          <w:color w:val="000000"/>
          <w:sz w:val="24"/>
          <w:szCs w:val="24"/>
        </w:rPr>
      </w:pPr>
    </w:p>
    <w:p w:rsidR="005465D9" w:rsidRPr="005465D9" w:rsidRDefault="00DC5466" w:rsidP="005465D9">
      <w:pPr>
        <w:shd w:val="clear" w:color="auto" w:fill="FFFFFF"/>
        <w:spacing w:after="0" w:line="240" w:lineRule="auto"/>
        <w:ind w:left="-18"/>
        <w:rPr>
          <w:b/>
          <w:color w:val="000000"/>
          <w:sz w:val="24"/>
          <w:szCs w:val="24"/>
          <w:u w:val="single"/>
        </w:rPr>
      </w:pPr>
      <w:r w:rsidRPr="005465D9">
        <w:rPr>
          <w:b/>
          <w:color w:val="000000"/>
          <w:sz w:val="24"/>
          <w:szCs w:val="24"/>
          <w:u w:val="single"/>
        </w:rPr>
        <w:t xml:space="preserve">Increasing Student Needs Including Poverty and Mental Health: </w:t>
      </w:r>
    </w:p>
    <w:p w:rsidR="00432858" w:rsidRPr="009A681A" w:rsidRDefault="005465D9" w:rsidP="00022AD0">
      <w:pPr>
        <w:spacing w:after="0" w:line="240" w:lineRule="auto"/>
        <w:rPr>
          <w:color w:val="000000"/>
          <w:szCs w:val="24"/>
        </w:rPr>
      </w:pPr>
      <w:r w:rsidRPr="009A681A">
        <w:rPr>
          <w:color w:val="000000"/>
          <w:szCs w:val="24"/>
        </w:rPr>
        <w:t>R</w:t>
      </w:r>
      <w:r w:rsidR="00DC5466" w:rsidRPr="009A681A">
        <w:rPr>
          <w:color w:val="000000"/>
          <w:szCs w:val="24"/>
        </w:rPr>
        <w:t xml:space="preserve">esources should be based on at-risk needs, not just enrollment. All school boards should </w:t>
      </w:r>
      <w:r w:rsidR="00DC5466" w:rsidRPr="009A681A">
        <w:rPr>
          <w:szCs w:val="24"/>
        </w:rPr>
        <w:t>be able</w:t>
      </w:r>
      <w:r w:rsidR="00DC5466" w:rsidRPr="009A681A">
        <w:rPr>
          <w:color w:val="000000"/>
          <w:szCs w:val="24"/>
        </w:rPr>
        <w:t xml:space="preserve"> to access up to 5% dropout prevention funding. School districts should be granted spending authority for FRPL-waived fees. Iowa should study the impact of poverty on educational outcomes and best practices of other states in closing associated achievement gaps, leading toward a significant and urgent update to Iowa’s School Foundation Formula in funding programs for Iowa’s neediest students. </w:t>
      </w:r>
    </w:p>
    <w:p w:rsidR="00432858" w:rsidRPr="009A681A" w:rsidRDefault="00432858" w:rsidP="00022AD0">
      <w:pPr>
        <w:spacing w:after="0" w:line="240" w:lineRule="auto"/>
        <w:rPr>
          <w:color w:val="000000"/>
          <w:szCs w:val="24"/>
        </w:rPr>
      </w:pPr>
    </w:p>
    <w:p w:rsidR="00432858" w:rsidRPr="009A681A" w:rsidRDefault="00DC5466" w:rsidP="005465D9">
      <w:pPr>
        <w:shd w:val="clear" w:color="auto" w:fill="FFFFFF"/>
        <w:spacing w:after="0" w:line="240" w:lineRule="auto"/>
        <w:ind w:right="-270"/>
        <w:rPr>
          <w:color w:val="000000"/>
          <w:szCs w:val="24"/>
        </w:rPr>
      </w:pPr>
      <w:r w:rsidRPr="009A681A">
        <w:rPr>
          <w:color w:val="000000"/>
          <w:szCs w:val="24"/>
        </w:rPr>
        <w:t xml:space="preserve">Students in rural areas are often distanced from needed services. Iowa must continue to address improved access to funded community mental health services for children and the shortage of mental health professionals statewide (such as reciprocal licensing and access to out-of-state providers virtually). The State should provide resources for local districts to train school staff in mental health first aid and awareness and build community capacity to </w:t>
      </w:r>
      <w:r w:rsidR="00125910" w:rsidRPr="009A681A">
        <w:rPr>
          <w:color w:val="000000"/>
          <w:szCs w:val="24"/>
        </w:rPr>
        <w:t>address the</w:t>
      </w:r>
      <w:r w:rsidRPr="009A681A">
        <w:rPr>
          <w:color w:val="000000"/>
          <w:szCs w:val="24"/>
        </w:rPr>
        <w:t xml:space="preserve"> mental health needs of children.</w:t>
      </w:r>
    </w:p>
    <w:p w:rsidR="005465D9" w:rsidRPr="009A681A" w:rsidRDefault="005465D9" w:rsidP="005465D9">
      <w:pPr>
        <w:shd w:val="clear" w:color="auto" w:fill="FFFFFF"/>
        <w:spacing w:after="0" w:line="240" w:lineRule="auto"/>
        <w:ind w:right="-270"/>
        <w:rPr>
          <w:color w:val="000000"/>
          <w:szCs w:val="24"/>
        </w:rPr>
      </w:pPr>
    </w:p>
    <w:p w:rsidR="00432858" w:rsidRPr="005465D9" w:rsidRDefault="00125910" w:rsidP="005465D9">
      <w:pPr>
        <w:shd w:val="clear" w:color="auto" w:fill="FFFFFF"/>
        <w:spacing w:after="0" w:line="240" w:lineRule="auto"/>
        <w:ind w:left="-18"/>
        <w:rPr>
          <w:b/>
          <w:color w:val="000000"/>
          <w:sz w:val="24"/>
          <w:szCs w:val="24"/>
          <w:u w:val="single"/>
        </w:rPr>
      </w:pPr>
      <w:bookmarkStart w:id="4" w:name="_Hlk179479381"/>
      <w:r w:rsidRPr="005465D9">
        <w:rPr>
          <w:b/>
          <w:color w:val="000000"/>
          <w:sz w:val="24"/>
          <w:szCs w:val="24"/>
          <w:u w:val="single"/>
        </w:rPr>
        <w:t>Whole Grade Sharing and Reorganization Incentives</w:t>
      </w:r>
    </w:p>
    <w:p w:rsidR="00432858" w:rsidRPr="009A681A" w:rsidRDefault="00DC5466" w:rsidP="005465D9">
      <w:pPr>
        <w:pBdr>
          <w:top w:val="nil"/>
          <w:left w:val="nil"/>
          <w:bottom w:val="nil"/>
          <w:right w:val="nil"/>
          <w:between w:val="nil"/>
        </w:pBdr>
        <w:shd w:val="clear" w:color="auto" w:fill="FFFFFF"/>
        <w:spacing w:after="0" w:line="240" w:lineRule="auto"/>
        <w:rPr>
          <w:color w:val="000000"/>
          <w:szCs w:val="24"/>
        </w:rPr>
      </w:pPr>
      <w:r w:rsidRPr="009A681A">
        <w:rPr>
          <w:color w:val="000000"/>
          <w:szCs w:val="24"/>
        </w:rPr>
        <w:t>Whole Grade Sharing and Reorganization incentives, set to expire at the end of the 2024-25 school year, should be extended. These incentives bring taxpayers and parents to the table</w:t>
      </w:r>
      <w:r w:rsidRPr="009A681A">
        <w:rPr>
          <w:szCs w:val="24"/>
        </w:rPr>
        <w:t xml:space="preserve"> i</w:t>
      </w:r>
      <w:r w:rsidRPr="009A681A">
        <w:rPr>
          <w:color w:val="000000"/>
          <w:szCs w:val="24"/>
        </w:rPr>
        <w:t>n support of expanded opportunities for students, most often in districts without the economy of scale necessary to provide a broad and varied academic and interscholastic experience for students. These incentives should either be included as an ongoing option for school districts in perpetuity or extended to at least June 30, 2035.</w:t>
      </w:r>
    </w:p>
    <w:p w:rsidR="005465D9" w:rsidRDefault="005465D9" w:rsidP="00125910">
      <w:pPr>
        <w:pBdr>
          <w:top w:val="nil"/>
          <w:left w:val="nil"/>
          <w:bottom w:val="nil"/>
          <w:right w:val="nil"/>
          <w:between w:val="nil"/>
        </w:pBdr>
        <w:shd w:val="clear" w:color="auto" w:fill="FFFFFF"/>
        <w:spacing w:after="0" w:line="240" w:lineRule="auto"/>
        <w:ind w:right="-270"/>
        <w:rPr>
          <w:b/>
          <w:color w:val="000000"/>
          <w:sz w:val="24"/>
          <w:szCs w:val="24"/>
        </w:rPr>
      </w:pPr>
    </w:p>
    <w:p w:rsidR="00125910" w:rsidRPr="005465D9" w:rsidRDefault="00125910" w:rsidP="005465D9">
      <w:pPr>
        <w:shd w:val="clear" w:color="auto" w:fill="FFFFFF"/>
        <w:spacing w:after="0" w:line="240" w:lineRule="auto"/>
        <w:ind w:left="-18"/>
        <w:rPr>
          <w:b/>
          <w:color w:val="000000"/>
          <w:sz w:val="24"/>
          <w:szCs w:val="24"/>
          <w:u w:val="single"/>
        </w:rPr>
      </w:pPr>
      <w:r w:rsidRPr="005465D9">
        <w:rPr>
          <w:b/>
          <w:color w:val="000000"/>
          <w:sz w:val="24"/>
          <w:szCs w:val="24"/>
          <w:u w:val="single"/>
        </w:rPr>
        <w:t>Operational Sharing Incentives</w:t>
      </w:r>
    </w:p>
    <w:p w:rsidR="00C2106E" w:rsidRPr="009A681A" w:rsidRDefault="00DC5466" w:rsidP="005465D9">
      <w:pPr>
        <w:pBdr>
          <w:top w:val="nil"/>
          <w:left w:val="nil"/>
          <w:bottom w:val="nil"/>
          <w:right w:val="nil"/>
          <w:between w:val="nil"/>
        </w:pBdr>
        <w:shd w:val="clear" w:color="auto" w:fill="FFFFFF"/>
        <w:spacing w:after="0" w:line="240" w:lineRule="auto"/>
        <w:ind w:right="-270"/>
        <w:rPr>
          <w:color w:val="000000"/>
          <w:szCs w:val="24"/>
        </w:rPr>
      </w:pPr>
      <w:r w:rsidRPr="009A681A">
        <w:rPr>
          <w:color w:val="000000"/>
          <w:szCs w:val="24"/>
        </w:rPr>
        <w:t xml:space="preserve">Operational Sharing Incentives should </w:t>
      </w:r>
      <w:r w:rsidR="00125910" w:rsidRPr="009A681A">
        <w:rPr>
          <w:color w:val="000000"/>
          <w:szCs w:val="24"/>
        </w:rPr>
        <w:t>continue and be increased</w:t>
      </w:r>
      <w:r w:rsidRPr="009A681A">
        <w:rPr>
          <w:color w:val="000000"/>
          <w:szCs w:val="24"/>
        </w:rPr>
        <w:t xml:space="preserve">. The 21-student cap should be increased to allow access to new flexibility. Weightings should be sufficient to encourage and support sharing </w:t>
      </w:r>
      <w:r w:rsidRPr="009A681A">
        <w:rPr>
          <w:color w:val="000000"/>
          <w:szCs w:val="24"/>
        </w:rPr>
        <w:lastRenderedPageBreak/>
        <w:t>opportunities, with a 3-student weighting at a minimum per position. Reductions in weightings should be restored</w:t>
      </w:r>
      <w:r w:rsidR="00125910" w:rsidRPr="009A681A">
        <w:rPr>
          <w:color w:val="000000"/>
          <w:szCs w:val="24"/>
        </w:rPr>
        <w:t xml:space="preserve"> and/or additional weighting provided for districts to flexibly support critical positions</w:t>
      </w:r>
      <w:r w:rsidRPr="009A681A">
        <w:rPr>
          <w:color w:val="000000"/>
          <w:szCs w:val="24"/>
        </w:rPr>
        <w:t xml:space="preserve">. The addition of new positions over the last few years, such as mental health counselors, work-based learning coordinators and school resource officers, demonstrates the value of continued sharing incentives for both efficiency and student opportunity. With recent significant pressures on schools for technology data protection and cybersecurity, an additional position of technology director should generate supplementary weighting within this program. Some positions, such as those to address mental health or school safety, </w:t>
      </w:r>
      <w:r w:rsidR="009028B1" w:rsidRPr="009A681A">
        <w:rPr>
          <w:color w:val="000000"/>
          <w:szCs w:val="24"/>
        </w:rPr>
        <w:t xml:space="preserve">and expanded sharing options with AEA staff to replace services stressed by economics of scale and AEA restructuring, </w:t>
      </w:r>
      <w:r w:rsidRPr="009A681A">
        <w:rPr>
          <w:color w:val="000000"/>
          <w:szCs w:val="24"/>
        </w:rPr>
        <w:t>should be exempted from the cap</w:t>
      </w:r>
      <w:r w:rsidR="00125910" w:rsidRPr="009A681A">
        <w:rPr>
          <w:color w:val="000000"/>
          <w:szCs w:val="24"/>
        </w:rPr>
        <w:t xml:space="preserve"> (following the 2024 precedent</w:t>
      </w:r>
      <w:r w:rsidR="009F6E7E" w:rsidRPr="009A681A">
        <w:rPr>
          <w:color w:val="000000"/>
          <w:szCs w:val="24"/>
        </w:rPr>
        <w:t>,</w:t>
      </w:r>
      <w:r w:rsidR="00125910" w:rsidRPr="009A681A">
        <w:rPr>
          <w:color w:val="000000"/>
          <w:szCs w:val="24"/>
        </w:rPr>
        <w:t xml:space="preserve"> which exempted work-based learning coordinators from the cap)</w:t>
      </w:r>
      <w:r w:rsidRPr="009A681A">
        <w:rPr>
          <w:color w:val="000000"/>
          <w:szCs w:val="24"/>
        </w:rPr>
        <w:t>.</w:t>
      </w:r>
    </w:p>
    <w:p w:rsidR="00CC0A1F" w:rsidRDefault="00CC0A1F" w:rsidP="00CC0A1F">
      <w:pPr>
        <w:pBdr>
          <w:top w:val="nil"/>
          <w:left w:val="nil"/>
          <w:bottom w:val="nil"/>
          <w:right w:val="nil"/>
          <w:between w:val="nil"/>
        </w:pBdr>
        <w:shd w:val="clear" w:color="auto" w:fill="FFFFFF"/>
        <w:spacing w:after="0" w:line="240" w:lineRule="auto"/>
        <w:ind w:right="-270"/>
        <w:rPr>
          <w:color w:val="000000"/>
          <w:sz w:val="24"/>
          <w:szCs w:val="24"/>
        </w:rPr>
      </w:pPr>
    </w:p>
    <w:p w:rsidR="005465D9" w:rsidRPr="005465D9" w:rsidRDefault="00DC5466" w:rsidP="005465D9">
      <w:pPr>
        <w:shd w:val="clear" w:color="auto" w:fill="FFFFFF"/>
        <w:spacing w:after="0" w:line="240" w:lineRule="auto"/>
        <w:ind w:left="-18"/>
        <w:rPr>
          <w:b/>
          <w:color w:val="000000"/>
          <w:sz w:val="24"/>
          <w:szCs w:val="24"/>
          <w:u w:val="single"/>
        </w:rPr>
      </w:pPr>
      <w:bookmarkStart w:id="5" w:name="_Hlk179479451"/>
      <w:bookmarkEnd w:id="4"/>
      <w:r w:rsidRPr="005465D9">
        <w:rPr>
          <w:b/>
          <w:color w:val="000000"/>
          <w:sz w:val="24"/>
          <w:szCs w:val="24"/>
          <w:u w:val="single"/>
        </w:rPr>
        <w:t xml:space="preserve">Formula Equity: </w:t>
      </w:r>
    </w:p>
    <w:p w:rsidR="00432858" w:rsidRPr="009A681A" w:rsidRDefault="005465D9">
      <w:pPr>
        <w:shd w:val="clear" w:color="auto" w:fill="FFFFFF"/>
        <w:spacing w:after="0" w:line="240" w:lineRule="auto"/>
        <w:ind w:right="-6"/>
        <w:rPr>
          <w:color w:val="000000"/>
          <w:szCs w:val="24"/>
        </w:rPr>
      </w:pPr>
      <w:r w:rsidRPr="009A681A">
        <w:rPr>
          <w:color w:val="000000"/>
          <w:szCs w:val="24"/>
        </w:rPr>
        <w:t>R</w:t>
      </w:r>
      <w:r w:rsidR="00DC5466" w:rsidRPr="009A681A">
        <w:rPr>
          <w:color w:val="000000"/>
          <w:szCs w:val="24"/>
        </w:rPr>
        <w:t>esurrect and continue investments in</w:t>
      </w:r>
      <w:r w:rsidR="00DC5466" w:rsidRPr="009A681A">
        <w:rPr>
          <w:b/>
          <w:color w:val="000000"/>
          <w:szCs w:val="24"/>
        </w:rPr>
        <w:t xml:space="preserve"> </w:t>
      </w:r>
      <w:r w:rsidR="00DC5466" w:rsidRPr="009A681A">
        <w:rPr>
          <w:color w:val="000000"/>
          <w:szCs w:val="24"/>
        </w:rPr>
        <w:t xml:space="preserve">formula equity, closing the $140 state and district per pupil gap within ten years. Inequities in the formula, based on no longer relevant historical spending patterns over 40 years ago, must be corrected to support resources for all Iowa students. </w:t>
      </w:r>
    </w:p>
    <w:p w:rsidR="00432858" w:rsidRPr="009A681A" w:rsidRDefault="00432858">
      <w:pPr>
        <w:shd w:val="clear" w:color="auto" w:fill="FFFFFF"/>
        <w:spacing w:after="0" w:line="240" w:lineRule="auto"/>
        <w:ind w:right="-270"/>
        <w:rPr>
          <w:color w:val="000000"/>
          <w:szCs w:val="24"/>
        </w:rPr>
      </w:pPr>
    </w:p>
    <w:p w:rsidR="005465D9" w:rsidRPr="005465D9" w:rsidRDefault="00DC5466" w:rsidP="005465D9">
      <w:pPr>
        <w:shd w:val="clear" w:color="auto" w:fill="FFFFFF"/>
        <w:spacing w:after="0" w:line="240" w:lineRule="auto"/>
        <w:ind w:left="-18"/>
        <w:rPr>
          <w:b/>
          <w:color w:val="000000"/>
          <w:sz w:val="24"/>
          <w:szCs w:val="24"/>
          <w:u w:val="single"/>
        </w:rPr>
      </w:pPr>
      <w:bookmarkStart w:id="6" w:name="_Hlk179479470"/>
      <w:bookmarkEnd w:id="5"/>
      <w:r w:rsidRPr="005465D9">
        <w:rPr>
          <w:b/>
          <w:color w:val="000000"/>
          <w:sz w:val="24"/>
          <w:szCs w:val="24"/>
          <w:u w:val="single"/>
        </w:rPr>
        <w:t xml:space="preserve">Bond Issue Dates: </w:t>
      </w:r>
    </w:p>
    <w:p w:rsidR="00C2106E" w:rsidRPr="009A681A" w:rsidRDefault="005465D9">
      <w:pPr>
        <w:spacing w:after="0" w:line="240" w:lineRule="auto"/>
        <w:rPr>
          <w:szCs w:val="24"/>
        </w:rPr>
      </w:pPr>
      <w:r w:rsidRPr="009A681A">
        <w:rPr>
          <w:szCs w:val="24"/>
        </w:rPr>
        <w:t>T</w:t>
      </w:r>
      <w:r w:rsidR="00DC5466" w:rsidRPr="009A681A">
        <w:rPr>
          <w:szCs w:val="24"/>
        </w:rPr>
        <w:t>he restriction of bond elections to one annual date spikes the demand for providers, architects, bonders, and construction labor, while extending the time of completion, all increasing cost</w:t>
      </w:r>
      <w:r w:rsidR="009F6E7E" w:rsidRPr="009A681A">
        <w:rPr>
          <w:szCs w:val="24"/>
        </w:rPr>
        <w:t>s</w:t>
      </w:r>
      <w:r w:rsidR="00DC5466" w:rsidRPr="009A681A">
        <w:rPr>
          <w:szCs w:val="24"/>
        </w:rPr>
        <w:t xml:space="preserve"> to taxpayers. </w:t>
      </w:r>
      <w:r w:rsidR="006557A4" w:rsidRPr="009A681A">
        <w:rPr>
          <w:szCs w:val="24"/>
        </w:rPr>
        <w:t>B</w:t>
      </w:r>
      <w:r w:rsidR="00DC5466" w:rsidRPr="009A681A">
        <w:rPr>
          <w:szCs w:val="24"/>
        </w:rPr>
        <w:t xml:space="preserve">ond issues </w:t>
      </w:r>
      <w:r w:rsidR="006557A4" w:rsidRPr="009A681A">
        <w:rPr>
          <w:szCs w:val="24"/>
        </w:rPr>
        <w:t xml:space="preserve">should be </w:t>
      </w:r>
      <w:r w:rsidR="00DC5466" w:rsidRPr="009A681A">
        <w:rPr>
          <w:szCs w:val="24"/>
        </w:rPr>
        <w:t xml:space="preserve">approved by a </w:t>
      </w:r>
      <w:r w:rsidR="006557A4" w:rsidRPr="009A681A">
        <w:rPr>
          <w:szCs w:val="24"/>
        </w:rPr>
        <w:t xml:space="preserve">simple majority </w:t>
      </w:r>
      <w:r w:rsidR="00DC5466" w:rsidRPr="009A681A">
        <w:rPr>
          <w:szCs w:val="24"/>
        </w:rPr>
        <w:t>of voters (</w:t>
      </w:r>
      <w:r w:rsidR="006557A4" w:rsidRPr="009A681A">
        <w:rPr>
          <w:szCs w:val="24"/>
        </w:rPr>
        <w:t>50</w:t>
      </w:r>
      <w:r w:rsidR="00DC5466" w:rsidRPr="009A681A">
        <w:rPr>
          <w:szCs w:val="24"/>
        </w:rPr>
        <w:t xml:space="preserve">% +1), rather than a </w:t>
      </w:r>
      <w:r w:rsidR="006557A4" w:rsidRPr="009A681A">
        <w:rPr>
          <w:szCs w:val="24"/>
        </w:rPr>
        <w:t xml:space="preserve">super </w:t>
      </w:r>
      <w:r w:rsidR="00DC5466" w:rsidRPr="009A681A">
        <w:rPr>
          <w:szCs w:val="24"/>
        </w:rPr>
        <w:t>majority (</w:t>
      </w:r>
      <w:r w:rsidR="006557A4" w:rsidRPr="009A681A">
        <w:rPr>
          <w:szCs w:val="24"/>
        </w:rPr>
        <w:t>60</w:t>
      </w:r>
      <w:r w:rsidR="00DC5466" w:rsidRPr="009A681A">
        <w:rPr>
          <w:szCs w:val="24"/>
        </w:rPr>
        <w:t>% +1), school districts should be given options of multiple election dates yearly</w:t>
      </w:r>
      <w:r w:rsidR="006557A4" w:rsidRPr="009A681A">
        <w:rPr>
          <w:szCs w:val="24"/>
        </w:rPr>
        <w:t>, and only one vote should be required regardless of the levy amount, up to the $4.05 maximum levy</w:t>
      </w:r>
      <w:r w:rsidR="00DC5466" w:rsidRPr="009A681A">
        <w:rPr>
          <w:szCs w:val="24"/>
        </w:rPr>
        <w:t xml:space="preserve">. </w:t>
      </w:r>
    </w:p>
    <w:p w:rsidR="00C2106E" w:rsidRDefault="00C2106E">
      <w:pPr>
        <w:spacing w:after="0" w:line="240" w:lineRule="auto"/>
        <w:rPr>
          <w:sz w:val="24"/>
          <w:szCs w:val="24"/>
        </w:rPr>
      </w:pPr>
    </w:p>
    <w:p w:rsidR="005465D9" w:rsidRPr="005465D9" w:rsidRDefault="00DC5466" w:rsidP="005465D9">
      <w:pPr>
        <w:shd w:val="clear" w:color="auto" w:fill="FFFFFF"/>
        <w:spacing w:after="0" w:line="240" w:lineRule="auto"/>
        <w:ind w:left="-18"/>
        <w:rPr>
          <w:b/>
          <w:color w:val="000000"/>
          <w:sz w:val="24"/>
          <w:szCs w:val="24"/>
          <w:u w:val="single"/>
        </w:rPr>
      </w:pPr>
      <w:bookmarkStart w:id="7" w:name="_Hlk179479489"/>
      <w:bookmarkEnd w:id="6"/>
      <w:r w:rsidRPr="005465D9">
        <w:rPr>
          <w:b/>
          <w:color w:val="000000"/>
          <w:sz w:val="24"/>
          <w:szCs w:val="24"/>
          <w:u w:val="single"/>
        </w:rPr>
        <w:t xml:space="preserve">Area Education Agencies: </w:t>
      </w:r>
    </w:p>
    <w:p w:rsidR="00432858" w:rsidRPr="009A681A" w:rsidRDefault="00DC5466">
      <w:pPr>
        <w:shd w:val="clear" w:color="auto" w:fill="FFFFFF"/>
        <w:spacing w:after="0" w:line="240" w:lineRule="auto"/>
        <w:ind w:right="-270"/>
        <w:rPr>
          <w:color w:val="000000"/>
          <w:szCs w:val="24"/>
        </w:rPr>
      </w:pPr>
      <w:r w:rsidRPr="009A681A">
        <w:rPr>
          <w:color w:val="000000"/>
          <w:szCs w:val="24"/>
        </w:rPr>
        <w:t xml:space="preserve">Iowa’s rural schools are critically reliant on Iowa’s Area Education Agencies (AEAs), not only for special education services to students and training and support to staff, but also for instructional and media services. AEAs have provided rural school specialists to meet student needs or assist staff with the curriculum and materials necessary for student learning that would not otherwise be available or affordable. In addition, the economies of scale of the AEAs provide savings </w:t>
      </w:r>
      <w:r w:rsidRPr="009A681A">
        <w:rPr>
          <w:szCs w:val="24"/>
        </w:rPr>
        <w:t xml:space="preserve">that </w:t>
      </w:r>
      <w:r w:rsidRPr="009A681A">
        <w:rPr>
          <w:color w:val="000000"/>
          <w:szCs w:val="24"/>
        </w:rPr>
        <w:t xml:space="preserve">schools would not otherwise be able to achieve. In addition to their central role of serving students with disabilities, the AEAs provide many needed services for schools, just to name a few: emergency support when a district loses a superintendent or school business official mid-year, virtual learning content, </w:t>
      </w:r>
      <w:r w:rsidRPr="009A681A">
        <w:rPr>
          <w:szCs w:val="24"/>
        </w:rPr>
        <w:t xml:space="preserve">the </w:t>
      </w:r>
      <w:r w:rsidRPr="009A681A">
        <w:rPr>
          <w:color w:val="000000"/>
          <w:szCs w:val="24"/>
        </w:rPr>
        <w:t>printing of materials at affordable fees, training when districts undertake new instructional math or literacy initiatives, crisis supports and mental health services, etc. The Legislature should work closely with schools and AEAs in updating expectations and changing the funding or structure of AEA services in order to fully understand the impact on students and schools</w:t>
      </w:r>
      <w:r w:rsidR="00125910" w:rsidRPr="009A681A">
        <w:rPr>
          <w:color w:val="000000"/>
          <w:szCs w:val="24"/>
        </w:rPr>
        <w:t xml:space="preserve">. Timelines to implement changes must allow for thoughtful planning and reasonable transitions. </w:t>
      </w:r>
      <w:bookmarkEnd w:id="7"/>
    </w:p>
    <w:p w:rsidR="00432858" w:rsidRDefault="00432858">
      <w:pPr>
        <w:shd w:val="clear" w:color="auto" w:fill="FFFFFF"/>
        <w:spacing w:after="0" w:line="240" w:lineRule="auto"/>
        <w:ind w:right="-270"/>
        <w:rPr>
          <w:color w:val="000000"/>
          <w:sz w:val="24"/>
          <w:szCs w:val="24"/>
        </w:rPr>
      </w:pPr>
    </w:p>
    <w:sectPr w:rsidR="00432858">
      <w:footerReference w:type="default" r:id="rId8"/>
      <w:headerReference w:type="first" r:id="rId9"/>
      <w:footerReference w:type="first" r:id="rId10"/>
      <w:pgSz w:w="12240" w:h="15840"/>
      <w:pgMar w:top="1350" w:right="1440" w:bottom="810" w:left="144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3F6" w:rsidRDefault="00F413F6">
      <w:pPr>
        <w:spacing w:after="0" w:line="240" w:lineRule="auto"/>
      </w:pPr>
      <w:r>
        <w:separator/>
      </w:r>
    </w:p>
  </w:endnote>
  <w:endnote w:type="continuationSeparator" w:id="0">
    <w:p w:rsidR="00F413F6" w:rsidRDefault="00F4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58" w:rsidRPr="00EC19C3" w:rsidRDefault="00DC5466">
    <w:pPr>
      <w:pBdr>
        <w:top w:val="nil"/>
        <w:left w:val="nil"/>
        <w:bottom w:val="nil"/>
        <w:right w:val="nil"/>
        <w:between w:val="nil"/>
      </w:pBdr>
      <w:tabs>
        <w:tab w:val="center" w:pos="4680"/>
        <w:tab w:val="right" w:pos="9360"/>
      </w:tabs>
      <w:spacing w:after="0" w:line="240" w:lineRule="auto"/>
      <w:jc w:val="right"/>
      <w:rPr>
        <w:color w:val="000000"/>
        <w:sz w:val="18"/>
      </w:rPr>
    </w:pPr>
    <w:r w:rsidRPr="00EC19C3">
      <w:rPr>
        <w:color w:val="000000"/>
        <w:sz w:val="18"/>
      </w:rPr>
      <w:t>RSAI 2025 Legislative Priorit</w:t>
    </w:r>
    <w:r w:rsidR="003F1288" w:rsidRPr="00EC19C3">
      <w:rPr>
        <w:color w:val="000000"/>
        <w:sz w:val="18"/>
      </w:rPr>
      <w:t>i</w:t>
    </w:r>
    <w:r w:rsidRPr="00EC19C3">
      <w:rPr>
        <w:color w:val="000000"/>
        <w:sz w:val="18"/>
      </w:rPr>
      <w:t xml:space="preserve">es - Page </w:t>
    </w:r>
    <w:r w:rsidRPr="00EC19C3">
      <w:rPr>
        <w:color w:val="000000"/>
        <w:sz w:val="18"/>
      </w:rPr>
      <w:fldChar w:fldCharType="begin"/>
    </w:r>
    <w:r w:rsidRPr="00EC19C3">
      <w:rPr>
        <w:color w:val="000000"/>
        <w:sz w:val="18"/>
      </w:rPr>
      <w:instrText>PAGE</w:instrText>
    </w:r>
    <w:r w:rsidRPr="00EC19C3">
      <w:rPr>
        <w:color w:val="000000"/>
        <w:sz w:val="18"/>
      </w:rPr>
      <w:fldChar w:fldCharType="separate"/>
    </w:r>
    <w:r w:rsidR="00965A22">
      <w:rPr>
        <w:noProof/>
        <w:color w:val="000000"/>
        <w:sz w:val="18"/>
      </w:rPr>
      <w:t>4</w:t>
    </w:r>
    <w:r w:rsidRPr="00EC19C3">
      <w:rPr>
        <w:color w:val="000000"/>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58" w:rsidRDefault="00DC5466">
    <w:pPr>
      <w:tabs>
        <w:tab w:val="left" w:pos="912"/>
      </w:tabs>
      <w:spacing w:after="0"/>
      <w:jc w:val="center"/>
      <w:rPr>
        <w:color w:val="000000"/>
        <w:sz w:val="18"/>
        <w:szCs w:val="18"/>
      </w:rPr>
    </w:pPr>
    <w:r>
      <w:rPr>
        <w:color w:val="000000"/>
        <w:sz w:val="18"/>
        <w:szCs w:val="18"/>
      </w:rPr>
      <w:t>_____________________________________________________________</w:t>
    </w:r>
  </w:p>
  <w:p w:rsidR="00432858" w:rsidRDefault="00DC5466">
    <w:pPr>
      <w:tabs>
        <w:tab w:val="left" w:pos="912"/>
      </w:tabs>
      <w:spacing w:after="0"/>
      <w:jc w:val="center"/>
      <w:rPr>
        <w:color w:val="000000"/>
        <w:sz w:val="18"/>
        <w:szCs w:val="18"/>
      </w:rPr>
    </w:pPr>
    <w:r>
      <w:rPr>
        <w:color w:val="000000"/>
        <w:sz w:val="18"/>
        <w:szCs w:val="18"/>
      </w:rPr>
      <w:t>RSAI | 1201 63</w:t>
    </w:r>
    <w:r>
      <w:rPr>
        <w:color w:val="000000"/>
        <w:sz w:val="18"/>
        <w:szCs w:val="18"/>
        <w:vertAlign w:val="superscript"/>
      </w:rPr>
      <w:t>rd</w:t>
    </w:r>
    <w:r>
      <w:rPr>
        <w:color w:val="000000"/>
        <w:sz w:val="18"/>
        <w:szCs w:val="18"/>
      </w:rPr>
      <w:t xml:space="preserve"> Street, Des Moines, IA 50311 | </w:t>
    </w:r>
    <w:hyperlink r:id="rId1">
      <w:r>
        <w:rPr>
          <w:color w:val="0563C1"/>
          <w:sz w:val="18"/>
          <w:szCs w:val="18"/>
          <w:u w:val="single"/>
        </w:rPr>
        <w:t>www.rsaia.org</w:t>
      </w:r>
    </w:hyperlink>
  </w:p>
  <w:p w:rsidR="00432858" w:rsidRDefault="00DC5466">
    <w:pPr>
      <w:tabs>
        <w:tab w:val="left" w:pos="912"/>
      </w:tabs>
      <w:spacing w:after="0"/>
      <w:jc w:val="center"/>
      <w:rPr>
        <w:color w:val="000000"/>
        <w:sz w:val="18"/>
        <w:szCs w:val="18"/>
      </w:rPr>
    </w:pPr>
    <w:r>
      <w:rPr>
        <w:color w:val="000000"/>
        <w:sz w:val="18"/>
        <w:szCs w:val="18"/>
      </w:rPr>
      <w:t xml:space="preserve">Margaret Buckton, </w:t>
    </w:r>
    <w:hyperlink r:id="rId2">
      <w:r>
        <w:rPr>
          <w:color w:val="0563C1"/>
          <w:sz w:val="18"/>
          <w:szCs w:val="18"/>
          <w:u w:val="single"/>
        </w:rPr>
        <w:t>margaret.buckton@rsaia.org</w:t>
      </w:r>
    </w:hyperlink>
    <w:r>
      <w:rPr>
        <w:color w:val="000000"/>
        <w:sz w:val="18"/>
        <w:szCs w:val="18"/>
      </w:rPr>
      <w:t>, C-(515) 201-3755, O-(515) 251-5970</w:t>
    </w:r>
  </w:p>
  <w:p w:rsidR="005465D9" w:rsidRDefault="005465D9">
    <w:pPr>
      <w:tabs>
        <w:tab w:val="left" w:pos="912"/>
      </w:tabs>
      <w:spacing w:after="0"/>
      <w:jc w:val="center"/>
      <w:rPr>
        <w:color w:val="000000"/>
        <w:sz w:val="18"/>
        <w:szCs w:val="18"/>
      </w:rPr>
    </w:pPr>
    <w:r>
      <w:rPr>
        <w:color w:val="000000"/>
        <w:sz w:val="18"/>
        <w:szCs w:val="18"/>
      </w:rPr>
      <w:t xml:space="preserve">Dave Daughton, </w:t>
    </w:r>
    <w:hyperlink r:id="rId3" w:history="1">
      <w:r w:rsidRPr="007F58EB">
        <w:rPr>
          <w:rStyle w:val="Hyperlink"/>
          <w:sz w:val="18"/>
          <w:szCs w:val="18"/>
        </w:rPr>
        <w:t>dave.daughton@rsaia.org</w:t>
      </w:r>
    </w:hyperlink>
    <w:r>
      <w:rPr>
        <w:color w:val="000000"/>
        <w:sz w:val="18"/>
        <w:szCs w:val="18"/>
      </w:rPr>
      <w:t>, C-(641) 344-5205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3F6" w:rsidRDefault="00F413F6">
      <w:pPr>
        <w:spacing w:after="0" w:line="240" w:lineRule="auto"/>
      </w:pPr>
      <w:r>
        <w:separator/>
      </w:r>
    </w:p>
  </w:footnote>
  <w:footnote w:type="continuationSeparator" w:id="0">
    <w:p w:rsidR="00F413F6" w:rsidRDefault="00F41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858" w:rsidRDefault="00DC5466">
    <w:r>
      <w:rPr>
        <w:noProof/>
      </w:rPr>
      <mc:AlternateContent>
        <mc:Choice Requires="wps">
          <w:drawing>
            <wp:anchor distT="0" distB="0" distL="114300" distR="114300" simplePos="0" relativeHeight="251658240" behindDoc="0" locked="0" layoutInCell="1" hidden="0" allowOverlap="1">
              <wp:simplePos x="0" y="0"/>
              <wp:positionH relativeFrom="column">
                <wp:posOffset>2095500</wp:posOffset>
              </wp:positionH>
              <wp:positionV relativeFrom="paragraph">
                <wp:posOffset>-203199</wp:posOffset>
              </wp:positionV>
              <wp:extent cx="936625" cy="796925"/>
              <wp:effectExtent l="0" t="0" r="0" b="0"/>
              <wp:wrapNone/>
              <wp:docPr id="21" name="Rectangle 21"/>
              <wp:cNvGraphicFramePr/>
              <a:graphic xmlns:a="http://schemas.openxmlformats.org/drawingml/2006/main">
                <a:graphicData uri="http://schemas.microsoft.com/office/word/2010/wordprocessingShape">
                  <wps:wsp>
                    <wps:cNvSpPr/>
                    <wps:spPr>
                      <a:xfrm>
                        <a:off x="4883720" y="3389509"/>
                        <a:ext cx="924560" cy="780983"/>
                      </a:xfrm>
                      <a:prstGeom prst="rect">
                        <a:avLst/>
                      </a:prstGeom>
                      <a:solidFill>
                        <a:srgbClr val="00B0F0"/>
                      </a:solidFill>
                      <a:ln>
                        <a:noFill/>
                      </a:ln>
                    </wps:spPr>
                    <wps:txbx>
                      <w:txbxContent>
                        <w:p w:rsidR="00432858" w:rsidRDefault="004328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1" o:spid="_x0000_s1026" style="position:absolute;margin-left:165pt;margin-top:-16pt;width:73.75pt;height:6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" fillcolor="#00b0f0" stroked="f">
              <v:textbox inset="2.53958mm,2.53958mm,2.53958mm,2.53958mm">
                <w:txbxContent>
                  <w:p w:rsidR="00432858" w:rsidRDefault="00432858">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5003800</wp:posOffset>
              </wp:positionH>
              <wp:positionV relativeFrom="paragraph">
                <wp:posOffset>-203199</wp:posOffset>
              </wp:positionV>
              <wp:extent cx="936625" cy="796925"/>
              <wp:effectExtent l="0" t="0" r="0" b="0"/>
              <wp:wrapNone/>
              <wp:docPr id="22" name="Rectangle 22"/>
              <wp:cNvGraphicFramePr/>
              <a:graphic xmlns:a="http://schemas.openxmlformats.org/drawingml/2006/main">
                <a:graphicData uri="http://schemas.microsoft.com/office/word/2010/wordprocessingShape">
                  <wps:wsp>
                    <wps:cNvSpPr/>
                    <wps:spPr>
                      <a:xfrm>
                        <a:off x="4883720" y="3389793"/>
                        <a:ext cx="924560" cy="780414"/>
                      </a:xfrm>
                      <a:prstGeom prst="rect">
                        <a:avLst/>
                      </a:prstGeom>
                      <a:solidFill>
                        <a:srgbClr val="E36C09">
                          <a:alpha val="57254"/>
                        </a:srgbClr>
                      </a:solidFill>
                      <a:ln>
                        <a:noFill/>
                      </a:ln>
                    </wps:spPr>
                    <wps:txbx>
                      <w:txbxContent>
                        <w:p w:rsidR="00432858" w:rsidRDefault="00DC5466">
                          <w:pPr>
                            <w:spacing w:line="275" w:lineRule="auto"/>
                            <w:jc w:val="center"/>
                            <w:textDirection w:val="btLr"/>
                          </w:pPr>
                          <w:r>
                            <w:rPr>
                              <w:rFonts w:ascii="Arial" w:eastAsia="Arial" w:hAnsi="Arial" w:cs="Arial"/>
                              <w:color w:val="000000"/>
                              <w:sz w:val="28"/>
                            </w:rPr>
                            <w:t>rsaia.org</w:t>
                          </w:r>
                        </w:p>
                      </w:txbxContent>
                    </wps:txbx>
                    <wps:bodyPr spcFirstLastPara="1" wrap="square" lIns="91425" tIns="45700" rIns="91425" bIns="45700"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2" o:spid="_x0000_s1027" style="position:absolute;margin-left:394pt;margin-top:-16pt;width:73.75pt;height:6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" fillcolor="#e36c09" stroked="f">
              <v:fill opacity="37522f"/>
              <v:textbox inset="2.53958mm,1.2694mm,2.53958mm,1.2694mm">
                <w:txbxContent>
                  <w:p w:rsidR="00432858" w:rsidRDefault="00DC5466">
                    <w:pPr>
                      <w:spacing w:line="275" w:lineRule="auto"/>
                      <w:jc w:val="center"/>
                      <w:textDirection w:val="btLr"/>
                    </w:pPr>
                    <w:r>
                      <w:rPr>
                        <w:rFonts w:ascii="Arial" w:eastAsia="Arial" w:hAnsi="Arial" w:cs="Arial"/>
                        <w:color w:val="000000"/>
                        <w:sz w:val="28"/>
                      </w:rPr>
                      <w:t>rsaia.org</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50801</wp:posOffset>
              </wp:positionH>
              <wp:positionV relativeFrom="paragraph">
                <wp:posOffset>-241299</wp:posOffset>
              </wp:positionV>
              <wp:extent cx="936625" cy="822325"/>
              <wp:effectExtent l="0" t="0" r="0" b="0"/>
              <wp:wrapNone/>
              <wp:docPr id="23" name="Rectangle 23"/>
              <wp:cNvGraphicFramePr/>
              <a:graphic xmlns:a="http://schemas.openxmlformats.org/drawingml/2006/main">
                <a:graphicData uri="http://schemas.microsoft.com/office/word/2010/wordprocessingShape">
                  <wps:wsp>
                    <wps:cNvSpPr/>
                    <wps:spPr>
                      <a:xfrm>
                        <a:off x="4883720" y="3373382"/>
                        <a:ext cx="924560" cy="813237"/>
                      </a:xfrm>
                      <a:prstGeom prst="rect">
                        <a:avLst/>
                      </a:prstGeom>
                      <a:solidFill>
                        <a:srgbClr val="92D050"/>
                      </a:solidFill>
                      <a:ln>
                        <a:noFill/>
                      </a:ln>
                    </wps:spPr>
                    <wps:txbx>
                      <w:txbxContent>
                        <w:p w:rsidR="00432858" w:rsidRDefault="00432858">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3" o:spid="_x0000_s1028" style="position:absolute;margin-left:4pt;margin-top:-19pt;width:73.75pt;height:6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" fillcolor="#92d050" stroked="f">
              <v:textbox inset="2.53958mm,1.2694mm,2.53958mm,1.2694mm">
                <w:txbxContent>
                  <w:p w:rsidR="00432858" w:rsidRDefault="00432858">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1054100</wp:posOffset>
              </wp:positionH>
              <wp:positionV relativeFrom="paragraph">
                <wp:posOffset>-228599</wp:posOffset>
              </wp:positionV>
              <wp:extent cx="936625" cy="809625"/>
              <wp:effectExtent l="0" t="0" r="0" b="0"/>
              <wp:wrapNone/>
              <wp:docPr id="20" name="Rectangle 20"/>
              <wp:cNvGraphicFramePr/>
              <a:graphic xmlns:a="http://schemas.openxmlformats.org/drawingml/2006/main">
                <a:graphicData uri="http://schemas.microsoft.com/office/word/2010/wordprocessingShape">
                  <wps:wsp>
                    <wps:cNvSpPr/>
                    <wps:spPr>
                      <a:xfrm>
                        <a:off x="4883720" y="3378855"/>
                        <a:ext cx="924560" cy="802290"/>
                      </a:xfrm>
                      <a:prstGeom prst="rect">
                        <a:avLst/>
                      </a:prstGeom>
                      <a:solidFill>
                        <a:srgbClr val="C00000"/>
                      </a:solidFill>
                      <a:ln>
                        <a:noFill/>
                      </a:ln>
                    </wps:spPr>
                    <wps:txbx>
                      <w:txbxContent>
                        <w:p w:rsidR="00432858" w:rsidRDefault="004328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20" o:spid="_x0000_s1029" style="position:absolute;margin-left:83pt;margin-top:-18pt;width:73.75pt;height:6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" fillcolor="#c00000" stroked="f">
              <v:textbox inset="2.53958mm,2.53958mm,2.53958mm,2.53958mm">
                <w:txbxContent>
                  <w:p w:rsidR="00432858" w:rsidRDefault="00432858">
                    <w:pPr>
                      <w:spacing w:after="0" w:line="240" w:lineRule="auto"/>
                      <w:textDirection w:val="btLr"/>
                    </w:pPr>
                  </w:p>
                </w:txbxContent>
              </v:textbox>
            </v:rect>
          </w:pict>
        </mc:Fallback>
      </mc:AlternateContent>
    </w:r>
    <w:r>
      <w:rPr>
        <w:noProof/>
      </w:rPr>
      <w:drawing>
        <wp:anchor distT="0" distB="0" distL="114300" distR="114300" simplePos="0" relativeHeight="251662336" behindDoc="0" locked="0" layoutInCell="1" hidden="0" allowOverlap="1">
          <wp:simplePos x="0" y="0"/>
          <wp:positionH relativeFrom="column">
            <wp:posOffset>3145790</wp:posOffset>
          </wp:positionH>
          <wp:positionV relativeFrom="paragraph">
            <wp:posOffset>-410558</wp:posOffset>
          </wp:positionV>
          <wp:extent cx="1776095" cy="10541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432858" w:rsidRDefault="0043285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C2FD9"/>
    <w:multiLevelType w:val="multilevel"/>
    <w:tmpl w:val="C4FA4754"/>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D8435DE"/>
    <w:multiLevelType w:val="multilevel"/>
    <w:tmpl w:val="62720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F76B7"/>
    <w:multiLevelType w:val="multilevel"/>
    <w:tmpl w:val="45C4F0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9653A3F"/>
    <w:multiLevelType w:val="multilevel"/>
    <w:tmpl w:val="A16C52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CyNDExNDQxMDY1sDRS0lEKTi0uzszPAykwrAUAqXK3yywAAAA="/>
  </w:docVars>
  <w:rsids>
    <w:rsidRoot w:val="00432858"/>
    <w:rsid w:val="0001160D"/>
    <w:rsid w:val="00022AD0"/>
    <w:rsid w:val="000A4BED"/>
    <w:rsid w:val="00125910"/>
    <w:rsid w:val="001829BE"/>
    <w:rsid w:val="00264CF0"/>
    <w:rsid w:val="00293504"/>
    <w:rsid w:val="002C6FCA"/>
    <w:rsid w:val="002D6138"/>
    <w:rsid w:val="003138C9"/>
    <w:rsid w:val="003F1288"/>
    <w:rsid w:val="00432858"/>
    <w:rsid w:val="004E139A"/>
    <w:rsid w:val="005465D9"/>
    <w:rsid w:val="005608C0"/>
    <w:rsid w:val="00646F33"/>
    <w:rsid w:val="006557A4"/>
    <w:rsid w:val="0065719B"/>
    <w:rsid w:val="0068118A"/>
    <w:rsid w:val="006C0CDA"/>
    <w:rsid w:val="0071254F"/>
    <w:rsid w:val="00733BE6"/>
    <w:rsid w:val="00735539"/>
    <w:rsid w:val="00796C29"/>
    <w:rsid w:val="007C552B"/>
    <w:rsid w:val="00807AC5"/>
    <w:rsid w:val="008247A6"/>
    <w:rsid w:val="008905F8"/>
    <w:rsid w:val="008B6EED"/>
    <w:rsid w:val="008C29B6"/>
    <w:rsid w:val="008E64E4"/>
    <w:rsid w:val="009028B1"/>
    <w:rsid w:val="00965A22"/>
    <w:rsid w:val="009A681A"/>
    <w:rsid w:val="009F6E7E"/>
    <w:rsid w:val="00A67C6B"/>
    <w:rsid w:val="00A72C83"/>
    <w:rsid w:val="00A94756"/>
    <w:rsid w:val="00AC41C0"/>
    <w:rsid w:val="00B216BE"/>
    <w:rsid w:val="00BB3177"/>
    <w:rsid w:val="00C2106E"/>
    <w:rsid w:val="00C53C1D"/>
    <w:rsid w:val="00C70582"/>
    <w:rsid w:val="00CC0A1F"/>
    <w:rsid w:val="00CD26BD"/>
    <w:rsid w:val="00CD5C0A"/>
    <w:rsid w:val="00D56F17"/>
    <w:rsid w:val="00D716A6"/>
    <w:rsid w:val="00DC2AB1"/>
    <w:rsid w:val="00DC5466"/>
    <w:rsid w:val="00DD47BD"/>
    <w:rsid w:val="00DE27C6"/>
    <w:rsid w:val="00E369B0"/>
    <w:rsid w:val="00E72565"/>
    <w:rsid w:val="00EC19C3"/>
    <w:rsid w:val="00ED6BFE"/>
    <w:rsid w:val="00F02B32"/>
    <w:rsid w:val="00F27F65"/>
    <w:rsid w:val="00F413F6"/>
    <w:rsid w:val="00F8788C"/>
    <w:rsid w:val="00FF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5FDCE-A9EE-4D49-A66C-4B10E1A7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7A51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0657D"/>
    <w:pPr>
      <w:ind w:left="720"/>
      <w:contextualSpacing/>
    </w:pPr>
  </w:style>
  <w:style w:type="paragraph" w:styleId="Header">
    <w:name w:val="header"/>
    <w:basedOn w:val="Normal"/>
    <w:link w:val="HeaderChar"/>
    <w:uiPriority w:val="99"/>
    <w:unhideWhenUsed/>
    <w:rsid w:val="002E0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82B"/>
  </w:style>
  <w:style w:type="paragraph" w:styleId="Footer">
    <w:name w:val="footer"/>
    <w:basedOn w:val="Normal"/>
    <w:link w:val="FooterChar"/>
    <w:uiPriority w:val="99"/>
    <w:unhideWhenUsed/>
    <w:rsid w:val="002E0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82B"/>
  </w:style>
  <w:style w:type="character" w:styleId="Hyperlink">
    <w:name w:val="Hyperlink"/>
    <w:basedOn w:val="DefaultParagraphFont"/>
    <w:uiPriority w:val="99"/>
    <w:unhideWhenUsed/>
    <w:rsid w:val="002E082B"/>
    <w:rPr>
      <w:color w:val="0563C1" w:themeColor="hyperlink"/>
      <w:u w:val="single"/>
    </w:rPr>
  </w:style>
  <w:style w:type="paragraph" w:styleId="BalloonText">
    <w:name w:val="Balloon Text"/>
    <w:basedOn w:val="Normal"/>
    <w:link w:val="BalloonTextChar"/>
    <w:uiPriority w:val="99"/>
    <w:semiHidden/>
    <w:unhideWhenUsed/>
    <w:rsid w:val="005A7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88"/>
    <w:rPr>
      <w:rFonts w:ascii="Segoe UI" w:hAnsi="Segoe UI" w:cs="Segoe UI"/>
      <w:sz w:val="18"/>
      <w:szCs w:val="18"/>
    </w:rPr>
  </w:style>
  <w:style w:type="character" w:customStyle="1" w:styleId="Heading3Char">
    <w:name w:val="Heading 3 Char"/>
    <w:basedOn w:val="DefaultParagraphFont"/>
    <w:link w:val="Heading3"/>
    <w:uiPriority w:val="9"/>
    <w:rsid w:val="007A51F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34403"/>
    <w:rPr>
      <w:color w:val="605E5C"/>
      <w:shd w:val="clear" w:color="auto" w:fill="E1DFDD"/>
    </w:rPr>
  </w:style>
  <w:style w:type="character" w:customStyle="1" w:styleId="UnresolvedMention2">
    <w:name w:val="Unresolved Mention2"/>
    <w:basedOn w:val="DefaultParagraphFont"/>
    <w:uiPriority w:val="99"/>
    <w:semiHidden/>
    <w:unhideWhenUsed/>
    <w:rsid w:val="007E3F98"/>
    <w:rPr>
      <w:color w:val="605E5C"/>
      <w:shd w:val="clear" w:color="auto" w:fill="E1DFDD"/>
    </w:rPr>
  </w:style>
  <w:style w:type="table" w:styleId="TableGrid">
    <w:name w:val="Table Grid"/>
    <w:basedOn w:val="TableNormal"/>
    <w:uiPriority w:val="59"/>
    <w:rsid w:val="00C1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A72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277053">
      <w:bodyDiv w:val="1"/>
      <w:marLeft w:val="0"/>
      <w:marRight w:val="0"/>
      <w:marTop w:val="0"/>
      <w:marBottom w:val="0"/>
      <w:divBdr>
        <w:top w:val="none" w:sz="0" w:space="0" w:color="auto"/>
        <w:left w:val="none" w:sz="0" w:space="0" w:color="auto"/>
        <w:bottom w:val="none" w:sz="0" w:space="0" w:color="auto"/>
        <w:right w:val="none" w:sz="0" w:space="0" w:color="auto"/>
      </w:divBdr>
      <w:divsChild>
        <w:div w:id="1208637796">
          <w:marLeft w:val="0"/>
          <w:marRight w:val="0"/>
          <w:marTop w:val="0"/>
          <w:marBottom w:val="0"/>
          <w:divBdr>
            <w:top w:val="none" w:sz="0" w:space="0" w:color="auto"/>
            <w:left w:val="none" w:sz="0" w:space="0" w:color="auto"/>
            <w:bottom w:val="none" w:sz="0" w:space="0" w:color="auto"/>
            <w:right w:val="none" w:sz="0" w:space="0" w:color="auto"/>
          </w:divBdr>
          <w:divsChild>
            <w:div w:id="1040787010">
              <w:marLeft w:val="0"/>
              <w:marRight w:val="0"/>
              <w:marTop w:val="0"/>
              <w:marBottom w:val="0"/>
              <w:divBdr>
                <w:top w:val="none" w:sz="0" w:space="0" w:color="auto"/>
                <w:left w:val="none" w:sz="0" w:space="0" w:color="auto"/>
                <w:bottom w:val="none" w:sz="0" w:space="0" w:color="auto"/>
                <w:right w:val="none" w:sz="0" w:space="0" w:color="auto"/>
              </w:divBdr>
              <w:divsChild>
                <w:div w:id="1750617565">
                  <w:marLeft w:val="0"/>
                  <w:marRight w:val="0"/>
                  <w:marTop w:val="0"/>
                  <w:marBottom w:val="0"/>
                  <w:divBdr>
                    <w:top w:val="none" w:sz="0" w:space="0" w:color="auto"/>
                    <w:left w:val="none" w:sz="0" w:space="0" w:color="auto"/>
                    <w:bottom w:val="none" w:sz="0" w:space="0" w:color="auto"/>
                    <w:right w:val="none" w:sz="0" w:space="0" w:color="auto"/>
                  </w:divBdr>
                  <w:divsChild>
                    <w:div w:id="10644046">
                      <w:marLeft w:val="0"/>
                      <w:marRight w:val="0"/>
                      <w:marTop w:val="0"/>
                      <w:marBottom w:val="0"/>
                      <w:divBdr>
                        <w:top w:val="none" w:sz="0" w:space="0" w:color="auto"/>
                        <w:left w:val="none" w:sz="0" w:space="0" w:color="auto"/>
                        <w:bottom w:val="none" w:sz="0" w:space="0" w:color="auto"/>
                        <w:right w:val="none" w:sz="0" w:space="0" w:color="auto"/>
                      </w:divBdr>
                      <w:divsChild>
                        <w:div w:id="657419945">
                          <w:marLeft w:val="0"/>
                          <w:marRight w:val="0"/>
                          <w:marTop w:val="0"/>
                          <w:marBottom w:val="0"/>
                          <w:divBdr>
                            <w:top w:val="none" w:sz="0" w:space="0" w:color="auto"/>
                            <w:left w:val="none" w:sz="0" w:space="0" w:color="auto"/>
                            <w:bottom w:val="none" w:sz="0" w:space="0" w:color="auto"/>
                            <w:right w:val="none" w:sz="0" w:space="0" w:color="auto"/>
                          </w:divBdr>
                          <w:divsChild>
                            <w:div w:id="1835098884">
                              <w:marLeft w:val="0"/>
                              <w:marRight w:val="0"/>
                              <w:marTop w:val="0"/>
                              <w:marBottom w:val="0"/>
                              <w:divBdr>
                                <w:top w:val="none" w:sz="0" w:space="0" w:color="auto"/>
                                <w:left w:val="none" w:sz="0" w:space="0" w:color="auto"/>
                                <w:bottom w:val="none" w:sz="0" w:space="0" w:color="auto"/>
                                <w:right w:val="none" w:sz="0" w:space="0" w:color="auto"/>
                              </w:divBdr>
                              <w:divsChild>
                                <w:div w:id="1577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7552">
                  <w:marLeft w:val="0"/>
                  <w:marRight w:val="0"/>
                  <w:marTop w:val="0"/>
                  <w:marBottom w:val="0"/>
                  <w:divBdr>
                    <w:top w:val="none" w:sz="0" w:space="0" w:color="auto"/>
                    <w:left w:val="none" w:sz="0" w:space="0" w:color="auto"/>
                    <w:bottom w:val="none" w:sz="0" w:space="0" w:color="auto"/>
                    <w:right w:val="none" w:sz="0" w:space="0" w:color="auto"/>
                  </w:divBdr>
                  <w:divsChild>
                    <w:div w:id="228155641">
                      <w:marLeft w:val="0"/>
                      <w:marRight w:val="0"/>
                      <w:marTop w:val="0"/>
                      <w:marBottom w:val="0"/>
                      <w:divBdr>
                        <w:top w:val="none" w:sz="0" w:space="0" w:color="auto"/>
                        <w:left w:val="none" w:sz="0" w:space="0" w:color="auto"/>
                        <w:bottom w:val="none" w:sz="0" w:space="0" w:color="auto"/>
                        <w:right w:val="none" w:sz="0" w:space="0" w:color="auto"/>
                      </w:divBdr>
                      <w:divsChild>
                        <w:div w:id="1026717364">
                          <w:marLeft w:val="0"/>
                          <w:marRight w:val="0"/>
                          <w:marTop w:val="0"/>
                          <w:marBottom w:val="0"/>
                          <w:divBdr>
                            <w:top w:val="none" w:sz="0" w:space="0" w:color="auto"/>
                            <w:left w:val="none" w:sz="0" w:space="0" w:color="auto"/>
                            <w:bottom w:val="none" w:sz="0" w:space="0" w:color="auto"/>
                            <w:right w:val="none" w:sz="0" w:space="0" w:color="auto"/>
                          </w:divBdr>
                          <w:divsChild>
                            <w:div w:id="2074502653">
                              <w:marLeft w:val="0"/>
                              <w:marRight w:val="0"/>
                              <w:marTop w:val="0"/>
                              <w:marBottom w:val="0"/>
                              <w:divBdr>
                                <w:top w:val="none" w:sz="0" w:space="0" w:color="auto"/>
                                <w:left w:val="none" w:sz="0" w:space="0" w:color="auto"/>
                                <w:bottom w:val="none" w:sz="0" w:space="0" w:color="auto"/>
                                <w:right w:val="none" w:sz="0" w:space="0" w:color="auto"/>
                              </w:divBdr>
                              <w:divsChild>
                                <w:div w:id="1683165205">
                                  <w:marLeft w:val="0"/>
                                  <w:marRight w:val="0"/>
                                  <w:marTop w:val="0"/>
                                  <w:marBottom w:val="0"/>
                                  <w:divBdr>
                                    <w:top w:val="none" w:sz="0" w:space="0" w:color="auto"/>
                                    <w:left w:val="none" w:sz="0" w:space="0" w:color="auto"/>
                                    <w:bottom w:val="none" w:sz="0" w:space="0" w:color="auto"/>
                                    <w:right w:val="none" w:sz="0" w:space="0" w:color="auto"/>
                                  </w:divBdr>
                                  <w:divsChild>
                                    <w:div w:id="12420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SlrevI3gyUu+ytwjtUgps4rFw==">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JA</cp:lastModifiedBy>
  <cp:revision>2</cp:revision>
  <dcterms:created xsi:type="dcterms:W3CDTF">2024-11-13T21:14:00Z</dcterms:created>
  <dcterms:modified xsi:type="dcterms:W3CDTF">2024-11-13T21:14:00Z</dcterms:modified>
</cp:coreProperties>
</file>