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375B" w14:textId="77777777" w:rsidR="00664CA5" w:rsidRDefault="004542E3" w:rsidP="004542E3">
      <w:pPr>
        <w:spacing w:before="66"/>
        <w:ind w:left="100"/>
        <w:jc w:val="center"/>
        <w:rPr>
          <w:rFonts w:ascii="Times New Roman"/>
          <w:b/>
          <w:sz w:val="32"/>
          <w:szCs w:val="32"/>
        </w:rPr>
      </w:pPr>
      <w:bookmarkStart w:id="0" w:name="_GoBack"/>
      <w:bookmarkEnd w:id="0"/>
      <w:r w:rsidRPr="004542E3">
        <w:rPr>
          <w:rFonts w:ascii="Times New Roman"/>
          <w:b/>
          <w:sz w:val="32"/>
          <w:szCs w:val="32"/>
        </w:rPr>
        <w:t xml:space="preserve">Evidence-based </w:t>
      </w:r>
      <w:r w:rsidRPr="00EA4FF0">
        <w:rPr>
          <w:rFonts w:ascii="Times New Roman"/>
          <w:b/>
          <w:i/>
          <w:sz w:val="32"/>
          <w:szCs w:val="32"/>
        </w:rPr>
        <w:t>Patient Selection Exclusionary Criteria</w:t>
      </w:r>
      <w:r w:rsidRPr="004542E3">
        <w:rPr>
          <w:rFonts w:ascii="Times New Roman"/>
          <w:b/>
          <w:sz w:val="32"/>
          <w:szCs w:val="32"/>
        </w:rPr>
        <w:t xml:space="preserve"> for OUTPATIENT TOTAL KNEE ARTHROPLASTY</w:t>
      </w:r>
    </w:p>
    <w:p w14:paraId="68B160BE" w14:textId="77777777" w:rsidR="008D0DD2" w:rsidRPr="005867BB" w:rsidRDefault="008D0DD2" w:rsidP="008D0DD2">
      <w:pPr>
        <w:spacing w:before="3"/>
        <w:jc w:val="center"/>
        <w:rPr>
          <w:rFonts w:ascii="Times New Roman" w:eastAsia="Times New Roman" w:hAnsi="Times New Roman" w:cs="Times New Roman"/>
          <w:b/>
          <w:i/>
          <w:sz w:val="24"/>
          <w:szCs w:val="24"/>
          <w:u w:val="single"/>
        </w:rPr>
      </w:pPr>
      <w:r w:rsidRPr="005867BB">
        <w:rPr>
          <w:rFonts w:ascii="Times New Roman" w:eastAsia="Times New Roman" w:hAnsi="Times New Roman" w:cs="Times New Roman"/>
          <w:b/>
          <w:i/>
          <w:sz w:val="24"/>
          <w:szCs w:val="24"/>
          <w:u w:val="single"/>
        </w:rPr>
        <w:t>APPROVED BY ORTHO GOVERNING COUNCIL FEB 20 2018</w:t>
      </w:r>
    </w:p>
    <w:p w14:paraId="77D94C2F" w14:textId="77777777" w:rsidR="008D0DD2" w:rsidRPr="004542E3" w:rsidRDefault="008D0DD2" w:rsidP="004542E3">
      <w:pPr>
        <w:spacing w:before="66"/>
        <w:ind w:left="100"/>
        <w:jc w:val="center"/>
        <w:rPr>
          <w:rFonts w:ascii="Times New Roman" w:eastAsia="Times New Roman" w:hAnsi="Times New Roman" w:cs="Times New Roman"/>
          <w:b/>
          <w:bCs/>
          <w:sz w:val="32"/>
          <w:szCs w:val="32"/>
        </w:rPr>
      </w:pPr>
    </w:p>
    <w:p w14:paraId="664CAE3E" w14:textId="77777777" w:rsidR="00664CA5" w:rsidRDefault="00664CA5">
      <w:pPr>
        <w:spacing w:before="8"/>
        <w:rPr>
          <w:rFonts w:ascii="Times New Roman" w:eastAsia="Times New Roman" w:hAnsi="Times New Roman" w:cs="Times New Roman"/>
          <w:b/>
          <w:bCs/>
          <w:sz w:val="23"/>
          <w:szCs w:val="23"/>
        </w:rPr>
      </w:pPr>
    </w:p>
    <w:p w14:paraId="26C57470" w14:textId="77777777" w:rsidR="00664CA5" w:rsidRPr="00124C11" w:rsidRDefault="007A47FD">
      <w:pPr>
        <w:pStyle w:val="Heading1"/>
        <w:numPr>
          <w:ilvl w:val="0"/>
          <w:numId w:val="1"/>
        </w:numPr>
        <w:tabs>
          <w:tab w:val="left" w:pos="374"/>
        </w:tabs>
        <w:ind w:hanging="213"/>
        <w:jc w:val="left"/>
        <w:rPr>
          <w:rFonts w:asciiTheme="minorHAnsi" w:eastAsia="Times New Roman" w:hAnsiTheme="minorHAnsi" w:cs="Times New Roman"/>
          <w:b w:val="0"/>
          <w:bCs w:val="0"/>
        </w:rPr>
      </w:pPr>
      <w:r w:rsidRPr="00124C11">
        <w:rPr>
          <w:rFonts w:asciiTheme="minorHAnsi" w:hAnsiTheme="minorHAnsi"/>
          <w:spacing w:val="-1"/>
        </w:rPr>
        <w:t>SCOPE:</w:t>
      </w:r>
    </w:p>
    <w:p w14:paraId="0010C675" w14:textId="77777777" w:rsidR="00EA4FF0" w:rsidRPr="00EA4FF0" w:rsidRDefault="00EF1C66" w:rsidP="00EA4FF0">
      <w:pPr>
        <w:pStyle w:val="NoSpacing"/>
        <w:rPr>
          <w:rFonts w:cs="Times New Roman"/>
          <w:sz w:val="24"/>
          <w:szCs w:val="24"/>
        </w:rPr>
      </w:pPr>
      <w:r w:rsidRPr="00EA4FF0">
        <w:rPr>
          <w:sz w:val="24"/>
          <w:szCs w:val="24"/>
        </w:rPr>
        <w:t xml:space="preserve">These guidelines </w:t>
      </w:r>
      <w:r w:rsidRPr="00EA4FF0">
        <w:rPr>
          <w:spacing w:val="-1"/>
          <w:sz w:val="24"/>
          <w:szCs w:val="24"/>
        </w:rPr>
        <w:t>apply</w:t>
      </w:r>
      <w:r w:rsidR="007A47FD" w:rsidRPr="00EA4FF0">
        <w:rPr>
          <w:spacing w:val="-4"/>
          <w:sz w:val="24"/>
          <w:szCs w:val="24"/>
        </w:rPr>
        <w:t xml:space="preserve"> </w:t>
      </w:r>
      <w:r w:rsidR="007A47FD" w:rsidRPr="00EA4FF0">
        <w:rPr>
          <w:sz w:val="24"/>
          <w:szCs w:val="24"/>
        </w:rPr>
        <w:t xml:space="preserve">to </w:t>
      </w:r>
      <w:r w:rsidR="007A47FD" w:rsidRPr="00EA4FF0">
        <w:rPr>
          <w:spacing w:val="-1"/>
          <w:sz w:val="24"/>
          <w:szCs w:val="24"/>
        </w:rPr>
        <w:t>patients</w:t>
      </w:r>
      <w:r w:rsidR="007A47FD" w:rsidRPr="00EA4FF0">
        <w:rPr>
          <w:spacing w:val="-4"/>
          <w:sz w:val="24"/>
          <w:szCs w:val="24"/>
        </w:rPr>
        <w:t xml:space="preserve"> </w:t>
      </w:r>
      <w:r w:rsidR="007A47FD" w:rsidRPr="00EA4FF0">
        <w:rPr>
          <w:sz w:val="24"/>
          <w:szCs w:val="24"/>
        </w:rPr>
        <w:t xml:space="preserve">at </w:t>
      </w:r>
      <w:r w:rsidR="005356FE">
        <w:rPr>
          <w:sz w:val="24"/>
          <w:szCs w:val="24"/>
        </w:rPr>
        <w:t>______________</w:t>
      </w:r>
      <w:r w:rsidRPr="00EA4FF0">
        <w:rPr>
          <w:sz w:val="24"/>
          <w:szCs w:val="24"/>
        </w:rPr>
        <w:t xml:space="preserve"> who are insured through the Medicare Program</w:t>
      </w:r>
      <w:r w:rsidR="007A47FD" w:rsidRPr="00EA4FF0">
        <w:rPr>
          <w:sz w:val="24"/>
          <w:szCs w:val="24"/>
        </w:rPr>
        <w:t>,</w:t>
      </w:r>
      <w:r w:rsidR="007A47FD" w:rsidRPr="00EA4FF0">
        <w:rPr>
          <w:spacing w:val="-6"/>
          <w:sz w:val="24"/>
          <w:szCs w:val="24"/>
        </w:rPr>
        <w:t xml:space="preserve"> </w:t>
      </w:r>
      <w:r w:rsidR="007A47FD" w:rsidRPr="00EA4FF0">
        <w:rPr>
          <w:spacing w:val="-1"/>
          <w:sz w:val="24"/>
          <w:szCs w:val="24"/>
        </w:rPr>
        <w:t>who</w:t>
      </w:r>
      <w:r w:rsidR="007A47FD" w:rsidRPr="00EA4FF0">
        <w:rPr>
          <w:spacing w:val="-2"/>
          <w:sz w:val="24"/>
          <w:szCs w:val="24"/>
        </w:rPr>
        <w:t xml:space="preserve"> </w:t>
      </w:r>
      <w:r w:rsidR="007A47FD" w:rsidRPr="00EA4FF0">
        <w:rPr>
          <w:spacing w:val="-1"/>
          <w:sz w:val="24"/>
          <w:szCs w:val="24"/>
        </w:rPr>
        <w:t>are</w:t>
      </w:r>
      <w:r w:rsidR="007A47FD" w:rsidRPr="00EA4FF0">
        <w:rPr>
          <w:spacing w:val="-6"/>
          <w:sz w:val="24"/>
          <w:szCs w:val="24"/>
        </w:rPr>
        <w:t xml:space="preserve"> </w:t>
      </w:r>
      <w:r w:rsidR="007A47FD" w:rsidRPr="00EA4FF0">
        <w:rPr>
          <w:spacing w:val="-1"/>
          <w:sz w:val="24"/>
          <w:szCs w:val="24"/>
        </w:rPr>
        <w:t>undergoing</w:t>
      </w:r>
      <w:r w:rsidR="007A47FD" w:rsidRPr="00EA4FF0">
        <w:rPr>
          <w:spacing w:val="-4"/>
          <w:sz w:val="24"/>
          <w:szCs w:val="24"/>
        </w:rPr>
        <w:t xml:space="preserve"> </w:t>
      </w:r>
      <w:r w:rsidR="007A47FD" w:rsidRPr="00EA4FF0">
        <w:rPr>
          <w:spacing w:val="-2"/>
          <w:sz w:val="24"/>
          <w:szCs w:val="24"/>
        </w:rPr>
        <w:t xml:space="preserve">an </w:t>
      </w:r>
      <w:r w:rsidR="007A47FD" w:rsidRPr="00EA4FF0">
        <w:rPr>
          <w:spacing w:val="-1"/>
          <w:sz w:val="24"/>
          <w:szCs w:val="24"/>
        </w:rPr>
        <w:t>elective</w:t>
      </w:r>
      <w:r w:rsidR="007A47FD" w:rsidRPr="00EA4FF0">
        <w:rPr>
          <w:spacing w:val="-6"/>
          <w:sz w:val="24"/>
          <w:szCs w:val="24"/>
        </w:rPr>
        <w:t xml:space="preserve"> </w:t>
      </w:r>
      <w:r w:rsidR="007A47FD" w:rsidRPr="00EA4FF0">
        <w:rPr>
          <w:spacing w:val="-1"/>
          <w:sz w:val="24"/>
          <w:szCs w:val="24"/>
        </w:rPr>
        <w:t>total</w:t>
      </w:r>
      <w:r w:rsidR="007A47FD" w:rsidRPr="00EA4FF0">
        <w:rPr>
          <w:sz w:val="24"/>
          <w:szCs w:val="24"/>
        </w:rPr>
        <w:t xml:space="preserve"> </w:t>
      </w:r>
      <w:r w:rsidR="007A47FD" w:rsidRPr="00EA4FF0">
        <w:rPr>
          <w:spacing w:val="-1"/>
          <w:sz w:val="24"/>
          <w:szCs w:val="24"/>
        </w:rPr>
        <w:t>knee</w:t>
      </w:r>
      <w:r w:rsidR="007A47FD" w:rsidRPr="00EA4FF0">
        <w:rPr>
          <w:sz w:val="24"/>
          <w:szCs w:val="24"/>
        </w:rPr>
        <w:t xml:space="preserve"> </w:t>
      </w:r>
      <w:r w:rsidR="004542E3" w:rsidRPr="00EA4FF0">
        <w:rPr>
          <w:spacing w:val="-1"/>
          <w:sz w:val="24"/>
          <w:szCs w:val="24"/>
        </w:rPr>
        <w:t>arthroplasty</w:t>
      </w:r>
      <w:r w:rsidR="007A47FD" w:rsidRPr="00EA4FF0">
        <w:rPr>
          <w:spacing w:val="-4"/>
          <w:sz w:val="24"/>
          <w:szCs w:val="24"/>
        </w:rPr>
        <w:t xml:space="preserve"> </w:t>
      </w:r>
      <w:r w:rsidR="004542E3" w:rsidRPr="00EA4FF0">
        <w:rPr>
          <w:spacing w:val="-2"/>
          <w:sz w:val="24"/>
          <w:szCs w:val="24"/>
        </w:rPr>
        <w:t>(TKA</w:t>
      </w:r>
      <w:r w:rsidR="007A47FD" w:rsidRPr="00EA4FF0">
        <w:rPr>
          <w:spacing w:val="-2"/>
          <w:sz w:val="24"/>
          <w:szCs w:val="24"/>
        </w:rPr>
        <w:t>).</w:t>
      </w:r>
      <w:r w:rsidR="00EA4FF0" w:rsidRPr="00EA4FF0">
        <w:rPr>
          <w:spacing w:val="-2"/>
          <w:sz w:val="24"/>
          <w:szCs w:val="24"/>
        </w:rPr>
        <w:t xml:space="preserve">  Centers for Medicare &amp; Medicaid Services (CMS) stated, on page 665:  </w:t>
      </w:r>
      <w:r w:rsidR="00EA4FF0" w:rsidRPr="00EA4FF0">
        <w:rPr>
          <w:rFonts w:cs="Times New Roman"/>
          <w:sz w:val="24"/>
          <w:szCs w:val="24"/>
        </w:rPr>
        <w:t xml:space="preserve">we expect providers to carefully develop evidence-based patient selection criteria to identify patients who are appropriate candidates for an outpatient TKA procedure as well as exclusionary criteria that would disqualify a patient from receiving an outpatient TKA procedure. </w:t>
      </w:r>
    </w:p>
    <w:p w14:paraId="1E9A1AD9" w14:textId="77777777" w:rsidR="00664CA5" w:rsidRPr="008D1CD2" w:rsidRDefault="00664CA5">
      <w:pPr>
        <w:spacing w:before="7"/>
        <w:rPr>
          <w:rFonts w:eastAsia="Calibri" w:cs="Calibri"/>
          <w:sz w:val="24"/>
          <w:szCs w:val="24"/>
        </w:rPr>
      </w:pPr>
    </w:p>
    <w:p w14:paraId="1904ADFC" w14:textId="77777777" w:rsidR="00664CA5" w:rsidRPr="008D1CD2" w:rsidRDefault="007A47FD">
      <w:pPr>
        <w:pStyle w:val="Heading1"/>
        <w:numPr>
          <w:ilvl w:val="0"/>
          <w:numId w:val="1"/>
        </w:numPr>
        <w:tabs>
          <w:tab w:val="left" w:pos="408"/>
        </w:tabs>
        <w:ind w:left="407" w:hanging="307"/>
        <w:jc w:val="left"/>
        <w:rPr>
          <w:rFonts w:asciiTheme="minorHAnsi" w:eastAsia="Times New Roman" w:hAnsiTheme="minorHAnsi" w:cs="Times New Roman"/>
          <w:b w:val="0"/>
          <w:bCs w:val="0"/>
        </w:rPr>
      </w:pPr>
      <w:r w:rsidRPr="008D1CD2">
        <w:rPr>
          <w:rFonts w:asciiTheme="minorHAnsi" w:hAnsiTheme="minorHAnsi"/>
          <w:spacing w:val="-1"/>
        </w:rPr>
        <w:t>PURPOSE:</w:t>
      </w:r>
    </w:p>
    <w:p w14:paraId="639351AB" w14:textId="77777777" w:rsidR="00664CA5" w:rsidRPr="008D1CD2" w:rsidRDefault="007A47FD" w:rsidP="006A59FE">
      <w:pPr>
        <w:pStyle w:val="NoSpacing"/>
        <w:rPr>
          <w:sz w:val="24"/>
          <w:szCs w:val="24"/>
        </w:rPr>
      </w:pPr>
      <w:r w:rsidRPr="008D1CD2">
        <w:rPr>
          <w:sz w:val="24"/>
          <w:szCs w:val="24"/>
        </w:rPr>
        <w:t>The</w:t>
      </w:r>
      <w:r w:rsidRPr="008D1CD2">
        <w:rPr>
          <w:spacing w:val="-3"/>
          <w:sz w:val="24"/>
          <w:szCs w:val="24"/>
        </w:rPr>
        <w:t xml:space="preserve"> </w:t>
      </w:r>
      <w:r w:rsidRPr="008D1CD2">
        <w:rPr>
          <w:sz w:val="24"/>
          <w:szCs w:val="24"/>
        </w:rPr>
        <w:t>purpose</w:t>
      </w:r>
      <w:r w:rsidRPr="008D1CD2">
        <w:rPr>
          <w:spacing w:val="-2"/>
          <w:sz w:val="24"/>
          <w:szCs w:val="24"/>
        </w:rPr>
        <w:t xml:space="preserve"> </w:t>
      </w:r>
      <w:r w:rsidRPr="008D1CD2">
        <w:rPr>
          <w:sz w:val="24"/>
          <w:szCs w:val="24"/>
        </w:rPr>
        <w:t>of this</w:t>
      </w:r>
      <w:r w:rsidRPr="008D1CD2">
        <w:rPr>
          <w:spacing w:val="-3"/>
          <w:sz w:val="24"/>
          <w:szCs w:val="24"/>
        </w:rPr>
        <w:t xml:space="preserve"> </w:t>
      </w:r>
      <w:r w:rsidR="004542E3" w:rsidRPr="00EA4FF0">
        <w:rPr>
          <w:b/>
          <w:i/>
          <w:spacing w:val="-3"/>
          <w:sz w:val="24"/>
          <w:szCs w:val="24"/>
        </w:rPr>
        <w:t xml:space="preserve">patient selection </w:t>
      </w:r>
      <w:r w:rsidR="00EA4FF0" w:rsidRPr="00EA4FF0">
        <w:rPr>
          <w:b/>
          <w:i/>
          <w:spacing w:val="-3"/>
          <w:sz w:val="24"/>
          <w:szCs w:val="24"/>
        </w:rPr>
        <w:t xml:space="preserve">exclusionary </w:t>
      </w:r>
      <w:r w:rsidR="004542E3" w:rsidRPr="00EA4FF0">
        <w:rPr>
          <w:b/>
          <w:i/>
          <w:spacing w:val="-3"/>
          <w:sz w:val="24"/>
          <w:szCs w:val="24"/>
        </w:rPr>
        <w:t>criteria</w:t>
      </w:r>
      <w:r w:rsidRPr="008D1CD2">
        <w:rPr>
          <w:sz w:val="24"/>
          <w:szCs w:val="24"/>
        </w:rPr>
        <w:t xml:space="preserve"> is to</w:t>
      </w:r>
      <w:r w:rsidRPr="008D1CD2">
        <w:rPr>
          <w:spacing w:val="-3"/>
          <w:sz w:val="24"/>
          <w:szCs w:val="24"/>
        </w:rPr>
        <w:t xml:space="preserve"> </w:t>
      </w:r>
      <w:r w:rsidRPr="008D1CD2">
        <w:rPr>
          <w:sz w:val="24"/>
          <w:szCs w:val="24"/>
        </w:rPr>
        <w:t xml:space="preserve">provide </w:t>
      </w:r>
      <w:r w:rsidR="00EF1C66" w:rsidRPr="008D1CD2">
        <w:rPr>
          <w:sz w:val="24"/>
          <w:szCs w:val="24"/>
        </w:rPr>
        <w:t xml:space="preserve">evidence based </w:t>
      </w:r>
      <w:r w:rsidRPr="008D1CD2">
        <w:rPr>
          <w:sz w:val="24"/>
          <w:szCs w:val="24"/>
        </w:rPr>
        <w:t>guidance</w:t>
      </w:r>
      <w:r w:rsidRPr="008D1CD2">
        <w:rPr>
          <w:spacing w:val="-2"/>
          <w:sz w:val="24"/>
          <w:szCs w:val="24"/>
        </w:rPr>
        <w:t xml:space="preserve"> </w:t>
      </w:r>
      <w:r w:rsidRPr="008D1CD2">
        <w:rPr>
          <w:sz w:val="24"/>
          <w:szCs w:val="24"/>
        </w:rPr>
        <w:t>to clinical staff and</w:t>
      </w:r>
      <w:r w:rsidRPr="008D1CD2">
        <w:rPr>
          <w:spacing w:val="-2"/>
          <w:sz w:val="24"/>
          <w:szCs w:val="24"/>
        </w:rPr>
        <w:t xml:space="preserve"> </w:t>
      </w:r>
      <w:r w:rsidRPr="008D1CD2">
        <w:rPr>
          <w:sz w:val="24"/>
          <w:szCs w:val="24"/>
        </w:rPr>
        <w:t>other</w:t>
      </w:r>
      <w:r w:rsidRPr="008D1CD2">
        <w:rPr>
          <w:spacing w:val="-2"/>
          <w:sz w:val="24"/>
          <w:szCs w:val="24"/>
        </w:rPr>
        <w:t xml:space="preserve"> </w:t>
      </w:r>
      <w:r w:rsidRPr="008D1CD2">
        <w:rPr>
          <w:sz w:val="24"/>
          <w:szCs w:val="24"/>
        </w:rPr>
        <w:t>personnel</w:t>
      </w:r>
      <w:r w:rsidRPr="008D1CD2">
        <w:rPr>
          <w:spacing w:val="-3"/>
          <w:sz w:val="24"/>
          <w:szCs w:val="24"/>
        </w:rPr>
        <w:t xml:space="preserve"> </w:t>
      </w:r>
      <w:r w:rsidRPr="008D1CD2">
        <w:rPr>
          <w:sz w:val="24"/>
          <w:szCs w:val="24"/>
        </w:rPr>
        <w:t>on the</w:t>
      </w:r>
      <w:r w:rsidR="005C45CA">
        <w:rPr>
          <w:sz w:val="24"/>
          <w:szCs w:val="24"/>
        </w:rPr>
        <w:t xml:space="preserve"> proper</w:t>
      </w:r>
      <w:r w:rsidRPr="008D1CD2">
        <w:rPr>
          <w:spacing w:val="-4"/>
          <w:sz w:val="24"/>
          <w:szCs w:val="24"/>
        </w:rPr>
        <w:t xml:space="preserve"> </w:t>
      </w:r>
      <w:r w:rsidRPr="008D1CD2">
        <w:rPr>
          <w:sz w:val="24"/>
          <w:szCs w:val="24"/>
        </w:rPr>
        <w:t>procedures</w:t>
      </w:r>
      <w:r w:rsidRPr="008D1CD2">
        <w:rPr>
          <w:spacing w:val="-5"/>
          <w:sz w:val="24"/>
          <w:szCs w:val="24"/>
        </w:rPr>
        <w:t xml:space="preserve"> </w:t>
      </w:r>
      <w:r w:rsidRPr="008D1CD2">
        <w:rPr>
          <w:sz w:val="24"/>
          <w:szCs w:val="24"/>
        </w:rPr>
        <w:t>and</w:t>
      </w:r>
      <w:r w:rsidRPr="008D1CD2">
        <w:rPr>
          <w:spacing w:val="-4"/>
          <w:sz w:val="24"/>
          <w:szCs w:val="24"/>
        </w:rPr>
        <w:t xml:space="preserve"> </w:t>
      </w:r>
      <w:r w:rsidRPr="008D1CD2">
        <w:rPr>
          <w:sz w:val="24"/>
          <w:szCs w:val="24"/>
        </w:rPr>
        <w:t>requirements</w:t>
      </w:r>
      <w:r w:rsidRPr="008D1CD2">
        <w:rPr>
          <w:spacing w:val="-5"/>
          <w:sz w:val="24"/>
          <w:szCs w:val="24"/>
        </w:rPr>
        <w:t xml:space="preserve"> </w:t>
      </w:r>
      <w:r w:rsidRPr="008D1CD2">
        <w:rPr>
          <w:sz w:val="24"/>
          <w:szCs w:val="24"/>
        </w:rPr>
        <w:t>for</w:t>
      </w:r>
      <w:r w:rsidRPr="008D1CD2">
        <w:rPr>
          <w:spacing w:val="-4"/>
          <w:sz w:val="24"/>
          <w:szCs w:val="24"/>
        </w:rPr>
        <w:t xml:space="preserve"> </w:t>
      </w:r>
      <w:r w:rsidRPr="008D1CD2">
        <w:rPr>
          <w:sz w:val="24"/>
          <w:szCs w:val="24"/>
        </w:rPr>
        <w:t>all</w:t>
      </w:r>
      <w:r w:rsidRPr="008D1CD2">
        <w:rPr>
          <w:spacing w:val="-2"/>
          <w:sz w:val="24"/>
          <w:szCs w:val="24"/>
        </w:rPr>
        <w:t xml:space="preserve"> </w:t>
      </w:r>
      <w:r w:rsidRPr="008D1CD2">
        <w:rPr>
          <w:sz w:val="24"/>
          <w:szCs w:val="24"/>
        </w:rPr>
        <w:t>patients</w:t>
      </w:r>
      <w:r w:rsidRPr="008D1CD2">
        <w:rPr>
          <w:spacing w:val="-5"/>
          <w:sz w:val="24"/>
          <w:szCs w:val="24"/>
        </w:rPr>
        <w:t xml:space="preserve"> </w:t>
      </w:r>
      <w:r w:rsidRPr="008D1CD2">
        <w:rPr>
          <w:sz w:val="24"/>
          <w:szCs w:val="24"/>
        </w:rPr>
        <w:t>to</w:t>
      </w:r>
      <w:r w:rsidRPr="008D1CD2">
        <w:rPr>
          <w:spacing w:val="-4"/>
          <w:sz w:val="24"/>
          <w:szCs w:val="24"/>
        </w:rPr>
        <w:t xml:space="preserve"> </w:t>
      </w:r>
      <w:r w:rsidRPr="008D1CD2">
        <w:rPr>
          <w:sz w:val="24"/>
          <w:szCs w:val="24"/>
        </w:rPr>
        <w:t>receive</w:t>
      </w:r>
      <w:r w:rsidRPr="008D1CD2">
        <w:rPr>
          <w:spacing w:val="-3"/>
          <w:sz w:val="24"/>
          <w:szCs w:val="24"/>
        </w:rPr>
        <w:t xml:space="preserve"> </w:t>
      </w:r>
      <w:r w:rsidRPr="008D1CD2">
        <w:rPr>
          <w:sz w:val="24"/>
          <w:szCs w:val="24"/>
        </w:rPr>
        <w:t>services</w:t>
      </w:r>
      <w:r w:rsidRPr="008D1CD2">
        <w:rPr>
          <w:spacing w:val="-5"/>
          <w:sz w:val="24"/>
          <w:szCs w:val="24"/>
        </w:rPr>
        <w:t xml:space="preserve"> </w:t>
      </w:r>
      <w:r w:rsidRPr="008D1CD2">
        <w:rPr>
          <w:sz w:val="24"/>
          <w:szCs w:val="24"/>
        </w:rPr>
        <w:t>for</w:t>
      </w:r>
      <w:r w:rsidRPr="008D1CD2">
        <w:rPr>
          <w:spacing w:val="-2"/>
          <w:sz w:val="24"/>
          <w:szCs w:val="24"/>
        </w:rPr>
        <w:t xml:space="preserve"> </w:t>
      </w:r>
      <w:r w:rsidRPr="008D1CD2">
        <w:rPr>
          <w:sz w:val="24"/>
          <w:szCs w:val="24"/>
        </w:rPr>
        <w:t>the</w:t>
      </w:r>
      <w:r w:rsidRPr="008D1CD2">
        <w:rPr>
          <w:spacing w:val="-2"/>
          <w:sz w:val="24"/>
          <w:szCs w:val="24"/>
        </w:rPr>
        <w:t xml:space="preserve"> </w:t>
      </w:r>
      <w:r w:rsidRPr="008D1CD2">
        <w:rPr>
          <w:sz w:val="24"/>
          <w:szCs w:val="24"/>
        </w:rPr>
        <w:t>appropriate</w:t>
      </w:r>
      <w:r w:rsidR="006A59FE" w:rsidRPr="008D1CD2">
        <w:rPr>
          <w:sz w:val="24"/>
          <w:szCs w:val="24"/>
        </w:rPr>
        <w:t xml:space="preserve"> patient</w:t>
      </w:r>
      <w:r w:rsidR="00095689">
        <w:rPr>
          <w:sz w:val="24"/>
          <w:szCs w:val="24"/>
        </w:rPr>
        <w:t xml:space="preserve"> status</w:t>
      </w:r>
      <w:r w:rsidRPr="008D1CD2">
        <w:rPr>
          <w:spacing w:val="-5"/>
          <w:sz w:val="24"/>
          <w:szCs w:val="24"/>
        </w:rPr>
        <w:t xml:space="preserve"> </w:t>
      </w:r>
      <w:r w:rsidRPr="008D1CD2">
        <w:rPr>
          <w:sz w:val="24"/>
          <w:szCs w:val="24"/>
        </w:rPr>
        <w:t>based</w:t>
      </w:r>
      <w:r w:rsidRPr="008D1CD2">
        <w:rPr>
          <w:spacing w:val="-2"/>
          <w:sz w:val="24"/>
          <w:szCs w:val="24"/>
        </w:rPr>
        <w:t xml:space="preserve"> </w:t>
      </w:r>
      <w:r w:rsidRPr="008D1CD2">
        <w:rPr>
          <w:sz w:val="24"/>
          <w:szCs w:val="24"/>
        </w:rPr>
        <w:t>on</w:t>
      </w:r>
      <w:r w:rsidRPr="008D1CD2">
        <w:rPr>
          <w:spacing w:val="-2"/>
          <w:sz w:val="24"/>
          <w:szCs w:val="24"/>
        </w:rPr>
        <w:t xml:space="preserve"> </w:t>
      </w:r>
      <w:r w:rsidRPr="008D1CD2">
        <w:rPr>
          <w:sz w:val="24"/>
          <w:szCs w:val="24"/>
        </w:rPr>
        <w:t>regulations</w:t>
      </w:r>
      <w:r w:rsidRPr="008D1CD2">
        <w:rPr>
          <w:spacing w:val="-3"/>
          <w:sz w:val="24"/>
          <w:szCs w:val="24"/>
        </w:rPr>
        <w:t xml:space="preserve"> </w:t>
      </w:r>
      <w:r w:rsidRPr="008D1CD2">
        <w:rPr>
          <w:sz w:val="24"/>
          <w:szCs w:val="24"/>
        </w:rPr>
        <w:t>issued</w:t>
      </w:r>
      <w:r w:rsidRPr="008D1CD2">
        <w:rPr>
          <w:spacing w:val="-3"/>
          <w:sz w:val="24"/>
          <w:szCs w:val="24"/>
        </w:rPr>
        <w:t xml:space="preserve"> </w:t>
      </w:r>
      <w:r w:rsidRPr="008D1CD2">
        <w:rPr>
          <w:sz w:val="24"/>
          <w:szCs w:val="24"/>
        </w:rPr>
        <w:t>by</w:t>
      </w:r>
      <w:r w:rsidRPr="008D1CD2">
        <w:rPr>
          <w:spacing w:val="-6"/>
          <w:sz w:val="24"/>
          <w:szCs w:val="24"/>
        </w:rPr>
        <w:t xml:space="preserve"> </w:t>
      </w:r>
      <w:r w:rsidR="00162AAF" w:rsidRPr="008D1CD2">
        <w:rPr>
          <w:sz w:val="24"/>
          <w:szCs w:val="24"/>
        </w:rPr>
        <w:t>CMS</w:t>
      </w:r>
      <w:r w:rsidR="00696AC9">
        <w:rPr>
          <w:sz w:val="24"/>
          <w:szCs w:val="24"/>
        </w:rPr>
        <w:t xml:space="preserve"> in 2017</w:t>
      </w:r>
      <w:r w:rsidR="00162AAF" w:rsidRPr="008D1CD2">
        <w:rPr>
          <w:sz w:val="24"/>
          <w:szCs w:val="24"/>
        </w:rPr>
        <w:t>, page 663.</w:t>
      </w:r>
    </w:p>
    <w:p w14:paraId="25B10502" w14:textId="77777777" w:rsidR="00664CA5" w:rsidRPr="008D1CD2" w:rsidRDefault="00664CA5">
      <w:pPr>
        <w:spacing w:before="11"/>
        <w:rPr>
          <w:rFonts w:eastAsia="Calibri" w:cs="Calibri"/>
          <w:sz w:val="24"/>
          <w:szCs w:val="24"/>
        </w:rPr>
      </w:pPr>
    </w:p>
    <w:p w14:paraId="1319E92F" w14:textId="77777777" w:rsidR="00664CA5" w:rsidRPr="008D1CD2" w:rsidRDefault="00162AAF">
      <w:pPr>
        <w:pStyle w:val="Heading1"/>
        <w:numPr>
          <w:ilvl w:val="0"/>
          <w:numId w:val="1"/>
        </w:numPr>
        <w:tabs>
          <w:tab w:val="left" w:pos="502"/>
        </w:tabs>
        <w:ind w:left="501" w:hanging="401"/>
        <w:jc w:val="left"/>
        <w:rPr>
          <w:rFonts w:asciiTheme="minorHAnsi" w:eastAsia="Times New Roman" w:hAnsiTheme="minorHAnsi" w:cs="Times New Roman"/>
          <w:b w:val="0"/>
          <w:bCs w:val="0"/>
        </w:rPr>
      </w:pPr>
      <w:r w:rsidRPr="008D1CD2">
        <w:rPr>
          <w:rFonts w:asciiTheme="minorHAnsi" w:hAnsiTheme="minorHAnsi"/>
          <w:spacing w:val="-1"/>
        </w:rPr>
        <w:t>GUIDELINES</w:t>
      </w:r>
      <w:r w:rsidR="007A47FD" w:rsidRPr="008D1CD2">
        <w:rPr>
          <w:rFonts w:asciiTheme="minorHAnsi" w:hAnsiTheme="minorHAnsi"/>
          <w:spacing w:val="-1"/>
        </w:rPr>
        <w:t>:</w:t>
      </w:r>
    </w:p>
    <w:p w14:paraId="6413602D" w14:textId="77777777" w:rsidR="00664CA5" w:rsidRPr="008D1CD2" w:rsidRDefault="007A47FD" w:rsidP="008D1CD2">
      <w:pPr>
        <w:pStyle w:val="NoSpacing"/>
        <w:rPr>
          <w:sz w:val="24"/>
          <w:szCs w:val="24"/>
        </w:rPr>
      </w:pPr>
      <w:r w:rsidRPr="008D1CD2">
        <w:rPr>
          <w:sz w:val="24"/>
          <w:szCs w:val="24"/>
        </w:rPr>
        <w:t>The</w:t>
      </w:r>
      <w:r w:rsidRPr="008D1CD2">
        <w:rPr>
          <w:spacing w:val="-5"/>
          <w:sz w:val="24"/>
          <w:szCs w:val="24"/>
        </w:rPr>
        <w:t xml:space="preserve"> </w:t>
      </w:r>
      <w:r w:rsidRPr="008D1CD2">
        <w:rPr>
          <w:sz w:val="24"/>
          <w:szCs w:val="24"/>
        </w:rPr>
        <w:t>patient</w:t>
      </w:r>
      <w:r w:rsidRPr="008D1CD2">
        <w:rPr>
          <w:spacing w:val="-2"/>
          <w:sz w:val="24"/>
          <w:szCs w:val="24"/>
        </w:rPr>
        <w:t xml:space="preserve"> </w:t>
      </w:r>
      <w:r w:rsidRPr="008D1CD2">
        <w:rPr>
          <w:sz w:val="24"/>
          <w:szCs w:val="24"/>
        </w:rPr>
        <w:t>status</w:t>
      </w:r>
      <w:r w:rsidRPr="008D1CD2">
        <w:rPr>
          <w:spacing w:val="-5"/>
          <w:sz w:val="24"/>
          <w:szCs w:val="24"/>
        </w:rPr>
        <w:t xml:space="preserve"> </w:t>
      </w:r>
      <w:r w:rsidRPr="008D1CD2">
        <w:rPr>
          <w:sz w:val="24"/>
          <w:szCs w:val="24"/>
        </w:rPr>
        <w:t>of</w:t>
      </w:r>
      <w:r w:rsidRPr="008D1CD2">
        <w:rPr>
          <w:spacing w:val="-2"/>
          <w:sz w:val="24"/>
          <w:szCs w:val="24"/>
        </w:rPr>
        <w:t xml:space="preserve"> </w:t>
      </w:r>
      <w:r w:rsidRPr="008D1CD2">
        <w:rPr>
          <w:sz w:val="24"/>
          <w:szCs w:val="24"/>
        </w:rPr>
        <w:t>every</w:t>
      </w:r>
      <w:r w:rsidRPr="008D1CD2">
        <w:rPr>
          <w:spacing w:val="-3"/>
          <w:sz w:val="24"/>
          <w:szCs w:val="24"/>
        </w:rPr>
        <w:t xml:space="preserve"> </w:t>
      </w:r>
      <w:r w:rsidR="00162AAF" w:rsidRPr="008D1CD2">
        <w:rPr>
          <w:spacing w:val="-3"/>
          <w:sz w:val="24"/>
          <w:szCs w:val="24"/>
        </w:rPr>
        <w:t xml:space="preserve">Medicare </w:t>
      </w:r>
      <w:r w:rsidRPr="008D1CD2">
        <w:rPr>
          <w:sz w:val="24"/>
          <w:szCs w:val="24"/>
        </w:rPr>
        <w:t>patient</w:t>
      </w:r>
      <w:r w:rsidRPr="008D1CD2">
        <w:rPr>
          <w:spacing w:val="-2"/>
          <w:sz w:val="24"/>
          <w:szCs w:val="24"/>
        </w:rPr>
        <w:t xml:space="preserve"> </w:t>
      </w:r>
      <w:r w:rsidRPr="008D1CD2">
        <w:rPr>
          <w:sz w:val="24"/>
          <w:szCs w:val="24"/>
        </w:rPr>
        <w:t>undergoing</w:t>
      </w:r>
      <w:r w:rsidRPr="008D1CD2">
        <w:rPr>
          <w:spacing w:val="-5"/>
          <w:sz w:val="24"/>
          <w:szCs w:val="24"/>
        </w:rPr>
        <w:t xml:space="preserve"> </w:t>
      </w:r>
      <w:r w:rsidR="00EA4FF0">
        <w:rPr>
          <w:spacing w:val="-5"/>
          <w:sz w:val="24"/>
          <w:szCs w:val="24"/>
        </w:rPr>
        <w:t>TKA</w:t>
      </w:r>
      <w:r w:rsidR="00162AAF" w:rsidRPr="008D1CD2">
        <w:rPr>
          <w:spacing w:val="-5"/>
          <w:sz w:val="24"/>
          <w:szCs w:val="24"/>
        </w:rPr>
        <w:t xml:space="preserve"> </w:t>
      </w:r>
      <w:r w:rsidRPr="008D1CD2">
        <w:rPr>
          <w:sz w:val="24"/>
          <w:szCs w:val="24"/>
        </w:rPr>
        <w:t>will</w:t>
      </w:r>
      <w:r w:rsidRPr="008D1CD2">
        <w:rPr>
          <w:spacing w:val="-3"/>
          <w:sz w:val="24"/>
          <w:szCs w:val="24"/>
        </w:rPr>
        <w:t xml:space="preserve"> </w:t>
      </w:r>
      <w:r w:rsidRPr="008D1CD2">
        <w:rPr>
          <w:sz w:val="24"/>
          <w:szCs w:val="24"/>
        </w:rPr>
        <w:t>be</w:t>
      </w:r>
      <w:r w:rsidRPr="008D1CD2">
        <w:rPr>
          <w:spacing w:val="-5"/>
          <w:sz w:val="24"/>
          <w:szCs w:val="24"/>
        </w:rPr>
        <w:t xml:space="preserve"> </w:t>
      </w:r>
      <w:r w:rsidRPr="008D1CD2">
        <w:rPr>
          <w:sz w:val="24"/>
          <w:szCs w:val="24"/>
        </w:rPr>
        <w:t>determined</w:t>
      </w:r>
      <w:r w:rsidRPr="008D1CD2">
        <w:rPr>
          <w:spacing w:val="-4"/>
          <w:sz w:val="24"/>
          <w:szCs w:val="24"/>
        </w:rPr>
        <w:t xml:space="preserve"> </w:t>
      </w:r>
      <w:r w:rsidRPr="008D1CD2">
        <w:rPr>
          <w:sz w:val="24"/>
          <w:szCs w:val="24"/>
        </w:rPr>
        <w:t>prior</w:t>
      </w:r>
      <w:r w:rsidRPr="008D1CD2">
        <w:rPr>
          <w:spacing w:val="-4"/>
          <w:sz w:val="24"/>
          <w:szCs w:val="24"/>
        </w:rPr>
        <w:t xml:space="preserve"> </w:t>
      </w:r>
      <w:r w:rsidRPr="008D1CD2">
        <w:rPr>
          <w:sz w:val="24"/>
          <w:szCs w:val="24"/>
        </w:rPr>
        <w:t>to</w:t>
      </w:r>
      <w:r w:rsidRPr="008D1CD2">
        <w:rPr>
          <w:spacing w:val="-4"/>
          <w:sz w:val="24"/>
          <w:szCs w:val="24"/>
        </w:rPr>
        <w:t xml:space="preserve"> </w:t>
      </w:r>
      <w:r w:rsidRPr="008D1CD2">
        <w:rPr>
          <w:sz w:val="24"/>
          <w:szCs w:val="24"/>
        </w:rPr>
        <w:t>surgery</w:t>
      </w:r>
      <w:r w:rsidRPr="008D1CD2">
        <w:rPr>
          <w:spacing w:val="-3"/>
          <w:sz w:val="24"/>
          <w:szCs w:val="24"/>
        </w:rPr>
        <w:t xml:space="preserve"> </w:t>
      </w:r>
      <w:r w:rsidRPr="008D1CD2">
        <w:rPr>
          <w:sz w:val="24"/>
          <w:szCs w:val="24"/>
        </w:rPr>
        <w:t>by</w:t>
      </w:r>
      <w:r w:rsidRPr="008D1CD2">
        <w:rPr>
          <w:spacing w:val="-6"/>
          <w:sz w:val="24"/>
          <w:szCs w:val="24"/>
        </w:rPr>
        <w:t xml:space="preserve"> </w:t>
      </w:r>
      <w:r w:rsidR="006A59FE" w:rsidRPr="008D1CD2">
        <w:rPr>
          <w:sz w:val="24"/>
          <w:szCs w:val="24"/>
        </w:rPr>
        <w:t xml:space="preserve">the </w:t>
      </w:r>
      <w:r w:rsidRPr="008D1CD2">
        <w:rPr>
          <w:sz w:val="24"/>
          <w:szCs w:val="24"/>
        </w:rPr>
        <w:t>performing</w:t>
      </w:r>
      <w:r w:rsidRPr="008D1CD2">
        <w:rPr>
          <w:spacing w:val="-5"/>
          <w:sz w:val="24"/>
          <w:szCs w:val="24"/>
        </w:rPr>
        <w:t xml:space="preserve"> </w:t>
      </w:r>
      <w:r w:rsidRPr="008D1CD2">
        <w:rPr>
          <w:sz w:val="24"/>
          <w:szCs w:val="24"/>
        </w:rPr>
        <w:t xml:space="preserve">surgeon </w:t>
      </w:r>
      <w:r w:rsidR="00162AAF" w:rsidRPr="008D1CD2">
        <w:rPr>
          <w:sz w:val="24"/>
          <w:szCs w:val="24"/>
        </w:rPr>
        <w:t>based on the review of these guidelines</w:t>
      </w:r>
      <w:r w:rsidRPr="008D1CD2">
        <w:rPr>
          <w:sz w:val="24"/>
          <w:szCs w:val="24"/>
        </w:rPr>
        <w:t>.</w:t>
      </w:r>
      <w:r w:rsidRPr="008D1CD2">
        <w:rPr>
          <w:spacing w:val="-4"/>
          <w:sz w:val="24"/>
          <w:szCs w:val="24"/>
        </w:rPr>
        <w:t xml:space="preserve"> </w:t>
      </w:r>
      <w:r w:rsidRPr="008D1CD2">
        <w:rPr>
          <w:sz w:val="24"/>
          <w:szCs w:val="24"/>
        </w:rPr>
        <w:t>The patient</w:t>
      </w:r>
      <w:r w:rsidRPr="008D1CD2">
        <w:rPr>
          <w:spacing w:val="-2"/>
          <w:sz w:val="24"/>
          <w:szCs w:val="24"/>
        </w:rPr>
        <w:t xml:space="preserve"> </w:t>
      </w:r>
      <w:r w:rsidRPr="008D1CD2">
        <w:rPr>
          <w:sz w:val="24"/>
          <w:szCs w:val="24"/>
        </w:rPr>
        <w:t>status</w:t>
      </w:r>
      <w:r w:rsidRPr="008D1CD2">
        <w:rPr>
          <w:spacing w:val="-3"/>
          <w:sz w:val="24"/>
          <w:szCs w:val="24"/>
        </w:rPr>
        <w:t xml:space="preserve"> </w:t>
      </w:r>
      <w:r w:rsidRPr="008D1CD2">
        <w:rPr>
          <w:sz w:val="24"/>
          <w:szCs w:val="24"/>
        </w:rPr>
        <w:t>must</w:t>
      </w:r>
      <w:r w:rsidRPr="008D1CD2">
        <w:rPr>
          <w:spacing w:val="-3"/>
          <w:sz w:val="24"/>
          <w:szCs w:val="24"/>
        </w:rPr>
        <w:t xml:space="preserve"> </w:t>
      </w:r>
      <w:r w:rsidRPr="008D1CD2">
        <w:rPr>
          <w:sz w:val="24"/>
          <w:szCs w:val="24"/>
        </w:rPr>
        <w:t>be</w:t>
      </w:r>
      <w:r w:rsidRPr="008D1CD2">
        <w:rPr>
          <w:spacing w:val="-4"/>
          <w:sz w:val="24"/>
          <w:szCs w:val="24"/>
        </w:rPr>
        <w:t xml:space="preserve"> </w:t>
      </w:r>
      <w:r w:rsidRPr="008D1CD2">
        <w:rPr>
          <w:sz w:val="24"/>
          <w:szCs w:val="24"/>
        </w:rPr>
        <w:t xml:space="preserve">recorded </w:t>
      </w:r>
      <w:r w:rsidRPr="008D1CD2">
        <w:rPr>
          <w:spacing w:val="-2"/>
          <w:sz w:val="24"/>
          <w:szCs w:val="24"/>
        </w:rPr>
        <w:t xml:space="preserve">in </w:t>
      </w:r>
      <w:r w:rsidRPr="008D1CD2">
        <w:rPr>
          <w:sz w:val="24"/>
          <w:szCs w:val="24"/>
        </w:rPr>
        <w:t>writing</w:t>
      </w:r>
      <w:r w:rsidRPr="008D1CD2">
        <w:rPr>
          <w:spacing w:val="57"/>
          <w:w w:val="99"/>
          <w:sz w:val="24"/>
          <w:szCs w:val="24"/>
        </w:rPr>
        <w:t xml:space="preserve"> </w:t>
      </w:r>
      <w:r w:rsidRPr="008D1CD2">
        <w:rPr>
          <w:sz w:val="24"/>
          <w:szCs w:val="24"/>
        </w:rPr>
        <w:t>prior</w:t>
      </w:r>
      <w:r w:rsidRPr="008D1CD2">
        <w:rPr>
          <w:spacing w:val="-5"/>
          <w:sz w:val="24"/>
          <w:szCs w:val="24"/>
        </w:rPr>
        <w:t xml:space="preserve"> </w:t>
      </w:r>
      <w:r w:rsidRPr="008D1CD2">
        <w:rPr>
          <w:sz w:val="24"/>
          <w:szCs w:val="24"/>
        </w:rPr>
        <w:t>to</w:t>
      </w:r>
      <w:r w:rsidRPr="008D1CD2">
        <w:rPr>
          <w:spacing w:val="-4"/>
          <w:sz w:val="24"/>
          <w:szCs w:val="24"/>
        </w:rPr>
        <w:t xml:space="preserve"> </w:t>
      </w:r>
      <w:r w:rsidRPr="008D1CD2">
        <w:rPr>
          <w:sz w:val="24"/>
          <w:szCs w:val="24"/>
        </w:rPr>
        <w:t>the</w:t>
      </w:r>
      <w:r w:rsidRPr="008D1CD2">
        <w:rPr>
          <w:spacing w:val="-2"/>
          <w:sz w:val="24"/>
          <w:szCs w:val="24"/>
        </w:rPr>
        <w:t xml:space="preserve"> </w:t>
      </w:r>
      <w:r w:rsidRPr="008D1CD2">
        <w:rPr>
          <w:sz w:val="24"/>
          <w:szCs w:val="24"/>
        </w:rPr>
        <w:t>surgery,</w:t>
      </w:r>
      <w:r w:rsidRPr="008D1CD2">
        <w:rPr>
          <w:spacing w:val="-4"/>
          <w:sz w:val="24"/>
          <w:szCs w:val="24"/>
        </w:rPr>
        <w:t xml:space="preserve"> </w:t>
      </w:r>
      <w:r w:rsidRPr="008D1CD2">
        <w:rPr>
          <w:sz w:val="24"/>
          <w:szCs w:val="24"/>
        </w:rPr>
        <w:t>with</w:t>
      </w:r>
      <w:r w:rsidRPr="008D1CD2">
        <w:rPr>
          <w:spacing w:val="-3"/>
          <w:sz w:val="24"/>
          <w:szCs w:val="24"/>
        </w:rPr>
        <w:t xml:space="preserve"> </w:t>
      </w:r>
      <w:r w:rsidRPr="008D1CD2">
        <w:rPr>
          <w:sz w:val="24"/>
          <w:szCs w:val="24"/>
        </w:rPr>
        <w:t>the</w:t>
      </w:r>
      <w:r w:rsidRPr="008D1CD2">
        <w:rPr>
          <w:spacing w:val="-5"/>
          <w:sz w:val="24"/>
          <w:szCs w:val="24"/>
        </w:rPr>
        <w:t xml:space="preserve"> </w:t>
      </w:r>
      <w:r w:rsidRPr="008D1CD2">
        <w:rPr>
          <w:sz w:val="24"/>
          <w:szCs w:val="24"/>
        </w:rPr>
        <w:t>order</w:t>
      </w:r>
      <w:r w:rsidRPr="008D1CD2">
        <w:rPr>
          <w:spacing w:val="-3"/>
          <w:sz w:val="24"/>
          <w:szCs w:val="24"/>
        </w:rPr>
        <w:t xml:space="preserve"> </w:t>
      </w:r>
      <w:r w:rsidRPr="008D1CD2">
        <w:rPr>
          <w:sz w:val="24"/>
          <w:szCs w:val="24"/>
        </w:rPr>
        <w:t>dated</w:t>
      </w:r>
      <w:r w:rsidRPr="008D1CD2">
        <w:rPr>
          <w:spacing w:val="-5"/>
          <w:sz w:val="24"/>
          <w:szCs w:val="24"/>
        </w:rPr>
        <w:t xml:space="preserve"> </w:t>
      </w:r>
      <w:r w:rsidRPr="008D1CD2">
        <w:rPr>
          <w:sz w:val="24"/>
          <w:szCs w:val="24"/>
        </w:rPr>
        <w:t>and</w:t>
      </w:r>
      <w:r w:rsidRPr="008D1CD2">
        <w:rPr>
          <w:spacing w:val="-2"/>
          <w:sz w:val="24"/>
          <w:szCs w:val="24"/>
        </w:rPr>
        <w:t xml:space="preserve"> </w:t>
      </w:r>
      <w:r w:rsidRPr="008D1CD2">
        <w:rPr>
          <w:sz w:val="24"/>
          <w:szCs w:val="24"/>
        </w:rPr>
        <w:t>signed</w:t>
      </w:r>
      <w:r w:rsidRPr="008D1CD2">
        <w:rPr>
          <w:spacing w:val="-4"/>
          <w:sz w:val="24"/>
          <w:szCs w:val="24"/>
        </w:rPr>
        <w:t xml:space="preserve"> </w:t>
      </w:r>
      <w:r w:rsidRPr="008D1CD2">
        <w:rPr>
          <w:sz w:val="24"/>
          <w:szCs w:val="24"/>
        </w:rPr>
        <w:t>by</w:t>
      </w:r>
      <w:r w:rsidRPr="008D1CD2">
        <w:rPr>
          <w:spacing w:val="-5"/>
          <w:sz w:val="24"/>
          <w:szCs w:val="24"/>
        </w:rPr>
        <w:t xml:space="preserve"> </w:t>
      </w:r>
      <w:r w:rsidRPr="008D1CD2">
        <w:rPr>
          <w:sz w:val="24"/>
          <w:szCs w:val="24"/>
        </w:rPr>
        <w:t>the</w:t>
      </w:r>
      <w:r w:rsidRPr="008D1CD2">
        <w:rPr>
          <w:spacing w:val="-2"/>
          <w:sz w:val="24"/>
          <w:szCs w:val="24"/>
        </w:rPr>
        <w:t xml:space="preserve"> </w:t>
      </w:r>
      <w:r w:rsidRPr="008D1CD2">
        <w:rPr>
          <w:sz w:val="24"/>
          <w:szCs w:val="24"/>
        </w:rPr>
        <w:t>surgeon,</w:t>
      </w:r>
      <w:r w:rsidRPr="008D1CD2">
        <w:rPr>
          <w:spacing w:val="-2"/>
          <w:sz w:val="24"/>
          <w:szCs w:val="24"/>
        </w:rPr>
        <w:t xml:space="preserve"> </w:t>
      </w:r>
      <w:r w:rsidRPr="008D1CD2">
        <w:rPr>
          <w:sz w:val="24"/>
          <w:szCs w:val="24"/>
        </w:rPr>
        <w:t>or</w:t>
      </w:r>
      <w:r w:rsidRPr="008D1CD2">
        <w:rPr>
          <w:spacing w:val="-4"/>
          <w:sz w:val="24"/>
          <w:szCs w:val="24"/>
        </w:rPr>
        <w:t xml:space="preserve"> </w:t>
      </w:r>
      <w:r w:rsidRPr="008D1CD2">
        <w:rPr>
          <w:sz w:val="24"/>
          <w:szCs w:val="24"/>
        </w:rPr>
        <w:t>another</w:t>
      </w:r>
      <w:r w:rsidR="009C0C79">
        <w:rPr>
          <w:sz w:val="24"/>
          <w:szCs w:val="24"/>
        </w:rPr>
        <w:t xml:space="preserve"> physician</w:t>
      </w:r>
      <w:r w:rsidRPr="008D1CD2">
        <w:rPr>
          <w:spacing w:val="-4"/>
          <w:sz w:val="24"/>
          <w:szCs w:val="24"/>
        </w:rPr>
        <w:t xml:space="preserve"> </w:t>
      </w:r>
      <w:r w:rsidRPr="008D1CD2">
        <w:rPr>
          <w:sz w:val="24"/>
          <w:szCs w:val="24"/>
        </w:rPr>
        <w:t>or</w:t>
      </w:r>
      <w:r w:rsidRPr="008D1CD2">
        <w:rPr>
          <w:spacing w:val="-3"/>
          <w:sz w:val="24"/>
          <w:szCs w:val="24"/>
        </w:rPr>
        <w:t xml:space="preserve"> </w:t>
      </w:r>
      <w:r w:rsidRPr="008D1CD2">
        <w:rPr>
          <w:sz w:val="24"/>
          <w:szCs w:val="24"/>
        </w:rPr>
        <w:t>practitioner</w:t>
      </w:r>
      <w:r w:rsidRPr="008D1CD2">
        <w:rPr>
          <w:spacing w:val="-5"/>
          <w:sz w:val="24"/>
          <w:szCs w:val="24"/>
        </w:rPr>
        <w:t xml:space="preserve"> </w:t>
      </w:r>
      <w:r w:rsidRPr="008D1CD2">
        <w:rPr>
          <w:sz w:val="24"/>
          <w:szCs w:val="24"/>
        </w:rPr>
        <w:t>who</w:t>
      </w:r>
      <w:r w:rsidRPr="008D1CD2">
        <w:rPr>
          <w:spacing w:val="-2"/>
          <w:sz w:val="24"/>
          <w:szCs w:val="24"/>
        </w:rPr>
        <w:t xml:space="preserve"> </w:t>
      </w:r>
      <w:r w:rsidRPr="008D1CD2">
        <w:rPr>
          <w:sz w:val="24"/>
          <w:szCs w:val="24"/>
        </w:rPr>
        <w:t>will</w:t>
      </w:r>
      <w:r w:rsidRPr="008D1CD2">
        <w:rPr>
          <w:spacing w:val="-2"/>
          <w:sz w:val="24"/>
          <w:szCs w:val="24"/>
        </w:rPr>
        <w:t xml:space="preserve"> </w:t>
      </w:r>
      <w:r w:rsidRPr="008D1CD2">
        <w:rPr>
          <w:sz w:val="24"/>
          <w:szCs w:val="24"/>
        </w:rPr>
        <w:t>be</w:t>
      </w:r>
      <w:r w:rsidRPr="008D1CD2">
        <w:rPr>
          <w:spacing w:val="-4"/>
          <w:sz w:val="24"/>
          <w:szCs w:val="24"/>
        </w:rPr>
        <w:t xml:space="preserve"> </w:t>
      </w:r>
      <w:r w:rsidRPr="008D1CD2">
        <w:rPr>
          <w:sz w:val="24"/>
          <w:szCs w:val="24"/>
        </w:rPr>
        <w:t>involved</w:t>
      </w:r>
      <w:r w:rsidRPr="008D1CD2">
        <w:rPr>
          <w:spacing w:val="-2"/>
          <w:sz w:val="24"/>
          <w:szCs w:val="24"/>
        </w:rPr>
        <w:t xml:space="preserve"> in</w:t>
      </w:r>
      <w:r w:rsidRPr="008D1CD2">
        <w:rPr>
          <w:spacing w:val="-3"/>
          <w:sz w:val="24"/>
          <w:szCs w:val="24"/>
        </w:rPr>
        <w:t xml:space="preserve"> </w:t>
      </w:r>
      <w:r w:rsidRPr="008D1CD2">
        <w:rPr>
          <w:sz w:val="24"/>
          <w:szCs w:val="24"/>
        </w:rPr>
        <w:t>the care</w:t>
      </w:r>
      <w:r w:rsidRPr="008D1CD2">
        <w:rPr>
          <w:spacing w:val="-4"/>
          <w:sz w:val="24"/>
          <w:szCs w:val="24"/>
        </w:rPr>
        <w:t xml:space="preserve"> </w:t>
      </w:r>
      <w:r w:rsidRPr="008D1CD2">
        <w:rPr>
          <w:sz w:val="24"/>
          <w:szCs w:val="24"/>
        </w:rPr>
        <w:t>of</w:t>
      </w:r>
      <w:r w:rsidRPr="008D1CD2">
        <w:rPr>
          <w:spacing w:val="-2"/>
          <w:sz w:val="24"/>
          <w:szCs w:val="24"/>
        </w:rPr>
        <w:t xml:space="preserve"> </w:t>
      </w:r>
      <w:r w:rsidRPr="008D1CD2">
        <w:rPr>
          <w:sz w:val="24"/>
          <w:szCs w:val="24"/>
        </w:rPr>
        <w:t>the</w:t>
      </w:r>
      <w:r w:rsidRPr="008D1CD2">
        <w:rPr>
          <w:spacing w:val="-3"/>
          <w:sz w:val="24"/>
          <w:szCs w:val="24"/>
        </w:rPr>
        <w:t xml:space="preserve"> </w:t>
      </w:r>
      <w:r w:rsidRPr="008D1CD2">
        <w:rPr>
          <w:sz w:val="24"/>
          <w:szCs w:val="24"/>
        </w:rPr>
        <w:t>patient</w:t>
      </w:r>
      <w:r w:rsidRPr="008D1CD2">
        <w:rPr>
          <w:spacing w:val="-2"/>
          <w:sz w:val="24"/>
          <w:szCs w:val="24"/>
        </w:rPr>
        <w:t xml:space="preserve"> and</w:t>
      </w:r>
      <w:r w:rsidRPr="008D1CD2">
        <w:rPr>
          <w:sz w:val="24"/>
          <w:szCs w:val="24"/>
        </w:rPr>
        <w:t xml:space="preserve"> has</w:t>
      </w:r>
      <w:r w:rsidRPr="008D1CD2">
        <w:rPr>
          <w:spacing w:val="-4"/>
          <w:sz w:val="24"/>
          <w:szCs w:val="24"/>
        </w:rPr>
        <w:t xml:space="preserve"> </w:t>
      </w:r>
      <w:r w:rsidRPr="008D1CD2">
        <w:rPr>
          <w:sz w:val="24"/>
          <w:szCs w:val="24"/>
        </w:rPr>
        <w:t>admitting</w:t>
      </w:r>
      <w:r w:rsidRPr="008D1CD2">
        <w:rPr>
          <w:spacing w:val="85"/>
          <w:w w:val="99"/>
          <w:sz w:val="24"/>
          <w:szCs w:val="24"/>
        </w:rPr>
        <w:t xml:space="preserve"> </w:t>
      </w:r>
      <w:r w:rsidRPr="008D1CD2">
        <w:rPr>
          <w:sz w:val="24"/>
          <w:szCs w:val="24"/>
        </w:rPr>
        <w:t>privileges</w:t>
      </w:r>
      <w:r w:rsidRPr="008D1CD2">
        <w:rPr>
          <w:spacing w:val="-2"/>
          <w:sz w:val="24"/>
          <w:szCs w:val="24"/>
        </w:rPr>
        <w:t xml:space="preserve"> at</w:t>
      </w:r>
      <w:r w:rsidRPr="008D1CD2">
        <w:rPr>
          <w:spacing w:val="-3"/>
          <w:sz w:val="24"/>
          <w:szCs w:val="24"/>
        </w:rPr>
        <w:t xml:space="preserve"> </w:t>
      </w:r>
      <w:r w:rsidRPr="008D1CD2">
        <w:rPr>
          <w:sz w:val="24"/>
          <w:szCs w:val="24"/>
        </w:rPr>
        <w:t>the</w:t>
      </w:r>
      <w:r w:rsidRPr="008D1CD2">
        <w:rPr>
          <w:spacing w:val="-4"/>
          <w:sz w:val="24"/>
          <w:szCs w:val="24"/>
        </w:rPr>
        <w:t xml:space="preserve"> </w:t>
      </w:r>
      <w:r w:rsidRPr="008D1CD2">
        <w:rPr>
          <w:sz w:val="24"/>
          <w:szCs w:val="24"/>
        </w:rPr>
        <w:t>hospital.</w:t>
      </w:r>
      <w:r w:rsidRPr="008D1CD2">
        <w:rPr>
          <w:spacing w:val="1"/>
          <w:sz w:val="24"/>
          <w:szCs w:val="24"/>
        </w:rPr>
        <w:t xml:space="preserve"> </w:t>
      </w:r>
    </w:p>
    <w:p w14:paraId="565D8FB7" w14:textId="77777777" w:rsidR="00664CA5" w:rsidRPr="00124C11" w:rsidRDefault="00664CA5">
      <w:pPr>
        <w:spacing w:before="12"/>
        <w:rPr>
          <w:rFonts w:eastAsia="Calibri" w:cs="Calibri"/>
          <w:sz w:val="24"/>
          <w:szCs w:val="24"/>
        </w:rPr>
      </w:pPr>
    </w:p>
    <w:p w14:paraId="5E5F3280" w14:textId="77777777" w:rsidR="00E72B4D" w:rsidRPr="00E92B3C" w:rsidRDefault="007A47FD" w:rsidP="00E92B3C">
      <w:pPr>
        <w:pStyle w:val="NoSpacing"/>
        <w:rPr>
          <w:spacing w:val="-3"/>
          <w:sz w:val="24"/>
          <w:szCs w:val="24"/>
        </w:rPr>
      </w:pPr>
      <w:r w:rsidRPr="00E92B3C">
        <w:rPr>
          <w:sz w:val="24"/>
          <w:szCs w:val="24"/>
        </w:rPr>
        <w:t>CMS</w:t>
      </w:r>
      <w:r w:rsidRPr="00E92B3C">
        <w:rPr>
          <w:spacing w:val="-3"/>
          <w:sz w:val="24"/>
          <w:szCs w:val="24"/>
        </w:rPr>
        <w:t xml:space="preserve"> </w:t>
      </w:r>
      <w:r w:rsidRPr="00E92B3C">
        <w:rPr>
          <w:sz w:val="24"/>
          <w:szCs w:val="24"/>
        </w:rPr>
        <w:t>has</w:t>
      </w:r>
      <w:r w:rsidRPr="00E92B3C">
        <w:rPr>
          <w:spacing w:val="-3"/>
          <w:sz w:val="24"/>
          <w:szCs w:val="24"/>
        </w:rPr>
        <w:t xml:space="preserve"> </w:t>
      </w:r>
      <w:r w:rsidRPr="00E92B3C">
        <w:rPr>
          <w:sz w:val="24"/>
          <w:szCs w:val="24"/>
        </w:rPr>
        <w:t>designated</w:t>
      </w:r>
      <w:r w:rsidRPr="00E92B3C">
        <w:rPr>
          <w:spacing w:val="-2"/>
          <w:sz w:val="24"/>
          <w:szCs w:val="24"/>
        </w:rPr>
        <w:t xml:space="preserve"> </w:t>
      </w:r>
      <w:r w:rsidR="00EA4FF0">
        <w:rPr>
          <w:sz w:val="24"/>
          <w:szCs w:val="24"/>
        </w:rPr>
        <w:t>TKA</w:t>
      </w:r>
      <w:r w:rsidRPr="00E92B3C">
        <w:rPr>
          <w:spacing w:val="-6"/>
          <w:sz w:val="24"/>
          <w:szCs w:val="24"/>
        </w:rPr>
        <w:t xml:space="preserve"> </w:t>
      </w:r>
      <w:r w:rsidRPr="00E92B3C">
        <w:rPr>
          <w:sz w:val="24"/>
          <w:szCs w:val="24"/>
        </w:rPr>
        <w:t>to</w:t>
      </w:r>
      <w:r w:rsidRPr="00E92B3C">
        <w:rPr>
          <w:spacing w:val="-3"/>
          <w:sz w:val="24"/>
          <w:szCs w:val="24"/>
        </w:rPr>
        <w:t xml:space="preserve"> </w:t>
      </w:r>
      <w:r w:rsidRPr="00E92B3C">
        <w:rPr>
          <w:sz w:val="24"/>
          <w:szCs w:val="24"/>
        </w:rPr>
        <w:t>be a</w:t>
      </w:r>
      <w:r w:rsidRPr="00E92B3C">
        <w:rPr>
          <w:spacing w:val="-4"/>
          <w:sz w:val="24"/>
          <w:szCs w:val="24"/>
        </w:rPr>
        <w:t xml:space="preserve"> </w:t>
      </w:r>
      <w:r w:rsidRPr="00E92B3C">
        <w:rPr>
          <w:sz w:val="24"/>
          <w:szCs w:val="24"/>
        </w:rPr>
        <w:t>surgery</w:t>
      </w:r>
      <w:r w:rsidRPr="00E92B3C">
        <w:rPr>
          <w:spacing w:val="-2"/>
          <w:sz w:val="24"/>
          <w:szCs w:val="24"/>
        </w:rPr>
        <w:t xml:space="preserve"> </w:t>
      </w:r>
      <w:r w:rsidRPr="00E92B3C">
        <w:rPr>
          <w:sz w:val="24"/>
          <w:szCs w:val="24"/>
        </w:rPr>
        <w:t>which</w:t>
      </w:r>
      <w:r w:rsidRPr="00E92B3C">
        <w:rPr>
          <w:spacing w:val="-2"/>
          <w:sz w:val="24"/>
          <w:szCs w:val="24"/>
        </w:rPr>
        <w:t xml:space="preserve"> </w:t>
      </w:r>
      <w:r w:rsidRPr="00E92B3C">
        <w:rPr>
          <w:sz w:val="24"/>
          <w:szCs w:val="24"/>
        </w:rPr>
        <w:t>is</w:t>
      </w:r>
      <w:r w:rsidRPr="00E92B3C">
        <w:rPr>
          <w:spacing w:val="-6"/>
          <w:sz w:val="24"/>
          <w:szCs w:val="24"/>
        </w:rPr>
        <w:t xml:space="preserve"> </w:t>
      </w:r>
      <w:r w:rsidRPr="00E92B3C">
        <w:rPr>
          <w:sz w:val="24"/>
          <w:szCs w:val="24"/>
        </w:rPr>
        <w:t>not</w:t>
      </w:r>
      <w:r w:rsidRPr="00E92B3C">
        <w:rPr>
          <w:spacing w:val="-2"/>
          <w:sz w:val="24"/>
          <w:szCs w:val="24"/>
        </w:rPr>
        <w:t xml:space="preserve"> </w:t>
      </w:r>
      <w:r w:rsidRPr="00E92B3C">
        <w:rPr>
          <w:sz w:val="24"/>
          <w:szCs w:val="24"/>
        </w:rPr>
        <w:t>required</w:t>
      </w:r>
      <w:r w:rsidRPr="00E92B3C">
        <w:rPr>
          <w:spacing w:val="-3"/>
          <w:sz w:val="24"/>
          <w:szCs w:val="24"/>
        </w:rPr>
        <w:t xml:space="preserve"> </w:t>
      </w:r>
      <w:r w:rsidRPr="00E92B3C">
        <w:rPr>
          <w:sz w:val="24"/>
          <w:szCs w:val="24"/>
        </w:rPr>
        <w:t>to</w:t>
      </w:r>
      <w:r w:rsidRPr="00E92B3C">
        <w:rPr>
          <w:spacing w:val="-3"/>
          <w:sz w:val="24"/>
          <w:szCs w:val="24"/>
        </w:rPr>
        <w:t xml:space="preserve"> </w:t>
      </w:r>
      <w:r w:rsidRPr="00E92B3C">
        <w:rPr>
          <w:sz w:val="24"/>
          <w:szCs w:val="24"/>
        </w:rPr>
        <w:t>be</w:t>
      </w:r>
      <w:r w:rsidRPr="00E92B3C">
        <w:rPr>
          <w:spacing w:val="-3"/>
          <w:sz w:val="24"/>
          <w:szCs w:val="24"/>
        </w:rPr>
        <w:t xml:space="preserve"> </w:t>
      </w:r>
      <w:r w:rsidRPr="00E92B3C">
        <w:rPr>
          <w:sz w:val="24"/>
          <w:szCs w:val="24"/>
        </w:rPr>
        <w:t>performed only</w:t>
      </w:r>
      <w:r w:rsidRPr="00E92B3C">
        <w:rPr>
          <w:spacing w:val="-2"/>
          <w:sz w:val="24"/>
          <w:szCs w:val="24"/>
        </w:rPr>
        <w:t xml:space="preserve"> </w:t>
      </w:r>
      <w:r w:rsidRPr="00E92B3C">
        <w:rPr>
          <w:sz w:val="24"/>
          <w:szCs w:val="24"/>
        </w:rPr>
        <w:t>as</w:t>
      </w:r>
      <w:r w:rsidRPr="00E92B3C">
        <w:rPr>
          <w:spacing w:val="-4"/>
          <w:sz w:val="24"/>
          <w:szCs w:val="24"/>
        </w:rPr>
        <w:t xml:space="preserve"> </w:t>
      </w:r>
      <w:r w:rsidRPr="00E92B3C">
        <w:rPr>
          <w:sz w:val="24"/>
          <w:szCs w:val="24"/>
        </w:rPr>
        <w:t>an</w:t>
      </w:r>
      <w:r w:rsidRPr="00E92B3C">
        <w:rPr>
          <w:spacing w:val="63"/>
          <w:sz w:val="24"/>
          <w:szCs w:val="24"/>
        </w:rPr>
        <w:t xml:space="preserve"> </w:t>
      </w:r>
      <w:r w:rsidRPr="00E92B3C">
        <w:rPr>
          <w:sz w:val="24"/>
          <w:szCs w:val="24"/>
        </w:rPr>
        <w:t>inpatient as</w:t>
      </w:r>
      <w:r w:rsidRPr="00E92B3C">
        <w:rPr>
          <w:spacing w:val="-4"/>
          <w:sz w:val="24"/>
          <w:szCs w:val="24"/>
        </w:rPr>
        <w:t xml:space="preserve"> </w:t>
      </w:r>
      <w:r w:rsidRPr="00E92B3C">
        <w:rPr>
          <w:sz w:val="24"/>
          <w:szCs w:val="24"/>
        </w:rPr>
        <w:t>of</w:t>
      </w:r>
      <w:r w:rsidRPr="00E92B3C">
        <w:rPr>
          <w:spacing w:val="-2"/>
          <w:sz w:val="24"/>
          <w:szCs w:val="24"/>
        </w:rPr>
        <w:t xml:space="preserve"> </w:t>
      </w:r>
      <w:r w:rsidRPr="00E92B3C">
        <w:rPr>
          <w:sz w:val="24"/>
          <w:szCs w:val="24"/>
        </w:rPr>
        <w:t>January</w:t>
      </w:r>
      <w:r w:rsidRPr="00E92B3C">
        <w:rPr>
          <w:spacing w:val="-2"/>
          <w:sz w:val="24"/>
          <w:szCs w:val="24"/>
        </w:rPr>
        <w:t xml:space="preserve"> </w:t>
      </w:r>
      <w:r w:rsidRPr="00E92B3C">
        <w:rPr>
          <w:sz w:val="24"/>
          <w:szCs w:val="24"/>
        </w:rPr>
        <w:t>1,</w:t>
      </w:r>
      <w:r w:rsidRPr="00E92B3C">
        <w:rPr>
          <w:spacing w:val="-3"/>
          <w:sz w:val="24"/>
          <w:szCs w:val="24"/>
        </w:rPr>
        <w:t xml:space="preserve"> </w:t>
      </w:r>
      <w:r w:rsidRPr="00E92B3C">
        <w:rPr>
          <w:sz w:val="24"/>
          <w:szCs w:val="24"/>
        </w:rPr>
        <w:t>2018.</w:t>
      </w:r>
      <w:r w:rsidRPr="00E92B3C">
        <w:rPr>
          <w:spacing w:val="-3"/>
          <w:sz w:val="24"/>
          <w:szCs w:val="24"/>
        </w:rPr>
        <w:t xml:space="preserve"> </w:t>
      </w:r>
      <w:r w:rsidRPr="00E92B3C">
        <w:rPr>
          <w:sz w:val="24"/>
          <w:szCs w:val="24"/>
        </w:rPr>
        <w:t>The</w:t>
      </w:r>
      <w:r w:rsidRPr="00E92B3C">
        <w:rPr>
          <w:spacing w:val="-3"/>
          <w:sz w:val="24"/>
          <w:szCs w:val="24"/>
        </w:rPr>
        <w:t xml:space="preserve"> </w:t>
      </w:r>
      <w:r w:rsidRPr="00E92B3C">
        <w:rPr>
          <w:sz w:val="24"/>
          <w:szCs w:val="24"/>
        </w:rPr>
        <w:t>fact</w:t>
      </w:r>
      <w:r w:rsidRPr="00E92B3C">
        <w:rPr>
          <w:spacing w:val="-2"/>
          <w:sz w:val="24"/>
          <w:szCs w:val="24"/>
        </w:rPr>
        <w:t xml:space="preserve"> </w:t>
      </w:r>
      <w:r w:rsidRPr="00E92B3C">
        <w:rPr>
          <w:sz w:val="24"/>
          <w:szCs w:val="24"/>
        </w:rPr>
        <w:t>that</w:t>
      </w:r>
      <w:r w:rsidRPr="00E92B3C">
        <w:rPr>
          <w:spacing w:val="-3"/>
          <w:sz w:val="24"/>
          <w:szCs w:val="24"/>
        </w:rPr>
        <w:t xml:space="preserve"> </w:t>
      </w:r>
      <w:r w:rsidR="00EA4FF0">
        <w:rPr>
          <w:sz w:val="24"/>
          <w:szCs w:val="24"/>
        </w:rPr>
        <w:t>TKA</w:t>
      </w:r>
      <w:r w:rsidRPr="00E92B3C">
        <w:rPr>
          <w:spacing w:val="-2"/>
          <w:sz w:val="24"/>
          <w:szCs w:val="24"/>
        </w:rPr>
        <w:t xml:space="preserve"> is</w:t>
      </w:r>
      <w:r w:rsidRPr="00E92B3C">
        <w:rPr>
          <w:sz w:val="24"/>
          <w:szCs w:val="24"/>
        </w:rPr>
        <w:t xml:space="preserve"> not</w:t>
      </w:r>
      <w:r w:rsidRPr="00E92B3C">
        <w:rPr>
          <w:spacing w:val="-2"/>
          <w:sz w:val="24"/>
          <w:szCs w:val="24"/>
        </w:rPr>
        <w:t xml:space="preserve"> </w:t>
      </w:r>
      <w:r w:rsidRPr="00E92B3C">
        <w:rPr>
          <w:sz w:val="24"/>
          <w:szCs w:val="24"/>
        </w:rPr>
        <w:t>designated</w:t>
      </w:r>
      <w:r w:rsidRPr="00E92B3C">
        <w:rPr>
          <w:spacing w:val="-2"/>
          <w:sz w:val="24"/>
          <w:szCs w:val="24"/>
        </w:rPr>
        <w:t xml:space="preserve"> </w:t>
      </w:r>
      <w:r w:rsidRPr="00E92B3C">
        <w:rPr>
          <w:sz w:val="24"/>
          <w:szCs w:val="24"/>
        </w:rPr>
        <w:t>as</w:t>
      </w:r>
      <w:r w:rsidRPr="00E92B3C">
        <w:rPr>
          <w:spacing w:val="-2"/>
          <w:sz w:val="24"/>
          <w:szCs w:val="24"/>
        </w:rPr>
        <w:t xml:space="preserve"> </w:t>
      </w:r>
      <w:r w:rsidRPr="00E92B3C">
        <w:rPr>
          <w:sz w:val="24"/>
          <w:szCs w:val="24"/>
        </w:rPr>
        <w:t>inpatient</w:t>
      </w:r>
      <w:r w:rsidRPr="00E92B3C">
        <w:rPr>
          <w:spacing w:val="-3"/>
          <w:sz w:val="24"/>
          <w:szCs w:val="24"/>
        </w:rPr>
        <w:t xml:space="preserve"> </w:t>
      </w:r>
      <w:r w:rsidRPr="00E92B3C">
        <w:rPr>
          <w:sz w:val="24"/>
          <w:szCs w:val="24"/>
        </w:rPr>
        <w:t>only</w:t>
      </w:r>
      <w:r w:rsidRPr="00E92B3C">
        <w:rPr>
          <w:spacing w:val="-5"/>
          <w:sz w:val="24"/>
          <w:szCs w:val="24"/>
        </w:rPr>
        <w:t xml:space="preserve"> </w:t>
      </w:r>
      <w:r w:rsidRPr="00E92B3C">
        <w:rPr>
          <w:sz w:val="24"/>
          <w:szCs w:val="24"/>
        </w:rPr>
        <w:t>does</w:t>
      </w:r>
      <w:r w:rsidRPr="00E92B3C">
        <w:rPr>
          <w:spacing w:val="-3"/>
          <w:sz w:val="24"/>
          <w:szCs w:val="24"/>
        </w:rPr>
        <w:t xml:space="preserve"> </w:t>
      </w:r>
      <w:r w:rsidRPr="00E92B3C">
        <w:rPr>
          <w:sz w:val="24"/>
          <w:szCs w:val="24"/>
        </w:rPr>
        <w:t>not</w:t>
      </w:r>
      <w:r w:rsidRPr="00E92B3C">
        <w:rPr>
          <w:spacing w:val="53"/>
          <w:w w:val="99"/>
          <w:sz w:val="24"/>
          <w:szCs w:val="24"/>
        </w:rPr>
        <w:t xml:space="preserve"> </w:t>
      </w:r>
      <w:r w:rsidRPr="00E92B3C">
        <w:rPr>
          <w:sz w:val="24"/>
          <w:szCs w:val="24"/>
        </w:rPr>
        <w:t>mean</w:t>
      </w:r>
      <w:r w:rsidRPr="00E92B3C">
        <w:rPr>
          <w:spacing w:val="-4"/>
          <w:sz w:val="24"/>
          <w:szCs w:val="24"/>
        </w:rPr>
        <w:t xml:space="preserve"> </w:t>
      </w:r>
      <w:r w:rsidRPr="00E92B3C">
        <w:rPr>
          <w:sz w:val="24"/>
          <w:szCs w:val="24"/>
        </w:rPr>
        <w:t>that</w:t>
      </w:r>
      <w:r w:rsidRPr="00E92B3C">
        <w:rPr>
          <w:spacing w:val="-2"/>
          <w:sz w:val="24"/>
          <w:szCs w:val="24"/>
        </w:rPr>
        <w:t xml:space="preserve"> it </w:t>
      </w:r>
      <w:r w:rsidRPr="00E92B3C">
        <w:rPr>
          <w:sz w:val="24"/>
          <w:szCs w:val="24"/>
        </w:rPr>
        <w:t>must</w:t>
      </w:r>
      <w:r w:rsidRPr="00E92B3C">
        <w:rPr>
          <w:spacing w:val="-3"/>
          <w:sz w:val="24"/>
          <w:szCs w:val="24"/>
        </w:rPr>
        <w:t xml:space="preserve"> </w:t>
      </w:r>
      <w:r w:rsidRPr="00E92B3C">
        <w:rPr>
          <w:sz w:val="24"/>
          <w:szCs w:val="24"/>
        </w:rPr>
        <w:t>be</w:t>
      </w:r>
      <w:r w:rsidRPr="00E92B3C">
        <w:rPr>
          <w:spacing w:val="-5"/>
          <w:sz w:val="24"/>
          <w:szCs w:val="24"/>
        </w:rPr>
        <w:t xml:space="preserve"> </w:t>
      </w:r>
      <w:r w:rsidRPr="00E92B3C">
        <w:rPr>
          <w:sz w:val="24"/>
          <w:szCs w:val="24"/>
        </w:rPr>
        <w:t>performed</w:t>
      </w:r>
      <w:r w:rsidRPr="00E92B3C">
        <w:rPr>
          <w:spacing w:val="-2"/>
          <w:sz w:val="24"/>
          <w:szCs w:val="24"/>
        </w:rPr>
        <w:t xml:space="preserve"> </w:t>
      </w:r>
      <w:r w:rsidRPr="00E92B3C">
        <w:rPr>
          <w:sz w:val="24"/>
          <w:szCs w:val="24"/>
        </w:rPr>
        <w:t>as</w:t>
      </w:r>
      <w:r w:rsidRPr="00E92B3C">
        <w:rPr>
          <w:spacing w:val="-5"/>
          <w:sz w:val="24"/>
          <w:szCs w:val="24"/>
        </w:rPr>
        <w:t xml:space="preserve"> </w:t>
      </w:r>
      <w:r w:rsidRPr="00E92B3C">
        <w:rPr>
          <w:sz w:val="24"/>
          <w:szCs w:val="24"/>
        </w:rPr>
        <w:t>outpatient</w:t>
      </w:r>
      <w:r w:rsidR="002F0F0E" w:rsidRPr="00E92B3C">
        <w:rPr>
          <w:sz w:val="24"/>
          <w:szCs w:val="24"/>
        </w:rPr>
        <w:t>, page 665</w:t>
      </w:r>
      <w:r w:rsidRPr="00E92B3C">
        <w:rPr>
          <w:sz w:val="24"/>
          <w:szCs w:val="24"/>
        </w:rPr>
        <w:t>.</w:t>
      </w:r>
      <w:r w:rsidRPr="00E92B3C">
        <w:rPr>
          <w:spacing w:val="-3"/>
          <w:sz w:val="24"/>
          <w:szCs w:val="24"/>
        </w:rPr>
        <w:t xml:space="preserve"> </w:t>
      </w:r>
    </w:p>
    <w:p w14:paraId="05213C3C" w14:textId="77777777" w:rsidR="00E72B4D" w:rsidRPr="00E92B3C" w:rsidRDefault="00E72B4D" w:rsidP="00E92B3C">
      <w:pPr>
        <w:pStyle w:val="NoSpacing"/>
        <w:rPr>
          <w:sz w:val="24"/>
          <w:szCs w:val="24"/>
        </w:rPr>
      </w:pPr>
    </w:p>
    <w:p w14:paraId="67107434" w14:textId="77777777" w:rsidR="003B1752" w:rsidRPr="00E92B3C" w:rsidRDefault="00E72B4D" w:rsidP="00E92B3C">
      <w:pPr>
        <w:pStyle w:val="NoSpacing"/>
        <w:rPr>
          <w:sz w:val="24"/>
          <w:szCs w:val="24"/>
        </w:rPr>
      </w:pPr>
      <w:r w:rsidRPr="00E92B3C">
        <w:rPr>
          <w:sz w:val="24"/>
          <w:szCs w:val="24"/>
        </w:rPr>
        <w:t xml:space="preserve">CMS sates (page 665): “We continue to believe that the decision regarding the most appropriate care setting for a given surgical procedure is a complex medical judgment made by the physician based on the </w:t>
      </w:r>
      <w:r w:rsidRPr="00E92B3C">
        <w:rPr>
          <w:sz w:val="24"/>
          <w:szCs w:val="24"/>
          <w:u w:val="single"/>
        </w:rPr>
        <w:t>beneficiary’s individual clinical needs and preferences</w:t>
      </w:r>
      <w:r w:rsidRPr="00E92B3C">
        <w:rPr>
          <w:sz w:val="24"/>
          <w:szCs w:val="24"/>
        </w:rPr>
        <w:t xml:space="preserve"> and on the general coverage rules requiring that any procedure be reasonable and necessary.  We also reiterate our previous statement that the remov</w:t>
      </w:r>
      <w:r w:rsidR="006A2272">
        <w:rPr>
          <w:sz w:val="24"/>
          <w:szCs w:val="24"/>
        </w:rPr>
        <w:t xml:space="preserve">al of any procedure from the Inpatient Only (IPO) </w:t>
      </w:r>
      <w:r w:rsidRPr="00E92B3C">
        <w:rPr>
          <w:sz w:val="24"/>
          <w:szCs w:val="24"/>
        </w:rPr>
        <w:t>list does not require the procedure to be performed only on an outpatient basis.”</w:t>
      </w:r>
    </w:p>
    <w:p w14:paraId="7D46E7BF" w14:textId="77777777" w:rsidR="00E72B4D" w:rsidRPr="00E92B3C" w:rsidRDefault="00E72B4D" w:rsidP="00E92B3C">
      <w:pPr>
        <w:pStyle w:val="NoSpacing"/>
        <w:rPr>
          <w:sz w:val="24"/>
          <w:szCs w:val="24"/>
        </w:rPr>
      </w:pPr>
    </w:p>
    <w:p w14:paraId="24358A11" w14:textId="77777777" w:rsidR="00E72B4D" w:rsidRPr="00E92B3C" w:rsidRDefault="00E72B4D" w:rsidP="00E92B3C">
      <w:pPr>
        <w:pStyle w:val="NoSpacing"/>
        <w:rPr>
          <w:sz w:val="24"/>
          <w:szCs w:val="24"/>
        </w:rPr>
      </w:pPr>
      <w:r w:rsidRPr="00E92B3C">
        <w:rPr>
          <w:sz w:val="24"/>
          <w:szCs w:val="24"/>
        </w:rPr>
        <w:t>When</w:t>
      </w:r>
      <w:r w:rsidRPr="00E92B3C">
        <w:rPr>
          <w:spacing w:val="-4"/>
          <w:sz w:val="24"/>
          <w:szCs w:val="24"/>
        </w:rPr>
        <w:t xml:space="preserve"> </w:t>
      </w:r>
      <w:r w:rsidRPr="00E92B3C">
        <w:rPr>
          <w:sz w:val="24"/>
          <w:szCs w:val="24"/>
        </w:rPr>
        <w:t>determining</w:t>
      </w:r>
      <w:r w:rsidRPr="00E92B3C">
        <w:rPr>
          <w:spacing w:val="-5"/>
          <w:sz w:val="24"/>
          <w:szCs w:val="24"/>
        </w:rPr>
        <w:t xml:space="preserve"> </w:t>
      </w:r>
      <w:r w:rsidRPr="00E92B3C">
        <w:rPr>
          <w:sz w:val="24"/>
          <w:szCs w:val="24"/>
        </w:rPr>
        <w:t>if</w:t>
      </w:r>
      <w:r w:rsidRPr="00E92B3C">
        <w:rPr>
          <w:spacing w:val="-3"/>
          <w:sz w:val="24"/>
          <w:szCs w:val="24"/>
        </w:rPr>
        <w:t xml:space="preserve"> </w:t>
      </w:r>
      <w:r w:rsidRPr="00E92B3C">
        <w:rPr>
          <w:sz w:val="24"/>
          <w:szCs w:val="24"/>
        </w:rPr>
        <w:t>a</w:t>
      </w:r>
      <w:r w:rsidRPr="00E92B3C">
        <w:rPr>
          <w:spacing w:val="-3"/>
          <w:sz w:val="24"/>
          <w:szCs w:val="24"/>
        </w:rPr>
        <w:t xml:space="preserve"> </w:t>
      </w:r>
      <w:r w:rsidR="00EA4FF0">
        <w:rPr>
          <w:sz w:val="24"/>
          <w:szCs w:val="24"/>
        </w:rPr>
        <w:t>TKA</w:t>
      </w:r>
      <w:r w:rsidRPr="00E92B3C">
        <w:rPr>
          <w:spacing w:val="-6"/>
          <w:sz w:val="24"/>
          <w:szCs w:val="24"/>
        </w:rPr>
        <w:t xml:space="preserve"> </w:t>
      </w:r>
      <w:r w:rsidRPr="00E92B3C">
        <w:rPr>
          <w:sz w:val="24"/>
          <w:szCs w:val="24"/>
        </w:rPr>
        <w:t>should be</w:t>
      </w:r>
      <w:r w:rsidRPr="00E92B3C">
        <w:rPr>
          <w:spacing w:val="-4"/>
          <w:sz w:val="24"/>
          <w:szCs w:val="24"/>
        </w:rPr>
        <w:t xml:space="preserve"> </w:t>
      </w:r>
      <w:r w:rsidRPr="00E92B3C">
        <w:rPr>
          <w:sz w:val="24"/>
          <w:szCs w:val="24"/>
        </w:rPr>
        <w:t>performed</w:t>
      </w:r>
      <w:r w:rsidRPr="00E92B3C">
        <w:rPr>
          <w:spacing w:val="55"/>
          <w:sz w:val="24"/>
          <w:szCs w:val="24"/>
        </w:rPr>
        <w:t xml:space="preserve"> </w:t>
      </w:r>
      <w:r w:rsidRPr="00E92B3C">
        <w:rPr>
          <w:sz w:val="24"/>
          <w:szCs w:val="24"/>
        </w:rPr>
        <w:t>as</w:t>
      </w:r>
      <w:r w:rsidRPr="00E92B3C">
        <w:rPr>
          <w:spacing w:val="-3"/>
          <w:sz w:val="24"/>
          <w:szCs w:val="24"/>
        </w:rPr>
        <w:t xml:space="preserve"> </w:t>
      </w:r>
      <w:r w:rsidRPr="00E92B3C">
        <w:rPr>
          <w:sz w:val="24"/>
          <w:szCs w:val="24"/>
        </w:rPr>
        <w:t>inpatient</w:t>
      </w:r>
      <w:r w:rsidRPr="00E92B3C">
        <w:rPr>
          <w:spacing w:val="-3"/>
          <w:sz w:val="24"/>
          <w:szCs w:val="24"/>
        </w:rPr>
        <w:t xml:space="preserve"> </w:t>
      </w:r>
      <w:r w:rsidRPr="00E92B3C">
        <w:rPr>
          <w:sz w:val="24"/>
          <w:szCs w:val="24"/>
        </w:rPr>
        <w:t>or</w:t>
      </w:r>
      <w:r w:rsidRPr="00E92B3C">
        <w:rPr>
          <w:spacing w:val="-3"/>
          <w:sz w:val="24"/>
          <w:szCs w:val="24"/>
        </w:rPr>
        <w:t xml:space="preserve"> </w:t>
      </w:r>
      <w:r w:rsidRPr="00E92B3C">
        <w:rPr>
          <w:sz w:val="24"/>
          <w:szCs w:val="24"/>
        </w:rPr>
        <w:t>outpatient,</w:t>
      </w:r>
      <w:r w:rsidRPr="00E92B3C">
        <w:rPr>
          <w:spacing w:val="-3"/>
          <w:sz w:val="24"/>
          <w:szCs w:val="24"/>
        </w:rPr>
        <w:t xml:space="preserve"> </w:t>
      </w:r>
      <w:r w:rsidRPr="00E92B3C">
        <w:rPr>
          <w:sz w:val="24"/>
          <w:szCs w:val="24"/>
        </w:rPr>
        <w:t>the</w:t>
      </w:r>
      <w:r w:rsidRPr="00E92B3C">
        <w:rPr>
          <w:spacing w:val="-4"/>
          <w:sz w:val="24"/>
          <w:szCs w:val="24"/>
        </w:rPr>
        <w:t xml:space="preserve"> </w:t>
      </w:r>
      <w:r w:rsidRPr="00E92B3C">
        <w:rPr>
          <w:sz w:val="24"/>
          <w:szCs w:val="24"/>
        </w:rPr>
        <w:t>physician/provider</w:t>
      </w:r>
      <w:r w:rsidRPr="00E92B3C">
        <w:rPr>
          <w:spacing w:val="-3"/>
          <w:sz w:val="24"/>
          <w:szCs w:val="24"/>
        </w:rPr>
        <w:t xml:space="preserve"> </w:t>
      </w:r>
      <w:r w:rsidRPr="00E92B3C">
        <w:rPr>
          <w:sz w:val="24"/>
          <w:szCs w:val="24"/>
        </w:rPr>
        <w:t>should</w:t>
      </w:r>
      <w:r w:rsidRPr="00E92B3C">
        <w:rPr>
          <w:spacing w:val="-3"/>
          <w:sz w:val="24"/>
          <w:szCs w:val="24"/>
        </w:rPr>
        <w:t xml:space="preserve"> </w:t>
      </w:r>
      <w:r w:rsidRPr="00E92B3C">
        <w:rPr>
          <w:sz w:val="24"/>
          <w:szCs w:val="24"/>
        </w:rPr>
        <w:t>consider</w:t>
      </w:r>
      <w:r w:rsidRPr="00E92B3C">
        <w:rPr>
          <w:spacing w:val="-4"/>
          <w:sz w:val="24"/>
          <w:szCs w:val="24"/>
        </w:rPr>
        <w:t xml:space="preserve"> </w:t>
      </w:r>
      <w:r w:rsidR="002F0F0E" w:rsidRPr="00E92B3C">
        <w:rPr>
          <w:sz w:val="24"/>
          <w:szCs w:val="24"/>
        </w:rPr>
        <w:t xml:space="preserve">many </w:t>
      </w:r>
      <w:r w:rsidR="0078382C" w:rsidRPr="00E92B3C">
        <w:rPr>
          <w:sz w:val="24"/>
          <w:szCs w:val="24"/>
        </w:rPr>
        <w:t xml:space="preserve">factors. </w:t>
      </w:r>
      <w:r w:rsidRPr="00E92B3C">
        <w:rPr>
          <w:sz w:val="24"/>
          <w:szCs w:val="24"/>
        </w:rPr>
        <w:t>Patients who meet any one or more of the following criteria shall be deemed appropriate for consideration as an inpatient admission:</w:t>
      </w:r>
    </w:p>
    <w:p w14:paraId="34FE756F" w14:textId="77777777" w:rsidR="00E72B4D" w:rsidRPr="00124C11" w:rsidRDefault="00E72B4D" w:rsidP="00E72B4D">
      <w:pPr>
        <w:pStyle w:val="BodyText"/>
        <w:spacing w:line="276" w:lineRule="auto"/>
        <w:ind w:left="100" w:right="161" w:firstLine="0"/>
        <w:rPr>
          <w:rFonts w:asciiTheme="minorHAnsi" w:hAnsiTheme="minorHAnsi"/>
          <w:spacing w:val="-1"/>
        </w:rPr>
      </w:pPr>
    </w:p>
    <w:p w14:paraId="20EBF333" w14:textId="77777777" w:rsidR="00E72B4D" w:rsidRPr="00124C11" w:rsidRDefault="00E72B4D"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Advanced age 70 or older</w:t>
      </w:r>
      <w:r w:rsidR="00E20366">
        <w:rPr>
          <w:rFonts w:asciiTheme="minorHAnsi" w:hAnsiTheme="minorHAnsi"/>
          <w:spacing w:val="-1"/>
        </w:rPr>
        <w:t xml:space="preserve"> </w:t>
      </w:r>
      <w:r w:rsidR="00E20366" w:rsidRPr="00124C11">
        <w:rPr>
          <w:rFonts w:asciiTheme="minorHAnsi" w:hAnsiTheme="minorHAnsi"/>
          <w:spacing w:val="-1"/>
        </w:rPr>
        <w:t>(Krause, et al, 2018)</w:t>
      </w:r>
      <w:r w:rsidRPr="00124C11">
        <w:rPr>
          <w:rFonts w:asciiTheme="minorHAnsi" w:hAnsiTheme="minorHAnsi"/>
          <w:spacing w:val="-1"/>
        </w:rPr>
        <w:t>;</w:t>
      </w:r>
    </w:p>
    <w:p w14:paraId="16DDB722" w14:textId="77777777" w:rsidR="00E72B4D"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s</w:t>
      </w:r>
      <w:r w:rsidR="00E72B4D" w:rsidRPr="00124C11">
        <w:rPr>
          <w:rFonts w:asciiTheme="minorHAnsi" w:hAnsiTheme="minorHAnsi"/>
          <w:spacing w:val="-1"/>
        </w:rPr>
        <w:t>imultaneous bilateral TKA</w:t>
      </w:r>
      <w:r w:rsidR="00E44D90">
        <w:rPr>
          <w:rFonts w:asciiTheme="minorHAnsi" w:hAnsiTheme="minorHAnsi"/>
          <w:spacing w:val="-1"/>
        </w:rPr>
        <w:t xml:space="preserve"> </w:t>
      </w:r>
      <w:r w:rsidR="00E44D90" w:rsidRPr="00124C11">
        <w:rPr>
          <w:rFonts w:asciiTheme="minorHAnsi" w:hAnsiTheme="minorHAnsi"/>
          <w:spacing w:val="-1"/>
        </w:rPr>
        <w:t>(Krause, et al, 2018)</w:t>
      </w:r>
      <w:r w:rsidR="00E72B4D" w:rsidRPr="00124C11">
        <w:rPr>
          <w:rFonts w:asciiTheme="minorHAnsi" w:hAnsiTheme="minorHAnsi"/>
          <w:spacing w:val="-1"/>
        </w:rPr>
        <w:t xml:space="preserve">; </w:t>
      </w:r>
    </w:p>
    <w:p w14:paraId="52C75164" w14:textId="77777777" w:rsidR="00E72B4D" w:rsidRPr="00124C11" w:rsidRDefault="00E72B4D"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 xml:space="preserve">surgery performed for fracture and </w:t>
      </w:r>
      <w:r w:rsidR="009144DC" w:rsidRPr="00124C11">
        <w:rPr>
          <w:rFonts w:asciiTheme="minorHAnsi" w:hAnsiTheme="minorHAnsi"/>
          <w:spacing w:val="-1"/>
        </w:rPr>
        <w:t>orthopedic</w:t>
      </w:r>
      <w:r w:rsidRPr="00124C11">
        <w:rPr>
          <w:rFonts w:asciiTheme="minorHAnsi" w:hAnsiTheme="minorHAnsi"/>
          <w:spacing w:val="-1"/>
        </w:rPr>
        <w:t xml:space="preserve"> complexity (</w:t>
      </w:r>
      <w:r w:rsidR="001016BC" w:rsidRPr="00124C11">
        <w:rPr>
          <w:rFonts w:asciiTheme="minorHAnsi" w:hAnsiTheme="minorHAnsi"/>
          <w:spacing w:val="-1"/>
        </w:rPr>
        <w:t>e.g.</w:t>
      </w:r>
      <w:r w:rsidRPr="00124C11">
        <w:rPr>
          <w:rFonts w:asciiTheme="minorHAnsi" w:hAnsiTheme="minorHAnsi"/>
          <w:spacing w:val="-1"/>
        </w:rPr>
        <w:t xml:space="preserve"> Bone loss, retained hardware</w:t>
      </w:r>
      <w:r w:rsidR="0078382C">
        <w:rPr>
          <w:rFonts w:asciiTheme="minorHAnsi" w:hAnsiTheme="minorHAnsi"/>
          <w:spacing w:val="-1"/>
        </w:rPr>
        <w:t>)</w:t>
      </w:r>
      <w:r w:rsidR="00E44D90" w:rsidRP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438A5274" w14:textId="77777777" w:rsidR="00E72B4D"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lastRenderedPageBreak/>
        <w:t>uncontrolled (hemoglobin A1C &gt;7.0) diabetes mellitus (type I or II)</w:t>
      </w:r>
      <w:r w:rsidR="00E44D90" w:rsidRP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2C89FFE9"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BMI &gt;30</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452B6A55"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any bleeding disorders</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2D9B0CCE"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American Society of Anesthesiologist (ASA) scores &gt;2</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30471114"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poorly controlled cardiac (</w:t>
      </w:r>
      <w:r w:rsidR="001016BC" w:rsidRPr="00124C11">
        <w:rPr>
          <w:rFonts w:asciiTheme="minorHAnsi" w:hAnsiTheme="minorHAnsi"/>
          <w:spacing w:val="-1"/>
        </w:rPr>
        <w:t>e.g.</w:t>
      </w:r>
      <w:r w:rsidRPr="00124C11">
        <w:rPr>
          <w:rFonts w:asciiTheme="minorHAnsi" w:hAnsiTheme="minorHAnsi"/>
          <w:spacing w:val="-1"/>
        </w:rPr>
        <w:t>, heart failure, arrhythmia) or pulmonary (</w:t>
      </w:r>
      <w:r w:rsidR="001016BC" w:rsidRPr="00124C11">
        <w:rPr>
          <w:rFonts w:asciiTheme="minorHAnsi" w:hAnsiTheme="minorHAnsi"/>
          <w:spacing w:val="-1"/>
        </w:rPr>
        <w:t>e.g.</w:t>
      </w:r>
      <w:r w:rsidR="006A2272">
        <w:rPr>
          <w:rFonts w:asciiTheme="minorHAnsi" w:hAnsiTheme="minorHAnsi"/>
          <w:spacing w:val="-1"/>
        </w:rPr>
        <w:t xml:space="preserve"> e</w:t>
      </w:r>
      <w:r w:rsidRPr="00124C11">
        <w:rPr>
          <w:rFonts w:asciiTheme="minorHAnsi" w:hAnsiTheme="minorHAnsi"/>
          <w:spacing w:val="-1"/>
        </w:rPr>
        <w:t>mbolism, respiratory failure)</w:t>
      </w:r>
      <w:r w:rsidR="00E44D90" w:rsidRP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316708BA"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 xml:space="preserve">chronic </w:t>
      </w:r>
      <w:r w:rsidR="001016BC" w:rsidRPr="00124C11">
        <w:rPr>
          <w:rFonts w:asciiTheme="minorHAnsi" w:hAnsiTheme="minorHAnsi"/>
          <w:spacing w:val="-1"/>
        </w:rPr>
        <w:t>opioid</w:t>
      </w:r>
      <w:r w:rsidRPr="00124C11">
        <w:rPr>
          <w:rFonts w:asciiTheme="minorHAnsi" w:hAnsiTheme="minorHAnsi"/>
          <w:spacing w:val="-1"/>
        </w:rPr>
        <w:t xml:space="preserve"> consumption</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58C6A6F4"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COPD</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57FFC13F"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functional neurologic impairments</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09A5693A"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chronic or end-stage renal disease</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29C299A8"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oncologic disorder;</w:t>
      </w:r>
    </w:p>
    <w:p w14:paraId="298D95BA" w14:textId="77777777" w:rsidR="009144DC"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reduced cognitive pre-operative cognitive capacity</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37B5D64A" w14:textId="77777777" w:rsidR="0078382C" w:rsidRPr="00124C11" w:rsidRDefault="0078382C" w:rsidP="00E72B4D">
      <w:pPr>
        <w:pStyle w:val="BodyText"/>
        <w:numPr>
          <w:ilvl w:val="0"/>
          <w:numId w:val="2"/>
        </w:numPr>
        <w:spacing w:line="276" w:lineRule="auto"/>
        <w:ind w:right="161"/>
        <w:rPr>
          <w:rFonts w:asciiTheme="minorHAnsi" w:hAnsiTheme="minorHAnsi"/>
          <w:spacing w:val="-1"/>
        </w:rPr>
      </w:pPr>
      <w:r>
        <w:rPr>
          <w:rFonts w:asciiTheme="minorHAnsi" w:hAnsiTheme="minorHAnsi"/>
          <w:spacing w:val="-1"/>
        </w:rPr>
        <w:t>significant gait disturbance;</w:t>
      </w:r>
    </w:p>
    <w:p w14:paraId="55EAA6EE"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severe mobility disorders (use of assistive devices for ambulation</w:t>
      </w:r>
      <w:r w:rsidR="002F0F0E">
        <w:rPr>
          <w:rFonts w:asciiTheme="minorHAnsi" w:hAnsiTheme="minorHAnsi"/>
          <w:spacing w:val="-1"/>
        </w:rPr>
        <w:t>)</w:t>
      </w:r>
      <w:r w:rsidRPr="00124C11">
        <w:rPr>
          <w:rFonts w:asciiTheme="minorHAnsi" w:hAnsiTheme="minorHAnsi"/>
          <w:spacing w:val="-1"/>
        </w:rPr>
        <w:t>;</w:t>
      </w:r>
    </w:p>
    <w:p w14:paraId="2612CE55"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non-ambulatory;</w:t>
      </w:r>
    </w:p>
    <w:p w14:paraId="3A824C80"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 xml:space="preserve">voiding difficulties or preoperative use of urologic medications and practical </w:t>
      </w:r>
      <w:r w:rsidR="001016BC" w:rsidRPr="00124C11">
        <w:rPr>
          <w:rFonts w:asciiTheme="minorHAnsi" w:hAnsiTheme="minorHAnsi"/>
          <w:spacing w:val="-1"/>
        </w:rPr>
        <w:t>issues</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33BD9820" w14:textId="77777777" w:rsidR="009144DC" w:rsidRPr="00124C11" w:rsidRDefault="009144D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history of MI;</w:t>
      </w:r>
      <w:r w:rsidR="007F5BC8" w:rsidRPr="00124C11">
        <w:rPr>
          <w:rFonts w:asciiTheme="minorHAnsi" w:hAnsiTheme="minorHAnsi"/>
          <w:spacing w:val="-1"/>
        </w:rPr>
        <w:t xml:space="preserve"> CHF; venous thromboembolism, cardiac arrhythmia, respiratory failure, or chronic pain requiring regular </w:t>
      </w:r>
      <w:r w:rsidR="001016BC" w:rsidRPr="00124C11">
        <w:rPr>
          <w:rFonts w:asciiTheme="minorHAnsi" w:hAnsiTheme="minorHAnsi"/>
          <w:spacing w:val="-1"/>
        </w:rPr>
        <w:t>opioid</w:t>
      </w:r>
      <w:r w:rsidR="007F5BC8" w:rsidRPr="00124C11">
        <w:rPr>
          <w:rFonts w:asciiTheme="minorHAnsi" w:hAnsiTheme="minorHAnsi"/>
          <w:spacing w:val="-1"/>
        </w:rPr>
        <w:t xml:space="preserve"> medications</w:t>
      </w:r>
      <w:r w:rsidR="00E44D90">
        <w:rPr>
          <w:rFonts w:asciiTheme="minorHAnsi" w:hAnsiTheme="minorHAnsi"/>
          <w:spacing w:val="-1"/>
        </w:rPr>
        <w:t xml:space="preserve"> </w:t>
      </w:r>
      <w:r w:rsidR="00E44D90" w:rsidRPr="00124C11">
        <w:rPr>
          <w:rFonts w:asciiTheme="minorHAnsi" w:hAnsiTheme="minorHAnsi"/>
          <w:spacing w:val="-1"/>
        </w:rPr>
        <w:t>(Krause, et al, 2018)</w:t>
      </w:r>
      <w:r w:rsidR="007F5BC8" w:rsidRPr="00124C11">
        <w:rPr>
          <w:rFonts w:asciiTheme="minorHAnsi" w:hAnsiTheme="minorHAnsi"/>
          <w:spacing w:val="-1"/>
        </w:rPr>
        <w:t xml:space="preserve">; </w:t>
      </w:r>
    </w:p>
    <w:p w14:paraId="0B81E45C" w14:textId="77777777" w:rsidR="007F5BC8" w:rsidRPr="00124C11" w:rsidRDefault="001016BC"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preoperative</w:t>
      </w:r>
      <w:r w:rsidR="007F5BC8" w:rsidRPr="00124C11">
        <w:rPr>
          <w:rFonts w:asciiTheme="minorHAnsi" w:hAnsiTheme="minorHAnsi"/>
          <w:spacing w:val="-1"/>
        </w:rPr>
        <w:t xml:space="preserve"> lymphocyte count less than 1500 cells/mm</w:t>
      </w:r>
      <w:r w:rsidR="00E44D90">
        <w:rPr>
          <w:rFonts w:asciiTheme="minorHAnsi" w:hAnsiTheme="minorHAnsi"/>
          <w:spacing w:val="-1"/>
        </w:rPr>
        <w:t xml:space="preserve"> </w:t>
      </w:r>
      <w:r w:rsidR="00E44D90" w:rsidRPr="00124C11">
        <w:rPr>
          <w:rFonts w:asciiTheme="minorHAnsi" w:hAnsiTheme="minorHAnsi"/>
          <w:spacing w:val="-1"/>
        </w:rPr>
        <w:t>(Krause, et al, 2018)</w:t>
      </w:r>
      <w:r w:rsidR="007F5BC8" w:rsidRPr="00124C11">
        <w:rPr>
          <w:rFonts w:asciiTheme="minorHAnsi" w:hAnsiTheme="minorHAnsi"/>
          <w:spacing w:val="-1"/>
        </w:rPr>
        <w:t xml:space="preserve">; </w:t>
      </w:r>
    </w:p>
    <w:p w14:paraId="11226402" w14:textId="77777777" w:rsidR="009144DC"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albumin level &lt; 3.5g/dL</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w:t>
      </w:r>
    </w:p>
    <w:p w14:paraId="6F63583F" w14:textId="77777777" w:rsidR="007F5BC8"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transferrin levels &lt;220 mg/dL</w:t>
      </w:r>
      <w:r w:rsidR="00E44D90">
        <w:rPr>
          <w:rFonts w:asciiTheme="minorHAnsi" w:hAnsiTheme="minorHAnsi"/>
          <w:spacing w:val="-1"/>
        </w:rPr>
        <w:t xml:space="preserve"> </w:t>
      </w:r>
      <w:r w:rsidR="00E44D90" w:rsidRPr="00124C11">
        <w:rPr>
          <w:rFonts w:asciiTheme="minorHAnsi" w:hAnsiTheme="minorHAnsi"/>
          <w:spacing w:val="-1"/>
        </w:rPr>
        <w:t>(Krause, et al, 2018)</w:t>
      </w:r>
      <w:r w:rsidR="00E44D90">
        <w:rPr>
          <w:rFonts w:asciiTheme="minorHAnsi" w:hAnsiTheme="minorHAnsi"/>
          <w:spacing w:val="-1"/>
        </w:rPr>
        <w:t>;</w:t>
      </w:r>
    </w:p>
    <w:p w14:paraId="513D5994" w14:textId="77777777" w:rsidR="007F5BC8"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prealbumin levels &lt; 22.5 mg/dL</w:t>
      </w:r>
      <w:r w:rsidR="00E44D90">
        <w:rPr>
          <w:rFonts w:asciiTheme="minorHAnsi" w:hAnsiTheme="minorHAnsi"/>
          <w:spacing w:val="-1"/>
        </w:rPr>
        <w:t xml:space="preserve"> </w:t>
      </w:r>
      <w:r w:rsidR="00E44D90" w:rsidRPr="00124C11">
        <w:rPr>
          <w:rFonts w:asciiTheme="minorHAnsi" w:hAnsiTheme="minorHAnsi"/>
          <w:spacing w:val="-1"/>
        </w:rPr>
        <w:t>(Krause, et al, 2018)</w:t>
      </w:r>
      <w:r w:rsidR="00E44D90">
        <w:rPr>
          <w:rFonts w:asciiTheme="minorHAnsi" w:hAnsiTheme="minorHAnsi"/>
          <w:spacing w:val="-1"/>
        </w:rPr>
        <w:t>;</w:t>
      </w:r>
    </w:p>
    <w:p w14:paraId="39A263CC" w14:textId="77777777" w:rsidR="007F5BC8"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hemoglobin level &lt;13 g/dL</w:t>
      </w:r>
      <w:r w:rsidR="00E44D90">
        <w:rPr>
          <w:rFonts w:asciiTheme="minorHAnsi" w:hAnsiTheme="minorHAnsi"/>
          <w:spacing w:val="-1"/>
        </w:rPr>
        <w:t xml:space="preserve"> </w:t>
      </w:r>
      <w:r w:rsidR="00E44D90" w:rsidRPr="00124C11">
        <w:rPr>
          <w:rFonts w:asciiTheme="minorHAnsi" w:hAnsiTheme="minorHAnsi"/>
          <w:spacing w:val="-1"/>
        </w:rPr>
        <w:t>(Krause, et al, 2018)</w:t>
      </w:r>
      <w:r w:rsidR="00E44D90">
        <w:rPr>
          <w:rFonts w:asciiTheme="minorHAnsi" w:hAnsiTheme="minorHAnsi"/>
          <w:spacing w:val="-1"/>
        </w:rPr>
        <w:t>;</w:t>
      </w:r>
    </w:p>
    <w:p w14:paraId="25DB6B91" w14:textId="77777777" w:rsidR="007F5BC8"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malnutrition</w:t>
      </w:r>
      <w:r w:rsidR="00E44D90">
        <w:rPr>
          <w:rFonts w:asciiTheme="minorHAnsi" w:hAnsiTheme="minorHAnsi"/>
          <w:spacing w:val="-1"/>
        </w:rPr>
        <w:t xml:space="preserve"> </w:t>
      </w:r>
      <w:r w:rsidR="00E44D90" w:rsidRPr="00124C11">
        <w:rPr>
          <w:rFonts w:asciiTheme="minorHAnsi" w:hAnsiTheme="minorHAnsi"/>
          <w:spacing w:val="-1"/>
        </w:rPr>
        <w:t>(Krause, et al, 2018)</w:t>
      </w:r>
      <w:r w:rsidRPr="00124C11">
        <w:rPr>
          <w:rFonts w:asciiTheme="minorHAnsi" w:hAnsiTheme="minorHAnsi"/>
          <w:spacing w:val="-1"/>
        </w:rPr>
        <w:t xml:space="preserve">; </w:t>
      </w:r>
    </w:p>
    <w:p w14:paraId="6DBA6713" w14:textId="77777777" w:rsidR="007F5BC8" w:rsidRPr="00124C11" w:rsidRDefault="007F5BC8" w:rsidP="007F5BC8">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ETO</w:t>
      </w:r>
      <w:r w:rsidR="00092385">
        <w:rPr>
          <w:rFonts w:asciiTheme="minorHAnsi" w:hAnsiTheme="minorHAnsi"/>
          <w:spacing w:val="-1"/>
        </w:rPr>
        <w:t>H abuse or intravenous drug use</w:t>
      </w:r>
      <w:r w:rsidR="00092385" w:rsidRPr="00092385">
        <w:rPr>
          <w:rFonts w:asciiTheme="minorHAnsi" w:hAnsiTheme="minorHAnsi"/>
          <w:spacing w:val="-1"/>
        </w:rPr>
        <w:t xml:space="preserve"> </w:t>
      </w:r>
      <w:r w:rsidR="00092385" w:rsidRPr="00124C11">
        <w:rPr>
          <w:rFonts w:asciiTheme="minorHAnsi" w:hAnsiTheme="minorHAnsi"/>
          <w:spacing w:val="-1"/>
        </w:rPr>
        <w:t>(Krause, et al, 2018)</w:t>
      </w:r>
      <w:r w:rsidR="00092385">
        <w:rPr>
          <w:rFonts w:asciiTheme="minorHAnsi" w:hAnsiTheme="minorHAnsi"/>
          <w:spacing w:val="-1"/>
        </w:rPr>
        <w:t>;</w:t>
      </w:r>
    </w:p>
    <w:p w14:paraId="23113618" w14:textId="77777777" w:rsidR="007F5BC8"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chronic liver disease</w:t>
      </w:r>
      <w:r w:rsidR="00092385">
        <w:rPr>
          <w:rFonts w:asciiTheme="minorHAnsi" w:hAnsiTheme="minorHAnsi"/>
          <w:spacing w:val="-1"/>
        </w:rPr>
        <w:t xml:space="preserve"> </w:t>
      </w:r>
      <w:r w:rsidR="00092385" w:rsidRPr="00124C11">
        <w:rPr>
          <w:rFonts w:asciiTheme="minorHAnsi" w:hAnsiTheme="minorHAnsi"/>
          <w:spacing w:val="-1"/>
        </w:rPr>
        <w:t>(Krause, et al, 2018)</w:t>
      </w:r>
      <w:r w:rsidRPr="00124C11">
        <w:rPr>
          <w:rFonts w:asciiTheme="minorHAnsi" w:hAnsiTheme="minorHAnsi"/>
          <w:spacing w:val="-1"/>
        </w:rPr>
        <w:t>;</w:t>
      </w:r>
    </w:p>
    <w:p w14:paraId="665509AA" w14:textId="77777777" w:rsidR="007F5BC8" w:rsidRPr="00124C11" w:rsidRDefault="007F5BC8" w:rsidP="00E72B4D">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anticipation that patient will need SNF care at discharge</w:t>
      </w:r>
      <w:r w:rsidR="00092385">
        <w:rPr>
          <w:rFonts w:asciiTheme="minorHAnsi" w:hAnsiTheme="minorHAnsi"/>
          <w:spacing w:val="-1"/>
        </w:rPr>
        <w:t xml:space="preserve"> </w:t>
      </w:r>
      <w:r w:rsidR="00092385" w:rsidRPr="00124C11">
        <w:rPr>
          <w:rFonts w:asciiTheme="minorHAnsi" w:hAnsiTheme="minorHAnsi"/>
          <w:spacing w:val="-1"/>
        </w:rPr>
        <w:t>(Krause, et al, 2018)</w:t>
      </w:r>
      <w:r w:rsidRPr="00124C11">
        <w:rPr>
          <w:rFonts w:asciiTheme="minorHAnsi" w:hAnsiTheme="minorHAnsi"/>
          <w:spacing w:val="-1"/>
        </w:rPr>
        <w:t>;</w:t>
      </w:r>
    </w:p>
    <w:p w14:paraId="67609B84" w14:textId="77777777" w:rsidR="0060744B" w:rsidRDefault="007F5BC8" w:rsidP="0060744B">
      <w:pPr>
        <w:pStyle w:val="BodyText"/>
        <w:numPr>
          <w:ilvl w:val="0"/>
          <w:numId w:val="2"/>
        </w:numPr>
        <w:spacing w:line="276" w:lineRule="auto"/>
        <w:ind w:right="161"/>
        <w:rPr>
          <w:rFonts w:asciiTheme="minorHAnsi" w:hAnsiTheme="minorHAnsi"/>
          <w:spacing w:val="-1"/>
        </w:rPr>
      </w:pPr>
      <w:r w:rsidRPr="00124C11">
        <w:rPr>
          <w:rFonts w:asciiTheme="minorHAnsi" w:hAnsiTheme="minorHAnsi"/>
          <w:spacing w:val="-1"/>
        </w:rPr>
        <w:t>surgeon determines that a patient’s current living situation</w:t>
      </w:r>
      <w:r w:rsidR="0078382C">
        <w:rPr>
          <w:rFonts w:asciiTheme="minorHAnsi" w:hAnsiTheme="minorHAnsi"/>
          <w:spacing w:val="-1"/>
        </w:rPr>
        <w:t xml:space="preserve"> makes the patient a safety risk</w:t>
      </w:r>
      <w:r w:rsidRPr="00124C11">
        <w:rPr>
          <w:rFonts w:asciiTheme="minorHAnsi" w:hAnsiTheme="minorHAnsi"/>
          <w:spacing w:val="-1"/>
        </w:rPr>
        <w:t xml:space="preserve"> (</w:t>
      </w:r>
      <w:r w:rsidR="00B45FC8">
        <w:rPr>
          <w:rFonts w:asciiTheme="minorHAnsi" w:hAnsiTheme="minorHAnsi"/>
          <w:spacing w:val="-1"/>
        </w:rPr>
        <w:t xml:space="preserve">e.g. </w:t>
      </w:r>
      <w:r w:rsidRPr="00124C11">
        <w:rPr>
          <w:rFonts w:asciiTheme="minorHAnsi" w:hAnsiTheme="minorHAnsi"/>
          <w:spacing w:val="-1"/>
        </w:rPr>
        <w:t>living alone, living with a care giver unable to assist with ADLs, inability to access living, bathing and dining area of home</w:t>
      </w:r>
      <w:r w:rsidR="0078382C">
        <w:rPr>
          <w:rFonts w:asciiTheme="minorHAnsi" w:hAnsiTheme="minorHAnsi"/>
          <w:spacing w:val="-1"/>
        </w:rPr>
        <w:t>)</w:t>
      </w:r>
      <w:r w:rsidR="00092385">
        <w:rPr>
          <w:rFonts w:asciiTheme="minorHAnsi" w:hAnsiTheme="minorHAnsi"/>
          <w:spacing w:val="-1"/>
        </w:rPr>
        <w:t xml:space="preserve"> </w:t>
      </w:r>
      <w:r w:rsidRPr="00124C11">
        <w:rPr>
          <w:rFonts w:asciiTheme="minorHAnsi" w:hAnsiTheme="minorHAnsi"/>
          <w:spacing w:val="-1"/>
        </w:rPr>
        <w:t xml:space="preserve">; and </w:t>
      </w:r>
    </w:p>
    <w:p w14:paraId="003B1237" w14:textId="77777777" w:rsidR="0060744B" w:rsidRPr="0060744B" w:rsidRDefault="007F5BC8" w:rsidP="0060744B">
      <w:pPr>
        <w:pStyle w:val="BodyText"/>
        <w:numPr>
          <w:ilvl w:val="0"/>
          <w:numId w:val="2"/>
        </w:numPr>
        <w:spacing w:line="276" w:lineRule="auto"/>
        <w:ind w:right="161"/>
        <w:rPr>
          <w:rFonts w:asciiTheme="minorHAnsi" w:hAnsiTheme="minorHAnsi"/>
          <w:spacing w:val="-1"/>
        </w:rPr>
      </w:pPr>
      <w:r w:rsidRPr="0060744B">
        <w:rPr>
          <w:rFonts w:asciiTheme="minorHAnsi" w:hAnsiTheme="minorHAnsi"/>
          <w:spacing w:val="-1"/>
        </w:rPr>
        <w:t>patient preference.</w:t>
      </w:r>
    </w:p>
    <w:p w14:paraId="753673BC" w14:textId="77777777" w:rsidR="0060744B" w:rsidRPr="0060744B" w:rsidRDefault="0060744B" w:rsidP="0060744B">
      <w:pPr>
        <w:pStyle w:val="BodyText"/>
        <w:spacing w:line="276" w:lineRule="auto"/>
        <w:ind w:left="373" w:right="161" w:firstLine="0"/>
        <w:jc w:val="right"/>
        <w:rPr>
          <w:rFonts w:asciiTheme="minorHAnsi" w:hAnsiTheme="minorHAnsi"/>
          <w:b/>
          <w:spacing w:val="-1"/>
        </w:rPr>
      </w:pPr>
    </w:p>
    <w:p w14:paraId="4502F67F" w14:textId="77777777" w:rsidR="00945F80" w:rsidRPr="0060744B" w:rsidRDefault="0060744B" w:rsidP="0060744B">
      <w:pPr>
        <w:pStyle w:val="BodyText"/>
        <w:numPr>
          <w:ilvl w:val="0"/>
          <w:numId w:val="1"/>
        </w:numPr>
        <w:spacing w:line="276" w:lineRule="auto"/>
        <w:ind w:right="161"/>
        <w:jc w:val="left"/>
        <w:rPr>
          <w:rFonts w:asciiTheme="minorHAnsi" w:hAnsiTheme="minorHAnsi"/>
          <w:b/>
          <w:spacing w:val="-1"/>
        </w:rPr>
      </w:pPr>
      <w:r w:rsidRPr="0060744B">
        <w:rPr>
          <w:rFonts w:asciiTheme="minorHAnsi" w:hAnsiTheme="minorHAnsi"/>
          <w:b/>
          <w:spacing w:val="-1"/>
        </w:rPr>
        <w:t>SUPPORTIVE EVIDENCE</w:t>
      </w:r>
      <w:r>
        <w:rPr>
          <w:rFonts w:asciiTheme="minorHAnsi" w:hAnsiTheme="minorHAnsi"/>
          <w:b/>
          <w:spacing w:val="-1"/>
        </w:rPr>
        <w:t>:</w:t>
      </w:r>
    </w:p>
    <w:p w14:paraId="1DB75076" w14:textId="77777777" w:rsidR="00945F80" w:rsidRPr="00124C11" w:rsidRDefault="00945F80"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 xml:space="preserve">Patients over 75 </w:t>
      </w:r>
      <w:r w:rsidR="0078382C">
        <w:rPr>
          <w:rFonts w:asciiTheme="minorHAnsi" w:hAnsiTheme="minorHAnsi"/>
          <w:spacing w:val="-1"/>
        </w:rPr>
        <w:t xml:space="preserve">years of age </w:t>
      </w:r>
      <w:r w:rsidRPr="00124C11">
        <w:rPr>
          <w:rFonts w:asciiTheme="minorHAnsi" w:hAnsiTheme="minorHAnsi"/>
          <w:spacing w:val="-1"/>
        </w:rPr>
        <w:t>have been found to have a higher risk of post-operative falls, knee stiffness, pain, urinary retention and increased re-admission (Krause, et al, 2018).</w:t>
      </w:r>
    </w:p>
    <w:p w14:paraId="1C968F0B" w14:textId="77777777" w:rsidR="00945F80" w:rsidRPr="00124C11" w:rsidRDefault="00945F80"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 xml:space="preserve">BMI of 30 or greater </w:t>
      </w:r>
      <w:r w:rsidR="0078382C">
        <w:rPr>
          <w:rFonts w:asciiTheme="minorHAnsi" w:hAnsiTheme="minorHAnsi"/>
          <w:spacing w:val="-1"/>
        </w:rPr>
        <w:t xml:space="preserve">have an </w:t>
      </w:r>
      <w:r w:rsidRPr="00124C11">
        <w:rPr>
          <w:rFonts w:asciiTheme="minorHAnsi" w:hAnsiTheme="minorHAnsi"/>
          <w:spacing w:val="-1"/>
        </w:rPr>
        <w:t xml:space="preserve">increased rate of infection, odds </w:t>
      </w:r>
      <w:r w:rsidR="001016BC" w:rsidRPr="00124C11">
        <w:rPr>
          <w:rFonts w:asciiTheme="minorHAnsi" w:hAnsiTheme="minorHAnsi"/>
          <w:spacing w:val="-1"/>
        </w:rPr>
        <w:t>ratio</w:t>
      </w:r>
      <w:r w:rsidRPr="00124C11">
        <w:rPr>
          <w:rFonts w:asciiTheme="minorHAnsi" w:hAnsiTheme="minorHAnsi"/>
          <w:spacing w:val="-1"/>
        </w:rPr>
        <w:t xml:space="preserve"> </w:t>
      </w:r>
      <w:r w:rsidR="0078382C">
        <w:rPr>
          <w:rFonts w:asciiTheme="minorHAnsi" w:hAnsiTheme="minorHAnsi"/>
          <w:spacing w:val="-1"/>
        </w:rPr>
        <w:t xml:space="preserve">of </w:t>
      </w:r>
      <w:r w:rsidRPr="00124C11">
        <w:rPr>
          <w:rFonts w:asciiTheme="minorHAnsi" w:hAnsiTheme="minorHAnsi"/>
          <w:spacing w:val="-1"/>
        </w:rPr>
        <w:t>1.90, with 95% confidence interval (Krause, et al, 2018).</w:t>
      </w:r>
    </w:p>
    <w:p w14:paraId="56FA5A1C" w14:textId="77777777" w:rsidR="00945F80" w:rsidRPr="00124C11" w:rsidRDefault="00945F80"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 xml:space="preserve">Patients with chronic kidney disease have double the risk of mortality and higher risk of </w:t>
      </w:r>
      <w:r w:rsidRPr="00124C11">
        <w:rPr>
          <w:rFonts w:asciiTheme="minorHAnsi" w:hAnsiTheme="minorHAnsi"/>
          <w:spacing w:val="-1"/>
        </w:rPr>
        <w:lastRenderedPageBreak/>
        <w:t>post-operative adverse events (Krause, et al, 2018).</w:t>
      </w:r>
    </w:p>
    <w:p w14:paraId="5D5FB817" w14:textId="77777777" w:rsidR="00945F80" w:rsidRPr="00124C11" w:rsidRDefault="00945F80"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Patients with lower lymphocyte count have a three to five times higher frequency of a major wound complication (Krause, et al, 2018).</w:t>
      </w:r>
    </w:p>
    <w:p w14:paraId="3C2634FB" w14:textId="77777777" w:rsidR="00945F80" w:rsidRPr="00124C11" w:rsidRDefault="00945F80"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Patients with a hemoglobin of less than 13 g/dL are four to 5.6 times more likely to need a blood transfusion (Krause, et al, 2018).</w:t>
      </w:r>
    </w:p>
    <w:p w14:paraId="20CB46DE" w14:textId="77777777" w:rsidR="00945F80" w:rsidRPr="00124C11" w:rsidRDefault="00945F80"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 xml:space="preserve">Malnourished patients are five to seven </w:t>
      </w:r>
      <w:r w:rsidR="001016BC" w:rsidRPr="00124C11">
        <w:rPr>
          <w:rFonts w:asciiTheme="minorHAnsi" w:hAnsiTheme="minorHAnsi"/>
          <w:spacing w:val="-1"/>
        </w:rPr>
        <w:t>times</w:t>
      </w:r>
      <w:r w:rsidRPr="00124C11">
        <w:rPr>
          <w:rFonts w:asciiTheme="minorHAnsi" w:hAnsiTheme="minorHAnsi"/>
          <w:spacing w:val="-1"/>
        </w:rPr>
        <w:t xml:space="preserve"> higher risk for developing a major wound complication (Krause, et al, 2018).</w:t>
      </w:r>
    </w:p>
    <w:p w14:paraId="316A89A4" w14:textId="77777777" w:rsidR="00945F80" w:rsidRPr="00124C11" w:rsidRDefault="00A5080D" w:rsidP="0096294B">
      <w:pPr>
        <w:pStyle w:val="BodyText"/>
        <w:numPr>
          <w:ilvl w:val="0"/>
          <w:numId w:val="6"/>
        </w:numPr>
        <w:spacing w:line="276" w:lineRule="auto"/>
        <w:ind w:right="161"/>
        <w:rPr>
          <w:rFonts w:asciiTheme="minorHAnsi" w:hAnsiTheme="minorHAnsi"/>
          <w:spacing w:val="-1"/>
        </w:rPr>
      </w:pPr>
      <w:r w:rsidRPr="00124C11">
        <w:rPr>
          <w:rFonts w:asciiTheme="minorHAnsi" w:hAnsiTheme="minorHAnsi"/>
          <w:spacing w:val="-1"/>
        </w:rPr>
        <w:t>“</w:t>
      </w:r>
      <w:r w:rsidR="00945F80" w:rsidRPr="00124C11">
        <w:rPr>
          <w:rFonts w:asciiTheme="minorHAnsi" w:hAnsiTheme="minorHAnsi"/>
          <w:spacing w:val="-1"/>
        </w:rPr>
        <w:t xml:space="preserve">Outpatient TKA are associated with a higher risk of </w:t>
      </w:r>
      <w:r w:rsidR="001016BC" w:rsidRPr="00124C11">
        <w:rPr>
          <w:rFonts w:asciiTheme="minorHAnsi" w:hAnsiTheme="minorHAnsi"/>
          <w:spacing w:val="-1"/>
        </w:rPr>
        <w:t>post-operative</w:t>
      </w:r>
      <w:r w:rsidR="00945F80" w:rsidRPr="00124C11">
        <w:rPr>
          <w:rFonts w:asciiTheme="minorHAnsi" w:hAnsiTheme="minorHAnsi"/>
          <w:spacing w:val="-1"/>
        </w:rPr>
        <w:t xml:space="preserve"> complications including surgical </w:t>
      </w:r>
      <w:r w:rsidR="001016BC" w:rsidRPr="00124C11">
        <w:rPr>
          <w:rFonts w:asciiTheme="minorHAnsi" w:hAnsiTheme="minorHAnsi"/>
          <w:spacing w:val="-1"/>
        </w:rPr>
        <w:t>site</w:t>
      </w:r>
      <w:r w:rsidR="00945F80" w:rsidRPr="00124C11">
        <w:rPr>
          <w:rFonts w:asciiTheme="minorHAnsi" w:hAnsiTheme="minorHAnsi"/>
          <w:spacing w:val="-1"/>
        </w:rPr>
        <w:t xml:space="preserve"> infection requiring irrigation and debridement and explantation of the prosthesis, stiffness requiring manipulation under anesthesia, component failure requiring revision due to noninfectious cause, and postoperative DVT”</w:t>
      </w:r>
      <w:r w:rsidRPr="00124C11">
        <w:rPr>
          <w:rFonts w:asciiTheme="minorHAnsi" w:hAnsiTheme="minorHAnsi"/>
          <w:spacing w:val="-1"/>
        </w:rPr>
        <w:t xml:space="preserve"> Arshi, et al., 2017,p. 1984</w:t>
      </w:r>
    </w:p>
    <w:p w14:paraId="5F2F2DFF" w14:textId="77777777" w:rsidR="001016BC" w:rsidRPr="00124C11" w:rsidRDefault="001016BC" w:rsidP="0096294B">
      <w:pPr>
        <w:pStyle w:val="NoSpacing"/>
        <w:numPr>
          <w:ilvl w:val="0"/>
          <w:numId w:val="6"/>
        </w:numPr>
        <w:rPr>
          <w:rFonts w:cs="Times New Roman"/>
          <w:sz w:val="24"/>
          <w:szCs w:val="24"/>
        </w:rPr>
      </w:pPr>
      <w:r w:rsidRPr="00124C11">
        <w:rPr>
          <w:rFonts w:cs="Times New Roman"/>
          <w:sz w:val="24"/>
          <w:szCs w:val="24"/>
        </w:rPr>
        <w:t>For stays for which the physician expects the patient to need less than 2 midnights of hospital care, an inpatient admission is payable under Medicare Part A on a case-by-case basis if the documentation in the medical record supports the admitting physician’s determination that the patient requires inpatient hospital care. This documentation and the physician’s admission decision are subject to medical review, which is discussed in greater detail below (80 FR 70541), page 666.</w:t>
      </w:r>
    </w:p>
    <w:p w14:paraId="30046C2D" w14:textId="77777777" w:rsidR="001016BC" w:rsidRPr="00124C11" w:rsidRDefault="001016BC" w:rsidP="0096294B">
      <w:pPr>
        <w:pStyle w:val="NoSpacing"/>
        <w:numPr>
          <w:ilvl w:val="0"/>
          <w:numId w:val="6"/>
        </w:numPr>
        <w:rPr>
          <w:rFonts w:cs="Times New Roman"/>
          <w:sz w:val="24"/>
          <w:szCs w:val="24"/>
        </w:rPr>
      </w:pPr>
      <w:r w:rsidRPr="00124C11">
        <w:rPr>
          <w:rFonts w:cs="Times New Roman"/>
          <w:sz w:val="24"/>
          <w:szCs w:val="24"/>
        </w:rPr>
        <w:t>At this time, we expect that a significant number of Medicare beneficiaries will continue to receive treatment as an inpatient for TKA procedures, page 671.</w:t>
      </w:r>
    </w:p>
    <w:p w14:paraId="34B6BA56" w14:textId="77777777" w:rsidR="001016BC" w:rsidRDefault="001016BC" w:rsidP="0096294B">
      <w:pPr>
        <w:pStyle w:val="NoSpacing"/>
        <w:numPr>
          <w:ilvl w:val="0"/>
          <w:numId w:val="6"/>
        </w:numPr>
        <w:rPr>
          <w:rFonts w:cs="Times New Roman"/>
          <w:sz w:val="24"/>
          <w:szCs w:val="24"/>
        </w:rPr>
      </w:pPr>
      <w:r w:rsidRPr="00124C11">
        <w:rPr>
          <w:rFonts w:cs="Times New Roman"/>
          <w:sz w:val="24"/>
          <w:szCs w:val="24"/>
        </w:rPr>
        <w:t>We (CMS) do not expect a significant shift in TKA cases from the hospital inpatient setting to the hospital outpatient setting between January 1, 2018 (the effective date for the removal of TKA from the IPO list) and the current end dates of the performance periods for the BPCI and CJR models, September 30, 2018 and December 31, 2020, respectively page 671.</w:t>
      </w:r>
    </w:p>
    <w:p w14:paraId="611753BA" w14:textId="77777777" w:rsidR="003B1752" w:rsidRDefault="003B1752" w:rsidP="003B1752">
      <w:pPr>
        <w:pStyle w:val="NoSpacing"/>
        <w:ind w:left="720"/>
        <w:rPr>
          <w:rFonts w:cs="Times New Roman"/>
          <w:sz w:val="24"/>
          <w:szCs w:val="24"/>
        </w:rPr>
      </w:pPr>
    </w:p>
    <w:p w14:paraId="56F3E248" w14:textId="77777777" w:rsidR="003B1752" w:rsidRDefault="003B1752" w:rsidP="003B1752">
      <w:pPr>
        <w:pStyle w:val="NoSpacing"/>
        <w:numPr>
          <w:ilvl w:val="0"/>
          <w:numId w:val="1"/>
        </w:numPr>
        <w:jc w:val="left"/>
        <w:rPr>
          <w:rFonts w:cs="Times New Roman"/>
          <w:b/>
          <w:sz w:val="24"/>
          <w:szCs w:val="24"/>
        </w:rPr>
      </w:pPr>
      <w:r w:rsidRPr="003B1752">
        <w:rPr>
          <w:rFonts w:cs="Times New Roman"/>
          <w:b/>
          <w:sz w:val="24"/>
          <w:szCs w:val="24"/>
        </w:rPr>
        <w:t>UPDATES:</w:t>
      </w:r>
    </w:p>
    <w:p w14:paraId="653CCA95" w14:textId="77777777" w:rsidR="003B1752" w:rsidRPr="003B1752" w:rsidRDefault="003B1752" w:rsidP="003B1752">
      <w:pPr>
        <w:pStyle w:val="NoSpacing"/>
        <w:ind w:left="373"/>
        <w:rPr>
          <w:rFonts w:cs="Times New Roman"/>
          <w:sz w:val="24"/>
          <w:szCs w:val="24"/>
        </w:rPr>
      </w:pPr>
      <w:r>
        <w:rPr>
          <w:rFonts w:cs="Times New Roman"/>
          <w:sz w:val="24"/>
          <w:szCs w:val="24"/>
        </w:rPr>
        <w:t xml:space="preserve">This document will be updated on an ongoing basis, as there is scheduled future discussion between CMS and the American Academy of </w:t>
      </w:r>
      <w:r w:rsidR="005356FE">
        <w:rPr>
          <w:rFonts w:cs="Times New Roman"/>
          <w:sz w:val="24"/>
          <w:szCs w:val="24"/>
        </w:rPr>
        <w:t>Orthopedic</w:t>
      </w:r>
      <w:r>
        <w:rPr>
          <w:rFonts w:cs="Times New Roman"/>
          <w:sz w:val="24"/>
          <w:szCs w:val="24"/>
        </w:rPr>
        <w:t xml:space="preserve"> Surgeons and because we anticipate that as additional data from well-designed evidence-based studies become available, our practice may change.</w:t>
      </w:r>
    </w:p>
    <w:p w14:paraId="68349B94" w14:textId="77777777" w:rsidR="003B1752" w:rsidRPr="00124C11" w:rsidRDefault="003B1752" w:rsidP="003B1752">
      <w:pPr>
        <w:pStyle w:val="NoSpacing"/>
        <w:rPr>
          <w:rFonts w:cs="Times New Roman"/>
          <w:sz w:val="24"/>
          <w:szCs w:val="24"/>
        </w:rPr>
      </w:pPr>
    </w:p>
    <w:p w14:paraId="45417AB8" w14:textId="77777777" w:rsidR="00E72B4D" w:rsidRPr="003B1752" w:rsidRDefault="00945F80" w:rsidP="00124C11">
      <w:pPr>
        <w:pStyle w:val="BodyText"/>
        <w:spacing w:line="276" w:lineRule="auto"/>
        <w:ind w:left="100" w:right="161" w:firstLine="0"/>
        <w:jc w:val="center"/>
        <w:rPr>
          <w:rFonts w:asciiTheme="minorHAnsi" w:hAnsiTheme="minorHAnsi" w:cs="Times New Roman"/>
          <w:b/>
          <w:u w:val="single"/>
        </w:rPr>
      </w:pPr>
      <w:r w:rsidRPr="003B1752">
        <w:rPr>
          <w:rFonts w:asciiTheme="minorHAnsi" w:hAnsiTheme="minorHAnsi" w:cs="Times New Roman"/>
          <w:b/>
          <w:u w:val="single"/>
        </w:rPr>
        <w:t>References:</w:t>
      </w:r>
    </w:p>
    <w:p w14:paraId="7C0DCBA4" w14:textId="77777777" w:rsidR="00A42C32" w:rsidRDefault="00A42C32" w:rsidP="00124C11">
      <w:pPr>
        <w:pStyle w:val="BodyText"/>
        <w:spacing w:line="276" w:lineRule="auto"/>
        <w:ind w:left="100" w:right="161" w:firstLine="0"/>
        <w:jc w:val="center"/>
        <w:rPr>
          <w:rFonts w:asciiTheme="minorHAnsi" w:hAnsiTheme="minorHAnsi" w:cs="Times New Roman"/>
        </w:rPr>
      </w:pPr>
    </w:p>
    <w:p w14:paraId="384A5AE0" w14:textId="77777777" w:rsidR="00124C11" w:rsidRDefault="00A42C32" w:rsidP="00A42C32">
      <w:pPr>
        <w:pStyle w:val="BodyText"/>
        <w:spacing w:line="276" w:lineRule="auto"/>
        <w:ind w:left="100" w:right="161" w:firstLine="0"/>
        <w:rPr>
          <w:rFonts w:asciiTheme="minorHAnsi" w:hAnsiTheme="minorHAnsi" w:cs="Times New Roman"/>
        </w:rPr>
      </w:pPr>
      <w:r>
        <w:rPr>
          <w:rFonts w:asciiTheme="minorHAnsi" w:hAnsiTheme="minorHAnsi" w:cs="Times New Roman"/>
        </w:rPr>
        <w:t xml:space="preserve">American Academy of </w:t>
      </w:r>
      <w:r w:rsidR="005356FE">
        <w:rPr>
          <w:rFonts w:asciiTheme="minorHAnsi" w:hAnsiTheme="minorHAnsi" w:cs="Times New Roman"/>
        </w:rPr>
        <w:t>Orthopedic</w:t>
      </w:r>
      <w:r>
        <w:rPr>
          <w:rFonts w:asciiTheme="minorHAnsi" w:hAnsiTheme="minorHAnsi" w:cs="Times New Roman"/>
        </w:rPr>
        <w:t xml:space="preserve"> Surgeons, (2015).  Evidence-based clinical practice guideline.</w:t>
      </w:r>
    </w:p>
    <w:p w14:paraId="178D0670" w14:textId="77777777" w:rsidR="00A42C32" w:rsidRDefault="00A42C32" w:rsidP="00A42C32">
      <w:pPr>
        <w:pStyle w:val="BodyText"/>
        <w:spacing w:line="276" w:lineRule="auto"/>
        <w:ind w:left="100" w:right="161" w:firstLine="0"/>
        <w:rPr>
          <w:rFonts w:asciiTheme="minorHAnsi" w:hAnsiTheme="minorHAnsi" w:cs="Times New Roman"/>
        </w:rPr>
      </w:pPr>
    </w:p>
    <w:p w14:paraId="183CBFF8" w14:textId="77777777" w:rsidR="00124C11" w:rsidRDefault="00124C11" w:rsidP="00124C11">
      <w:pPr>
        <w:pStyle w:val="BodyText"/>
        <w:spacing w:line="276" w:lineRule="auto"/>
        <w:ind w:left="100" w:right="161" w:firstLine="0"/>
        <w:rPr>
          <w:rFonts w:asciiTheme="minorHAnsi" w:hAnsiTheme="minorHAnsi" w:cs="Times New Roman"/>
        </w:rPr>
      </w:pPr>
      <w:r>
        <w:rPr>
          <w:rFonts w:asciiTheme="minorHAnsi" w:hAnsiTheme="minorHAnsi" w:cs="Times New Roman"/>
        </w:rPr>
        <w:t xml:space="preserve">Arshi, A., Leong, N., D’oro, A., Wang, C., Buser, Z., Wang, J., Jones, K., Petrigliano, F., &amp; Soohoo, N. (2017). Outpatient total knee arthroplasty is associated with higher risk of perioperative complications.  </w:t>
      </w:r>
      <w:r w:rsidRPr="00DB3269">
        <w:rPr>
          <w:rFonts w:asciiTheme="minorHAnsi" w:hAnsiTheme="minorHAnsi" w:cs="Times New Roman"/>
        </w:rPr>
        <w:t>J Bone Joint Surg Am</w:t>
      </w:r>
      <w:r>
        <w:rPr>
          <w:rFonts w:asciiTheme="minorHAnsi" w:hAnsiTheme="minorHAnsi" w:cs="Times New Roman"/>
        </w:rPr>
        <w:t xml:space="preserve"> 99: p. 1978-86</w:t>
      </w:r>
      <w:r w:rsidR="00DB3269">
        <w:rPr>
          <w:rFonts w:asciiTheme="minorHAnsi" w:hAnsiTheme="minorHAnsi" w:cs="Times New Roman"/>
        </w:rPr>
        <w:t>.</w:t>
      </w:r>
    </w:p>
    <w:p w14:paraId="6D9D594B" w14:textId="77777777" w:rsidR="00DB3269" w:rsidRDefault="00DB3269" w:rsidP="00124C11">
      <w:pPr>
        <w:pStyle w:val="BodyText"/>
        <w:spacing w:line="276" w:lineRule="auto"/>
        <w:ind w:left="100" w:right="161" w:firstLine="0"/>
        <w:rPr>
          <w:rFonts w:asciiTheme="minorHAnsi" w:hAnsiTheme="minorHAnsi" w:cs="Times New Roman"/>
        </w:rPr>
      </w:pPr>
    </w:p>
    <w:p w14:paraId="48778808" w14:textId="77777777" w:rsidR="00DB3269" w:rsidRDefault="00DB3269" w:rsidP="00124C11">
      <w:pPr>
        <w:pStyle w:val="BodyText"/>
        <w:spacing w:line="276" w:lineRule="auto"/>
        <w:ind w:left="100" w:right="161" w:firstLine="0"/>
        <w:rPr>
          <w:rFonts w:asciiTheme="minorHAnsi" w:hAnsiTheme="minorHAnsi" w:cs="Times New Roman"/>
        </w:rPr>
      </w:pPr>
      <w:r>
        <w:rPr>
          <w:rFonts w:asciiTheme="minorHAnsi" w:hAnsiTheme="minorHAnsi" w:cs="Times New Roman"/>
        </w:rPr>
        <w:t>Courtney, P., Froimson, M., Meneghini, M., Lee, G., Della Valle, C. (2018</w:t>
      </w:r>
      <w:r w:rsidRPr="00DB3269">
        <w:rPr>
          <w:rFonts w:asciiTheme="minorHAnsi" w:hAnsiTheme="minorHAnsi" w:cs="Times New Roman"/>
          <w:i/>
        </w:rPr>
        <w:t>). Can total knee arthroplasty be performed safely as an outpatient in the Medicare population?</w:t>
      </w:r>
      <w:r>
        <w:rPr>
          <w:rFonts w:asciiTheme="minorHAnsi" w:hAnsiTheme="minorHAnsi" w:cs="Times New Roman"/>
        </w:rPr>
        <w:t xml:space="preserve"> Journal of Arthroplasty, p.  1-4.</w:t>
      </w:r>
    </w:p>
    <w:p w14:paraId="2CAA896D" w14:textId="77777777" w:rsidR="00124C11" w:rsidRPr="00124C11" w:rsidRDefault="00124C11" w:rsidP="00124C11">
      <w:pPr>
        <w:pStyle w:val="BodyText"/>
        <w:spacing w:line="276" w:lineRule="auto"/>
        <w:ind w:left="100" w:right="161" w:firstLine="0"/>
        <w:rPr>
          <w:rFonts w:asciiTheme="minorHAnsi" w:hAnsiTheme="minorHAnsi" w:cs="Times New Roman"/>
        </w:rPr>
      </w:pPr>
    </w:p>
    <w:p w14:paraId="2566F15E" w14:textId="77777777" w:rsidR="0061771F" w:rsidRDefault="0061771F" w:rsidP="00124C11">
      <w:pPr>
        <w:autoSpaceDE w:val="0"/>
        <w:autoSpaceDN w:val="0"/>
        <w:adjustRightInd w:val="0"/>
        <w:ind w:left="100"/>
        <w:rPr>
          <w:rFonts w:cs="Times New Roman"/>
          <w:bCs/>
          <w:color w:val="0D0D0D"/>
          <w:sz w:val="24"/>
          <w:szCs w:val="24"/>
        </w:rPr>
      </w:pPr>
      <w:r w:rsidRPr="00124C11">
        <w:rPr>
          <w:rFonts w:cs="Times New Roman"/>
          <w:bCs/>
          <w:color w:val="0D0D0D"/>
          <w:sz w:val="24"/>
          <w:szCs w:val="24"/>
        </w:rPr>
        <w:t xml:space="preserve">Department of Health and Human Services, Centers for Medicare &amp; Medicaid Services, (2017). </w:t>
      </w:r>
      <w:r w:rsidRPr="00124C11">
        <w:rPr>
          <w:rFonts w:cs="Times New Roman"/>
          <w:bCs/>
          <w:i/>
          <w:color w:val="0D0D0D"/>
          <w:sz w:val="24"/>
          <w:szCs w:val="24"/>
        </w:rPr>
        <w:t>Medicare Program: Hospital Outpatient Prospective Payment and Ambulatory Surgical Center Payment Systems and Quality Reporting Programs</w:t>
      </w:r>
      <w:r w:rsidRPr="00124C11">
        <w:rPr>
          <w:rFonts w:cs="Times New Roman"/>
          <w:bCs/>
          <w:color w:val="0D0D0D"/>
          <w:sz w:val="24"/>
          <w:szCs w:val="24"/>
        </w:rPr>
        <w:t>; 42 CFR Parts 414, 416, and 419, [CMS-1678-FC], RIN: 0938-AT03</w:t>
      </w:r>
      <w:r w:rsidR="00124C11">
        <w:rPr>
          <w:rFonts w:cs="Times New Roman"/>
          <w:bCs/>
          <w:color w:val="0D0D0D"/>
          <w:sz w:val="24"/>
          <w:szCs w:val="24"/>
        </w:rPr>
        <w:t>, p. 1-1133.</w:t>
      </w:r>
    </w:p>
    <w:p w14:paraId="794663A9" w14:textId="77777777" w:rsidR="00DB3269" w:rsidRDefault="00DB3269" w:rsidP="00124C11">
      <w:pPr>
        <w:autoSpaceDE w:val="0"/>
        <w:autoSpaceDN w:val="0"/>
        <w:adjustRightInd w:val="0"/>
        <w:ind w:left="100"/>
        <w:rPr>
          <w:rFonts w:cs="Times New Roman"/>
          <w:bCs/>
          <w:color w:val="0D0D0D"/>
          <w:sz w:val="24"/>
          <w:szCs w:val="24"/>
        </w:rPr>
      </w:pPr>
    </w:p>
    <w:p w14:paraId="1C6A334C" w14:textId="77777777" w:rsidR="00DB3269" w:rsidRPr="00124C11" w:rsidRDefault="00DB3269" w:rsidP="00124C11">
      <w:pPr>
        <w:autoSpaceDE w:val="0"/>
        <w:autoSpaceDN w:val="0"/>
        <w:adjustRightInd w:val="0"/>
        <w:ind w:left="100"/>
        <w:rPr>
          <w:rFonts w:cs="Times New Roman"/>
          <w:bCs/>
          <w:color w:val="0D0D0D"/>
          <w:sz w:val="24"/>
          <w:szCs w:val="24"/>
        </w:rPr>
      </w:pPr>
      <w:r>
        <w:rPr>
          <w:rFonts w:cs="Times New Roman"/>
          <w:bCs/>
          <w:color w:val="0D0D0D"/>
          <w:sz w:val="24"/>
          <w:szCs w:val="24"/>
        </w:rPr>
        <w:t xml:space="preserve">Hirsch, R. (2018). </w:t>
      </w:r>
      <w:r w:rsidRPr="00DB3269">
        <w:rPr>
          <w:rFonts w:cs="Times New Roman"/>
          <w:bCs/>
          <w:i/>
          <w:color w:val="0D0D0D"/>
          <w:sz w:val="24"/>
          <w:szCs w:val="24"/>
        </w:rPr>
        <w:t>Sample policy for inpatient status – total knee replacement.</w:t>
      </w:r>
      <w:r>
        <w:rPr>
          <w:rFonts w:cs="Times New Roman"/>
          <w:bCs/>
          <w:color w:val="0D0D0D"/>
          <w:sz w:val="24"/>
          <w:szCs w:val="24"/>
        </w:rPr>
        <w:t xml:space="preserve">  RAC University.</w:t>
      </w:r>
    </w:p>
    <w:p w14:paraId="313EA97A" w14:textId="77777777" w:rsidR="00945F80" w:rsidRPr="00124C11" w:rsidRDefault="00945F80">
      <w:pPr>
        <w:pStyle w:val="BodyText"/>
        <w:spacing w:line="276" w:lineRule="auto"/>
        <w:ind w:left="100" w:right="161" w:firstLine="0"/>
        <w:rPr>
          <w:rFonts w:asciiTheme="minorHAnsi" w:hAnsiTheme="minorHAnsi" w:cs="Times New Roman"/>
        </w:rPr>
      </w:pPr>
    </w:p>
    <w:p w14:paraId="4BF87002" w14:textId="77777777" w:rsidR="00124C11" w:rsidRPr="00124C11" w:rsidRDefault="00124C11">
      <w:pPr>
        <w:pStyle w:val="BodyText"/>
        <w:spacing w:line="276" w:lineRule="auto"/>
        <w:ind w:left="100" w:right="161" w:firstLine="0"/>
        <w:rPr>
          <w:rFonts w:asciiTheme="minorHAnsi" w:hAnsiTheme="minorHAnsi" w:cs="Times New Roman"/>
        </w:rPr>
      </w:pPr>
      <w:r w:rsidRPr="00124C11">
        <w:rPr>
          <w:rFonts w:asciiTheme="minorHAnsi" w:hAnsiTheme="minorHAnsi" w:cs="Times New Roman"/>
        </w:rPr>
        <w:t xml:space="preserve">Krause, A., Sayeed, Z., El-Othmani, M., Pallekonda, V., Mihalko, W., &amp; Saleh, K. (2018). </w:t>
      </w:r>
      <w:r w:rsidRPr="00124C11">
        <w:rPr>
          <w:rFonts w:asciiTheme="minorHAnsi" w:hAnsiTheme="minorHAnsi" w:cs="Times New Roman"/>
          <w:i/>
        </w:rPr>
        <w:t>Outpatient Total Knee Arthroplasty: Are we there yet?</w:t>
      </w:r>
      <w:r w:rsidRPr="00124C11">
        <w:rPr>
          <w:rFonts w:asciiTheme="minorHAnsi" w:hAnsiTheme="minorHAnsi" w:cs="Times New Roman"/>
        </w:rPr>
        <w:t xml:space="preserve"> (Part 1).  Orthop Clin N Am: 49, p. 1-6 </w:t>
      </w:r>
    </w:p>
    <w:p w14:paraId="14EDC988" w14:textId="77777777" w:rsidR="00945F80" w:rsidRPr="00124C11" w:rsidRDefault="00945F80">
      <w:pPr>
        <w:pStyle w:val="BodyText"/>
        <w:spacing w:line="276" w:lineRule="auto"/>
        <w:ind w:left="100" w:right="161" w:firstLine="0"/>
        <w:rPr>
          <w:rFonts w:asciiTheme="minorHAnsi" w:hAnsiTheme="minorHAnsi" w:cs="Times New Roman"/>
        </w:rPr>
      </w:pPr>
    </w:p>
    <w:p w14:paraId="015920DB" w14:textId="77777777" w:rsidR="00124C11" w:rsidRDefault="00124C11">
      <w:pPr>
        <w:pStyle w:val="BodyText"/>
        <w:spacing w:line="276" w:lineRule="auto"/>
        <w:ind w:left="100" w:right="161" w:firstLine="0"/>
        <w:rPr>
          <w:rFonts w:asciiTheme="minorHAnsi" w:hAnsiTheme="minorHAnsi" w:cs="Times New Roman"/>
        </w:rPr>
      </w:pPr>
      <w:r w:rsidRPr="00124C11">
        <w:rPr>
          <w:rFonts w:asciiTheme="minorHAnsi" w:hAnsiTheme="minorHAnsi" w:cs="Times New Roman"/>
        </w:rPr>
        <w:t xml:space="preserve">Krause, A., Sayeed, Z., El-Othmani, M., Pallekonda, V., Mihalko, W., &amp; Saleh, K. (2018). </w:t>
      </w:r>
      <w:r w:rsidRPr="00124C11">
        <w:rPr>
          <w:rFonts w:asciiTheme="minorHAnsi" w:hAnsiTheme="minorHAnsi" w:cs="Times New Roman"/>
          <w:i/>
        </w:rPr>
        <w:t>Outpatient Total Knee Arthroplasty: Are we there yet?</w:t>
      </w:r>
      <w:r w:rsidRPr="00124C11">
        <w:rPr>
          <w:rFonts w:asciiTheme="minorHAnsi" w:hAnsiTheme="minorHAnsi" w:cs="Times New Roman"/>
        </w:rPr>
        <w:t xml:space="preserve"> (Part 2).  Orthop Clin N Am: 49, p. 7-16. </w:t>
      </w:r>
    </w:p>
    <w:p w14:paraId="534E18BF" w14:textId="77777777" w:rsidR="00B4572E" w:rsidRDefault="00B4572E">
      <w:pPr>
        <w:pStyle w:val="BodyText"/>
        <w:spacing w:line="276" w:lineRule="auto"/>
        <w:ind w:left="100" w:right="161" w:firstLine="0"/>
        <w:rPr>
          <w:rFonts w:asciiTheme="minorHAnsi" w:hAnsiTheme="minorHAnsi" w:cs="Times New Roman"/>
        </w:rPr>
      </w:pPr>
    </w:p>
    <w:sectPr w:rsidR="00B4572E" w:rsidSect="007F5BC8">
      <w:headerReference w:type="default" r:id="rId8"/>
      <w:type w:val="continuous"/>
      <w:pgSz w:w="12240" w:h="15840"/>
      <w:pgMar w:top="15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AC07C" w14:textId="77777777" w:rsidR="00E31B77" w:rsidRDefault="00E31B77" w:rsidP="008D1CD2">
      <w:r>
        <w:separator/>
      </w:r>
    </w:p>
  </w:endnote>
  <w:endnote w:type="continuationSeparator" w:id="0">
    <w:p w14:paraId="7E9BE22D" w14:textId="77777777" w:rsidR="00E31B77" w:rsidRDefault="00E31B77" w:rsidP="008D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3126" w14:textId="77777777" w:rsidR="00E31B77" w:rsidRDefault="00E31B77" w:rsidP="008D1CD2">
      <w:r>
        <w:separator/>
      </w:r>
    </w:p>
  </w:footnote>
  <w:footnote w:type="continuationSeparator" w:id="0">
    <w:p w14:paraId="5AE267E2" w14:textId="77777777" w:rsidR="00E31B77" w:rsidRDefault="00E31B77" w:rsidP="008D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768377"/>
      <w:docPartObj>
        <w:docPartGallery w:val="Page Numbers (Top of Page)"/>
        <w:docPartUnique/>
      </w:docPartObj>
    </w:sdtPr>
    <w:sdtEndPr>
      <w:rPr>
        <w:noProof/>
      </w:rPr>
    </w:sdtEndPr>
    <w:sdtContent>
      <w:p w14:paraId="7A1F9DCB" w14:textId="65AFAEAA" w:rsidR="004542E3" w:rsidRDefault="00617738">
        <w:pPr>
          <w:pStyle w:val="Header"/>
          <w:jc w:val="right"/>
          <w:rPr>
            <w:noProof/>
          </w:rPr>
        </w:pPr>
        <w:r>
          <w:fldChar w:fldCharType="begin"/>
        </w:r>
        <w:r>
          <w:instrText xml:space="preserve"> PAGE   \* MERGEFORMAT </w:instrText>
        </w:r>
        <w:r>
          <w:fldChar w:fldCharType="separate"/>
        </w:r>
        <w:r w:rsidR="00CC7A81">
          <w:rPr>
            <w:noProof/>
          </w:rPr>
          <w:t>1</w:t>
        </w:r>
        <w:r>
          <w:rPr>
            <w:noProof/>
          </w:rPr>
          <w:fldChar w:fldCharType="end"/>
        </w:r>
        <w:r w:rsidR="004542E3">
          <w:rPr>
            <w:noProof/>
          </w:rPr>
          <w:t xml:space="preserve"> </w:t>
        </w:r>
      </w:p>
      <w:p w14:paraId="29F5722E" w14:textId="77777777" w:rsidR="004542E3" w:rsidRPr="004542E3" w:rsidRDefault="004542E3">
        <w:pPr>
          <w:pStyle w:val="Header"/>
          <w:jc w:val="right"/>
          <w:rPr>
            <w:b/>
            <w:noProof/>
          </w:rPr>
        </w:pPr>
        <w:r w:rsidRPr="004542E3">
          <w:rPr>
            <w:b/>
            <w:noProof/>
          </w:rPr>
          <w:t xml:space="preserve">Version </w:t>
        </w:r>
        <w:r w:rsidR="004866C0">
          <w:rPr>
            <w:b/>
            <w:noProof/>
          </w:rPr>
          <w:t>3 February 16</w:t>
        </w:r>
        <w:r w:rsidRPr="004542E3">
          <w:rPr>
            <w:b/>
            <w:noProof/>
          </w:rPr>
          <w:t xml:space="preserve"> 2018</w:t>
        </w:r>
      </w:p>
      <w:p w14:paraId="482A04E2" w14:textId="77777777" w:rsidR="00617738" w:rsidRDefault="00CC7A81">
        <w:pPr>
          <w:pStyle w:val="Header"/>
          <w:jc w:val="right"/>
        </w:pPr>
      </w:p>
    </w:sdtContent>
  </w:sdt>
  <w:sdt>
    <w:sdtPr>
      <w:id w:val="-2004355218"/>
      <w:docPartObj>
        <w:docPartGallery w:val="Watermarks"/>
        <w:docPartUnique/>
      </w:docPartObj>
    </w:sdtPr>
    <w:sdtEndPr/>
    <w:sdtContent>
      <w:p w14:paraId="0F0A3875" w14:textId="77777777" w:rsidR="008D1CD2" w:rsidRDefault="00CC7A81">
        <w:pPr>
          <w:pStyle w:val="Header"/>
        </w:pPr>
        <w:r>
          <w:rPr>
            <w:noProof/>
          </w:rPr>
          <w:pict w14:anchorId="3E1FB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75C0D"/>
    <w:multiLevelType w:val="hybridMultilevel"/>
    <w:tmpl w:val="67E8C516"/>
    <w:lvl w:ilvl="0" w:tplc="0409000F">
      <w:start w:val="1"/>
      <w:numFmt w:val="decimal"/>
      <w:lvlText w:val="%1."/>
      <w:lvlJc w:val="left"/>
      <w:pPr>
        <w:ind w:left="720" w:hanging="360"/>
      </w:pPr>
      <w:rPr>
        <w:rFont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270DF"/>
    <w:multiLevelType w:val="hybridMultilevel"/>
    <w:tmpl w:val="80362738"/>
    <w:lvl w:ilvl="0" w:tplc="0409001B">
      <w:start w:val="1"/>
      <w:numFmt w:val="low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633662B"/>
    <w:multiLevelType w:val="hybridMultilevel"/>
    <w:tmpl w:val="BAE0A568"/>
    <w:lvl w:ilvl="0" w:tplc="1864FC22">
      <w:start w:val="1"/>
      <w:numFmt w:val="upperRoman"/>
      <w:lvlText w:val="%1."/>
      <w:lvlJc w:val="left"/>
      <w:pPr>
        <w:ind w:left="373" w:hanging="214"/>
        <w:jc w:val="right"/>
      </w:pPr>
      <w:rPr>
        <w:rFonts w:ascii="Times New Roman" w:eastAsia="Times New Roman" w:hAnsi="Times New Roman" w:hint="default"/>
        <w:b/>
        <w:bCs/>
        <w:sz w:val="24"/>
        <w:szCs w:val="24"/>
      </w:rPr>
    </w:lvl>
    <w:lvl w:ilvl="1" w:tplc="446E8C4C">
      <w:start w:val="1"/>
      <w:numFmt w:val="decimal"/>
      <w:lvlText w:val="%2-"/>
      <w:lvlJc w:val="left"/>
      <w:pPr>
        <w:ind w:left="820" w:hanging="360"/>
        <w:jc w:val="right"/>
      </w:pPr>
      <w:rPr>
        <w:rFonts w:ascii="Calibri" w:eastAsia="Calibri" w:hAnsi="Calibri" w:hint="default"/>
        <w:w w:val="99"/>
        <w:sz w:val="24"/>
        <w:szCs w:val="24"/>
      </w:rPr>
    </w:lvl>
    <w:lvl w:ilvl="2" w:tplc="CC209C22">
      <w:start w:val="1"/>
      <w:numFmt w:val="lowerLetter"/>
      <w:lvlText w:val="%3."/>
      <w:lvlJc w:val="left"/>
      <w:pPr>
        <w:ind w:left="1540" w:hanging="360"/>
      </w:pPr>
      <w:rPr>
        <w:rFonts w:ascii="Calibri" w:eastAsia="Calibri" w:hAnsi="Calibri" w:hint="default"/>
        <w:sz w:val="24"/>
        <w:szCs w:val="24"/>
      </w:rPr>
    </w:lvl>
    <w:lvl w:ilvl="3" w:tplc="5372AC90">
      <w:start w:val="1"/>
      <w:numFmt w:val="lowerRoman"/>
      <w:lvlText w:val="%4."/>
      <w:lvlJc w:val="left"/>
      <w:pPr>
        <w:ind w:left="2260" w:hanging="296"/>
      </w:pPr>
      <w:rPr>
        <w:rFonts w:ascii="Calibri" w:eastAsia="Calibri" w:hAnsi="Calibri" w:hint="default"/>
        <w:sz w:val="24"/>
        <w:szCs w:val="24"/>
      </w:rPr>
    </w:lvl>
    <w:lvl w:ilvl="4" w:tplc="891A511E">
      <w:start w:val="1"/>
      <w:numFmt w:val="decimal"/>
      <w:lvlText w:val="%5."/>
      <w:lvlJc w:val="left"/>
      <w:pPr>
        <w:ind w:left="2621" w:hanging="360"/>
      </w:pPr>
      <w:rPr>
        <w:rFonts w:ascii="Calibri" w:eastAsia="Calibri" w:hAnsi="Calibri" w:hint="default"/>
        <w:sz w:val="24"/>
        <w:szCs w:val="24"/>
      </w:rPr>
    </w:lvl>
    <w:lvl w:ilvl="5" w:tplc="771CF640">
      <w:start w:val="1"/>
      <w:numFmt w:val="bullet"/>
      <w:lvlText w:val="•"/>
      <w:lvlJc w:val="left"/>
      <w:pPr>
        <w:ind w:left="2260" w:hanging="360"/>
      </w:pPr>
      <w:rPr>
        <w:rFonts w:hint="default"/>
      </w:rPr>
    </w:lvl>
    <w:lvl w:ilvl="6" w:tplc="A8426F4E">
      <w:start w:val="1"/>
      <w:numFmt w:val="bullet"/>
      <w:lvlText w:val="•"/>
      <w:lvlJc w:val="left"/>
      <w:pPr>
        <w:ind w:left="2621" w:hanging="360"/>
      </w:pPr>
      <w:rPr>
        <w:rFonts w:hint="default"/>
      </w:rPr>
    </w:lvl>
    <w:lvl w:ilvl="7" w:tplc="9C3E9A0E">
      <w:start w:val="1"/>
      <w:numFmt w:val="bullet"/>
      <w:lvlText w:val="•"/>
      <w:lvlJc w:val="left"/>
      <w:pPr>
        <w:ind w:left="4260" w:hanging="360"/>
      </w:pPr>
      <w:rPr>
        <w:rFonts w:hint="default"/>
      </w:rPr>
    </w:lvl>
    <w:lvl w:ilvl="8" w:tplc="703E6D12">
      <w:start w:val="1"/>
      <w:numFmt w:val="bullet"/>
      <w:lvlText w:val="•"/>
      <w:lvlJc w:val="left"/>
      <w:pPr>
        <w:ind w:left="5900" w:hanging="360"/>
      </w:pPr>
      <w:rPr>
        <w:rFonts w:hint="default"/>
      </w:rPr>
    </w:lvl>
  </w:abstractNum>
  <w:abstractNum w:abstractNumId="3" w15:restartNumberingAfterBreak="0">
    <w:nsid w:val="55113613"/>
    <w:multiLevelType w:val="hybridMultilevel"/>
    <w:tmpl w:val="79B8E82A"/>
    <w:lvl w:ilvl="0" w:tplc="1864FC22">
      <w:start w:val="1"/>
      <w:numFmt w:val="upperRoman"/>
      <w:lvlText w:val="%1."/>
      <w:lvlJc w:val="left"/>
      <w:pPr>
        <w:ind w:left="720" w:hanging="360"/>
      </w:pPr>
      <w:rPr>
        <w:rFonts w:ascii="Times New Roman" w:eastAsia="Times New Roman" w:hAnsi="Times New Roman"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32993"/>
    <w:multiLevelType w:val="hybridMultilevel"/>
    <w:tmpl w:val="51BE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AB65B9"/>
    <w:multiLevelType w:val="hybridMultilevel"/>
    <w:tmpl w:val="7F9623E8"/>
    <w:lvl w:ilvl="0" w:tplc="04090019">
      <w:start w:val="1"/>
      <w:numFmt w:val="lowerLetter"/>
      <w:lvlText w:val="%1."/>
      <w:lvlJc w:val="left"/>
      <w:pPr>
        <w:ind w:left="720" w:hanging="360"/>
      </w:pPr>
      <w:rPr>
        <w:rFont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A5"/>
    <w:rsid w:val="00065465"/>
    <w:rsid w:val="00092385"/>
    <w:rsid w:val="00095689"/>
    <w:rsid w:val="001016BC"/>
    <w:rsid w:val="00124C11"/>
    <w:rsid w:val="001266CC"/>
    <w:rsid w:val="00162AAF"/>
    <w:rsid w:val="0017037B"/>
    <w:rsid w:val="00264B8D"/>
    <w:rsid w:val="00270890"/>
    <w:rsid w:val="002F0F0E"/>
    <w:rsid w:val="00304532"/>
    <w:rsid w:val="003B1752"/>
    <w:rsid w:val="004542E3"/>
    <w:rsid w:val="004866C0"/>
    <w:rsid w:val="005356FE"/>
    <w:rsid w:val="005867BB"/>
    <w:rsid w:val="005C45CA"/>
    <w:rsid w:val="005E2DB5"/>
    <w:rsid w:val="0060744B"/>
    <w:rsid w:val="0061771F"/>
    <w:rsid w:val="00617738"/>
    <w:rsid w:val="00664CA5"/>
    <w:rsid w:val="00696AC9"/>
    <w:rsid w:val="006A2272"/>
    <w:rsid w:val="006A528C"/>
    <w:rsid w:val="006A59FE"/>
    <w:rsid w:val="006C00A6"/>
    <w:rsid w:val="00715CE9"/>
    <w:rsid w:val="00720244"/>
    <w:rsid w:val="0078382C"/>
    <w:rsid w:val="007A47FD"/>
    <w:rsid w:val="007F5BC8"/>
    <w:rsid w:val="008D0DD2"/>
    <w:rsid w:val="008D1CD2"/>
    <w:rsid w:val="009144DC"/>
    <w:rsid w:val="00945F80"/>
    <w:rsid w:val="0096294B"/>
    <w:rsid w:val="009C0C79"/>
    <w:rsid w:val="009E4A49"/>
    <w:rsid w:val="00A11ADE"/>
    <w:rsid w:val="00A4223A"/>
    <w:rsid w:val="00A42C32"/>
    <w:rsid w:val="00A5080D"/>
    <w:rsid w:val="00AF6F32"/>
    <w:rsid w:val="00B37D4B"/>
    <w:rsid w:val="00B4572E"/>
    <w:rsid w:val="00B45FC8"/>
    <w:rsid w:val="00CC7A81"/>
    <w:rsid w:val="00CE3FB3"/>
    <w:rsid w:val="00D019A1"/>
    <w:rsid w:val="00DB3269"/>
    <w:rsid w:val="00E20366"/>
    <w:rsid w:val="00E31B77"/>
    <w:rsid w:val="00E44D90"/>
    <w:rsid w:val="00E72B4D"/>
    <w:rsid w:val="00E92B3C"/>
    <w:rsid w:val="00EA4FF0"/>
    <w:rsid w:val="00EF1C66"/>
    <w:rsid w:val="00F02B35"/>
    <w:rsid w:val="00FC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8F447F"/>
  <w15:docId w15:val="{C034ED9C-9577-4A99-B979-B0E6D609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hanging="401"/>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1016BC"/>
    <w:pPr>
      <w:widowControl/>
    </w:pPr>
  </w:style>
  <w:style w:type="paragraph" w:styleId="Header">
    <w:name w:val="header"/>
    <w:basedOn w:val="Normal"/>
    <w:link w:val="HeaderChar"/>
    <w:uiPriority w:val="99"/>
    <w:unhideWhenUsed/>
    <w:rsid w:val="008D1CD2"/>
    <w:pPr>
      <w:tabs>
        <w:tab w:val="center" w:pos="4680"/>
        <w:tab w:val="right" w:pos="9360"/>
      </w:tabs>
    </w:pPr>
  </w:style>
  <w:style w:type="character" w:customStyle="1" w:styleId="HeaderChar">
    <w:name w:val="Header Char"/>
    <w:basedOn w:val="DefaultParagraphFont"/>
    <w:link w:val="Header"/>
    <w:uiPriority w:val="99"/>
    <w:rsid w:val="008D1CD2"/>
  </w:style>
  <w:style w:type="paragraph" w:styleId="Footer">
    <w:name w:val="footer"/>
    <w:basedOn w:val="Normal"/>
    <w:link w:val="FooterChar"/>
    <w:uiPriority w:val="99"/>
    <w:unhideWhenUsed/>
    <w:rsid w:val="008D1CD2"/>
    <w:pPr>
      <w:tabs>
        <w:tab w:val="center" w:pos="4680"/>
        <w:tab w:val="right" w:pos="9360"/>
      </w:tabs>
    </w:pPr>
  </w:style>
  <w:style w:type="character" w:customStyle="1" w:styleId="FooterChar">
    <w:name w:val="Footer Char"/>
    <w:basedOn w:val="DefaultParagraphFont"/>
    <w:link w:val="Footer"/>
    <w:uiPriority w:val="99"/>
    <w:rsid w:val="008D1CD2"/>
  </w:style>
  <w:style w:type="paragraph" w:styleId="BalloonText">
    <w:name w:val="Balloon Text"/>
    <w:basedOn w:val="Normal"/>
    <w:link w:val="BalloonTextChar"/>
    <w:uiPriority w:val="99"/>
    <w:semiHidden/>
    <w:unhideWhenUsed/>
    <w:rsid w:val="005C4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3D9F-996A-4A2D-A80C-7421E788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Hirsch</dc:creator>
  <cp:lastModifiedBy>Ronald Hirsch</cp:lastModifiedBy>
  <cp:revision>2</cp:revision>
  <cp:lastPrinted>2018-02-16T13:08:00Z</cp:lastPrinted>
  <dcterms:created xsi:type="dcterms:W3CDTF">2018-02-27T17:17:00Z</dcterms:created>
  <dcterms:modified xsi:type="dcterms:W3CDTF">2018-02-27T17:17:00Z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LastSaved">
    <vt:filetime>2018-02-07T00:00:00Z</vt:filetime>
  </property>
</Properties>
</file>