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bookmarkStart w:id="0" w:name="_GoBack"/>
      <w:bookmarkEnd w:id="0"/>
    </w:p>
    <w:p w:rsidR="00651A15" w:rsidRPr="007A4F9D" w:rsidRDefault="007A4F9D" w:rsidP="00651A15">
      <w:pPr>
        <w:spacing w:after="0" w:line="240" w:lineRule="auto"/>
        <w:jc w:val="center"/>
        <w:rPr>
          <w:b/>
          <w:sz w:val="36"/>
          <w:szCs w:val="36"/>
        </w:rPr>
      </w:pPr>
      <w:r w:rsidRPr="009C5C7A">
        <w:rPr>
          <w:rFonts w:eastAsia="Arial"/>
          <w:b/>
          <w:sz w:val="36"/>
        </w:rPr>
        <w:t xml:space="preserve">RSAI </w:t>
      </w:r>
      <w:r>
        <w:rPr>
          <w:rFonts w:eastAsia="Arial"/>
          <w:b/>
          <w:sz w:val="36"/>
        </w:rPr>
        <w:t>202</w:t>
      </w:r>
      <w:r w:rsidR="003E52CE">
        <w:rPr>
          <w:rFonts w:eastAsia="Arial"/>
          <w:b/>
          <w:sz w:val="36"/>
        </w:rPr>
        <w:t>3</w:t>
      </w:r>
      <w:r>
        <w:rPr>
          <w:rFonts w:eastAsia="Arial"/>
          <w:b/>
          <w:sz w:val="36"/>
        </w:rPr>
        <w:t xml:space="preserve"> Legislative Priority</w:t>
      </w:r>
      <w:r w:rsidRPr="009C5C7A">
        <w:rPr>
          <w:rFonts w:eastAsia="Arial"/>
          <w:b/>
          <w:sz w:val="36"/>
        </w:rPr>
        <w:t xml:space="preserve">: </w:t>
      </w:r>
      <w:r>
        <w:rPr>
          <w:rFonts w:eastAsia="Arial"/>
          <w:b/>
          <w:sz w:val="36"/>
        </w:rPr>
        <w:br/>
      </w:r>
      <w:r w:rsidR="00796A2E" w:rsidRPr="007A4F9D">
        <w:rPr>
          <w:b/>
          <w:sz w:val="36"/>
          <w:szCs w:val="36"/>
        </w:rPr>
        <w:t>Preschool</w:t>
      </w:r>
    </w:p>
    <w:p w:rsidR="00796A2E" w:rsidRPr="00EB5010" w:rsidRDefault="00796A2E" w:rsidP="00796A2E">
      <w:pPr>
        <w:spacing w:after="0" w:line="240" w:lineRule="auto"/>
        <w:rPr>
          <w:rFonts w:eastAsia="Times New Roman" w:cstheme="minorHAnsi"/>
          <w:b/>
          <w:bCs/>
          <w:color w:val="222222"/>
          <w:sz w:val="24"/>
          <w:szCs w:val="24"/>
        </w:rPr>
      </w:pPr>
    </w:p>
    <w:p w:rsidR="001C3C5B" w:rsidRPr="00675A89" w:rsidRDefault="001C3C5B" w:rsidP="001C3C5B">
      <w:pPr>
        <w:numPr>
          <w:ilvl w:val="0"/>
          <w:numId w:val="9"/>
        </w:numPr>
        <w:tabs>
          <w:tab w:val="clear" w:pos="360"/>
          <w:tab w:val="num" w:pos="0"/>
        </w:tabs>
        <w:spacing w:after="0" w:line="240" w:lineRule="auto"/>
        <w:ind w:left="0"/>
        <w:rPr>
          <w:rFonts w:cstheme="minorHAnsi"/>
          <w:sz w:val="24"/>
          <w:szCs w:val="24"/>
        </w:rPr>
      </w:pPr>
      <w:r w:rsidRPr="00675A89">
        <w:rPr>
          <w:rFonts w:eastAsia="Times New Roman" w:cstheme="minorHAnsi"/>
          <w:b/>
          <w:bCs/>
          <w:color w:val="222222"/>
          <w:sz w:val="24"/>
          <w:szCs w:val="24"/>
        </w:rPr>
        <w:t xml:space="preserve">Background: </w:t>
      </w:r>
      <w:r w:rsidRPr="00675A89">
        <w:rPr>
          <w:rFonts w:eastAsia="Times New Roman" w:cstheme="minorHAnsi"/>
          <w:bCs/>
          <w:color w:val="222222"/>
          <w:sz w:val="24"/>
          <w:szCs w:val="24"/>
        </w:rPr>
        <w:t xml:space="preserve">Iowa’s </w:t>
      </w:r>
      <w:r w:rsidRPr="00675A89">
        <w:rPr>
          <w:rFonts w:cstheme="minorHAnsi"/>
          <w:sz w:val="24"/>
          <w:szCs w:val="24"/>
        </w:rPr>
        <w:t xml:space="preserve">Statewide Voluntary Preschool Program (SVPP), first implemented in 2007-08, has grown to serve 31,468 </w:t>
      </w:r>
      <w:r w:rsidR="001F5EB2">
        <w:rPr>
          <w:rFonts w:cstheme="minorHAnsi"/>
          <w:sz w:val="24"/>
          <w:szCs w:val="24"/>
        </w:rPr>
        <w:t>four</w:t>
      </w:r>
      <w:r w:rsidRPr="00675A89">
        <w:rPr>
          <w:rFonts w:cstheme="minorHAnsi"/>
          <w:sz w:val="24"/>
          <w:szCs w:val="24"/>
        </w:rPr>
        <w:t xml:space="preserve">-year-olds </w:t>
      </w:r>
      <w:r w:rsidR="001F5EB2">
        <w:rPr>
          <w:rFonts w:cstheme="minorHAnsi"/>
          <w:sz w:val="24"/>
          <w:szCs w:val="24"/>
        </w:rPr>
        <w:t>by</w:t>
      </w:r>
      <w:r w:rsidRPr="00675A89">
        <w:rPr>
          <w:rFonts w:cstheme="minorHAnsi"/>
          <w:sz w:val="24"/>
          <w:szCs w:val="24"/>
        </w:rPr>
        <w:t xml:space="preserve"> 2019-20. PK enrollment was lower than kindergarten by 8,364, meaning as many as 27% of kindergarteners may not have been served in SVPP. The importance of reading proficiently by the end of third grade is critical, and quality preschool helps students reach that important benchmark. </w:t>
      </w:r>
      <w:r>
        <w:rPr>
          <w:rFonts w:cstheme="minorHAnsi"/>
          <w:sz w:val="24"/>
          <w:szCs w:val="24"/>
        </w:rPr>
        <w:t>Preschool enrollment</w:t>
      </w:r>
      <w:r w:rsidRPr="00675A89">
        <w:rPr>
          <w:rFonts w:cstheme="minorHAnsi"/>
          <w:sz w:val="24"/>
          <w:szCs w:val="24"/>
        </w:rPr>
        <w:t xml:space="preserve"> dropped from 31,468 to 27,392 (</w:t>
      </w:r>
      <w:r>
        <w:rPr>
          <w:rFonts w:cstheme="minorHAnsi"/>
          <w:sz w:val="24"/>
          <w:szCs w:val="24"/>
        </w:rPr>
        <w:t>d</w:t>
      </w:r>
      <w:r w:rsidRPr="00675A89">
        <w:rPr>
          <w:rFonts w:cstheme="minorHAnsi"/>
          <w:sz w:val="24"/>
          <w:szCs w:val="24"/>
        </w:rPr>
        <w:t xml:space="preserve">own 4,076 </w:t>
      </w:r>
      <w:r>
        <w:rPr>
          <w:rFonts w:cstheme="minorHAnsi"/>
          <w:sz w:val="24"/>
          <w:szCs w:val="24"/>
        </w:rPr>
        <w:t xml:space="preserve">in </w:t>
      </w:r>
      <w:r w:rsidRPr="00675A89">
        <w:rPr>
          <w:rFonts w:cstheme="minorHAnsi"/>
          <w:sz w:val="24"/>
          <w:szCs w:val="24"/>
        </w:rPr>
        <w:t>Oct</w:t>
      </w:r>
      <w:r>
        <w:rPr>
          <w:rFonts w:cstheme="minorHAnsi"/>
          <w:sz w:val="24"/>
          <w:szCs w:val="24"/>
        </w:rPr>
        <w:t>ober 2020 compared to October</w:t>
      </w:r>
      <w:r w:rsidRPr="00675A89">
        <w:rPr>
          <w:rFonts w:cstheme="minorHAnsi"/>
          <w:sz w:val="24"/>
          <w:szCs w:val="24"/>
        </w:rPr>
        <w:t xml:space="preserve"> 2019)</w:t>
      </w:r>
      <w:r>
        <w:rPr>
          <w:rFonts w:cstheme="minorHAnsi"/>
          <w:sz w:val="24"/>
          <w:szCs w:val="24"/>
        </w:rPr>
        <w:t xml:space="preserve"> due to the pandemic</w:t>
      </w:r>
      <w:r w:rsidRPr="00675A89">
        <w:rPr>
          <w:rFonts w:cstheme="minorHAnsi"/>
          <w:sz w:val="24"/>
          <w:szCs w:val="24"/>
        </w:rPr>
        <w:t>.</w:t>
      </w:r>
      <w:r>
        <w:rPr>
          <w:rFonts w:cstheme="minorHAnsi"/>
          <w:sz w:val="24"/>
          <w:szCs w:val="24"/>
        </w:rPr>
        <w:t xml:space="preserve"> In October 2021, preschool enrollment rebounded to 29,411, </w:t>
      </w:r>
      <w:r w:rsidR="001F5EB2">
        <w:rPr>
          <w:rFonts w:cstheme="minorHAnsi"/>
          <w:sz w:val="24"/>
          <w:szCs w:val="24"/>
        </w:rPr>
        <w:t xml:space="preserve">but </w:t>
      </w:r>
      <w:r>
        <w:rPr>
          <w:rFonts w:cstheme="minorHAnsi"/>
          <w:sz w:val="24"/>
          <w:szCs w:val="24"/>
        </w:rPr>
        <w:t xml:space="preserve">still </w:t>
      </w:r>
      <w:r w:rsidR="00A27EE8">
        <w:rPr>
          <w:rFonts w:cstheme="minorHAnsi"/>
          <w:sz w:val="24"/>
          <w:szCs w:val="24"/>
        </w:rPr>
        <w:t xml:space="preserve">today </w:t>
      </w:r>
      <w:r>
        <w:rPr>
          <w:rFonts w:cstheme="minorHAnsi"/>
          <w:sz w:val="24"/>
          <w:szCs w:val="24"/>
        </w:rPr>
        <w:t xml:space="preserve">well short of the pre-pandemic level and still under-enrolled compared to the total relative population of four-year-olds later expected to attend kindergarten. </w:t>
      </w:r>
      <w:r w:rsidRPr="00675A89">
        <w:rPr>
          <w:rFonts w:cstheme="minorHAnsi"/>
          <w:sz w:val="24"/>
          <w:szCs w:val="24"/>
        </w:rPr>
        <w:t xml:space="preserve">Hold harmless budget provisions and programs to support early literacy </w:t>
      </w:r>
      <w:r>
        <w:rPr>
          <w:rFonts w:cstheme="minorHAnsi"/>
          <w:sz w:val="24"/>
          <w:szCs w:val="24"/>
        </w:rPr>
        <w:t>are</w:t>
      </w:r>
      <w:r w:rsidRPr="00675A89">
        <w:rPr>
          <w:rFonts w:cstheme="minorHAnsi"/>
          <w:sz w:val="24"/>
          <w:szCs w:val="24"/>
        </w:rPr>
        <w:t xml:space="preserve"> more important than ever </w:t>
      </w:r>
      <w:r>
        <w:rPr>
          <w:rFonts w:cstheme="minorHAnsi"/>
          <w:sz w:val="24"/>
          <w:szCs w:val="24"/>
        </w:rPr>
        <w:t>in supporting Iowa’s youngest students to academic success</w:t>
      </w:r>
      <w:r w:rsidRPr="00675A89">
        <w:rPr>
          <w:rFonts w:cstheme="minorHAnsi"/>
          <w:sz w:val="24"/>
          <w:szCs w:val="24"/>
        </w:rPr>
        <w:t xml:space="preserve">. </w:t>
      </w:r>
    </w:p>
    <w:p w:rsidR="001C3C5B" w:rsidRPr="00EB5010" w:rsidRDefault="001C3C5B" w:rsidP="001C3C5B">
      <w:pPr>
        <w:spacing w:after="0" w:line="240" w:lineRule="auto"/>
        <w:rPr>
          <w:rFonts w:eastAsia="Times New Roman" w:cstheme="minorHAnsi"/>
          <w:b/>
          <w:bCs/>
          <w:color w:val="222222"/>
          <w:sz w:val="24"/>
          <w:szCs w:val="24"/>
        </w:rPr>
      </w:pPr>
    </w:p>
    <w:p w:rsidR="001C3C5B" w:rsidRPr="00EB5010" w:rsidRDefault="001C3C5B" w:rsidP="001C3C5B">
      <w:pPr>
        <w:spacing w:after="0" w:line="240" w:lineRule="auto"/>
        <w:rPr>
          <w:rFonts w:eastAsia="Times New Roman" w:cstheme="minorHAnsi"/>
          <w:i/>
          <w:color w:val="222222"/>
          <w:sz w:val="24"/>
          <w:szCs w:val="24"/>
        </w:rPr>
      </w:pPr>
      <w:r w:rsidRPr="00EB5010">
        <w:rPr>
          <w:rFonts w:eastAsia="Times New Roman" w:cstheme="minorHAnsi"/>
          <w:b/>
          <w:bCs/>
          <w:color w:val="222222"/>
          <w:sz w:val="24"/>
          <w:szCs w:val="24"/>
        </w:rPr>
        <w:t xml:space="preserve">Why does preschool matter? </w:t>
      </w:r>
      <w:r w:rsidRPr="00EB5010">
        <w:rPr>
          <w:rFonts w:eastAsia="Times New Roman" w:cstheme="minorHAnsi"/>
          <w:color w:val="222222"/>
          <w:sz w:val="24"/>
          <w:szCs w:val="24"/>
        </w:rPr>
        <w:t xml:space="preserve">The Perry Preschool Project, 40 years later, documents $17 savings for every dollar invested (earlier findings of $8 saved for every dollar invested are also often cited). Once considered a strategy just to support working parents with childcare needs, the majority of states now view access to high-quality PK programs as a critical long-term economic investment in the future workforce. Education Commission of the States, </w:t>
      </w:r>
      <w:hyperlink r:id="rId7" w:history="1">
        <w:r w:rsidRPr="00EB5010">
          <w:rPr>
            <w:rStyle w:val="Hyperlink"/>
            <w:rFonts w:eastAsia="Times New Roman" w:cstheme="minorHAnsi"/>
            <w:sz w:val="24"/>
            <w:szCs w:val="24"/>
          </w:rPr>
          <w:t>http</w:t>
        </w:r>
      </w:hyperlink>
      <w:hyperlink r:id="rId8" w:history="1">
        <w:r w:rsidRPr="00EB5010">
          <w:rPr>
            <w:rStyle w:val="Hyperlink"/>
            <w:rFonts w:eastAsia="Times New Roman" w:cstheme="minorHAnsi"/>
            <w:sz w:val="24"/>
            <w:szCs w:val="24"/>
          </w:rPr>
          <w:t>://</w:t>
        </w:r>
      </w:hyperlink>
      <w:hyperlink r:id="rId9" w:history="1">
        <w:r w:rsidRPr="00EB5010">
          <w:rPr>
            <w:rStyle w:val="Hyperlink"/>
            <w:rFonts w:eastAsia="Times New Roman" w:cstheme="minorHAnsi"/>
            <w:sz w:val="24"/>
            <w:szCs w:val="24"/>
          </w:rPr>
          <w:t>www.ecs.org/docs/early-learning-primer.pdf</w:t>
        </w:r>
      </w:hyperlink>
      <w:r w:rsidRPr="00EB5010">
        <w:rPr>
          <w:rFonts w:eastAsia="Times New Roman" w:cstheme="minorHAnsi"/>
          <w:color w:val="222222"/>
          <w:sz w:val="24"/>
          <w:szCs w:val="24"/>
        </w:rPr>
        <w:t xml:space="preserve"> Oct. 2014: </w:t>
      </w:r>
      <w:r w:rsidRPr="00EB5010">
        <w:rPr>
          <w:rFonts w:eastAsia="Times New Roman" w:cstheme="minorHAnsi"/>
          <w:i/>
          <w:color w:val="222222"/>
          <w:sz w:val="24"/>
          <w:szCs w:val="24"/>
        </w:rPr>
        <w:t>Six rigorous</w:t>
      </w:r>
      <w:r>
        <w:rPr>
          <w:rFonts w:eastAsia="Times New Roman" w:cstheme="minorHAnsi"/>
          <w:i/>
          <w:color w:val="222222"/>
          <w:sz w:val="24"/>
          <w:szCs w:val="24"/>
        </w:rPr>
        <w:t>,</w:t>
      </w:r>
      <w:r w:rsidRPr="00EB5010">
        <w:rPr>
          <w:rFonts w:eastAsia="Times New Roman" w:cstheme="minorHAnsi"/>
          <w:i/>
          <w:color w:val="222222"/>
          <w:sz w:val="24"/>
          <w:szCs w:val="24"/>
        </w:rPr>
        <w:t xml:space="preserve"> long</w:t>
      </w:r>
      <w:r>
        <w:rPr>
          <w:rFonts w:eastAsia="Times New Roman" w:cstheme="minorHAnsi"/>
          <w:i/>
          <w:color w:val="222222"/>
          <w:sz w:val="24"/>
          <w:szCs w:val="24"/>
        </w:rPr>
        <w:t>-</w:t>
      </w:r>
      <w:r w:rsidRPr="00EB5010">
        <w:rPr>
          <w:rFonts w:eastAsia="Times New Roman" w:cstheme="minorHAnsi"/>
          <w:i/>
          <w:color w:val="222222"/>
          <w:sz w:val="24"/>
          <w:szCs w:val="24"/>
        </w:rPr>
        <w:t>term evaluation studies have found that children who participated in high-quality preschool programs were:</w:t>
      </w:r>
    </w:p>
    <w:p w:rsidR="001C3C5B" w:rsidRPr="00EB5010" w:rsidRDefault="001C3C5B" w:rsidP="001C3C5B">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25% less likely to drop out of school.</w:t>
      </w:r>
    </w:p>
    <w:p w:rsidR="001C3C5B" w:rsidRPr="00EB5010" w:rsidRDefault="001C3C5B" w:rsidP="001C3C5B">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40% less likely to become a teen parent.</w:t>
      </w:r>
    </w:p>
    <w:p w:rsidR="001C3C5B" w:rsidRPr="00EB5010" w:rsidRDefault="001C3C5B" w:rsidP="001C3C5B">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50% less likely to be placed in special education.</w:t>
      </w:r>
    </w:p>
    <w:p w:rsidR="001C3C5B" w:rsidRPr="00EB5010" w:rsidRDefault="001C3C5B" w:rsidP="001C3C5B">
      <w:pPr>
        <w:numPr>
          <w:ilvl w:val="0"/>
          <w:numId w:val="7"/>
        </w:numPr>
        <w:tabs>
          <w:tab w:val="clear" w:pos="720"/>
          <w:tab w:val="num" w:pos="1080"/>
        </w:tabs>
        <w:spacing w:after="100" w:afterAutospacing="1"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60% less likely to never attend college.</w:t>
      </w:r>
    </w:p>
    <w:p w:rsidR="001C3C5B" w:rsidRPr="00EB5010" w:rsidRDefault="001C3C5B" w:rsidP="001C3C5B">
      <w:pPr>
        <w:numPr>
          <w:ilvl w:val="0"/>
          <w:numId w:val="7"/>
        </w:numPr>
        <w:tabs>
          <w:tab w:val="clear" w:pos="720"/>
          <w:tab w:val="num" w:pos="1080"/>
        </w:tabs>
        <w:spacing w:after="0" w:line="240" w:lineRule="auto"/>
        <w:ind w:left="1080"/>
        <w:rPr>
          <w:rFonts w:eastAsia="Times New Roman" w:cstheme="minorHAnsi"/>
          <w:i/>
          <w:color w:val="222222"/>
          <w:sz w:val="24"/>
          <w:szCs w:val="24"/>
        </w:rPr>
      </w:pPr>
      <w:r w:rsidRPr="00EB5010">
        <w:rPr>
          <w:rFonts w:eastAsia="Times New Roman" w:cstheme="minorHAnsi"/>
          <w:i/>
          <w:color w:val="222222"/>
          <w:sz w:val="24"/>
          <w:szCs w:val="24"/>
        </w:rPr>
        <w:t>70% less likely to be arrested for a violent crime.</w:t>
      </w:r>
    </w:p>
    <w:p w:rsidR="001C3C5B" w:rsidRPr="00EB5010" w:rsidRDefault="001C3C5B" w:rsidP="001C3C5B">
      <w:pPr>
        <w:spacing w:after="0" w:line="240" w:lineRule="auto"/>
        <w:rPr>
          <w:rFonts w:eastAsia="Times New Roman" w:cstheme="minorHAnsi"/>
          <w:color w:val="222222"/>
          <w:sz w:val="24"/>
          <w:szCs w:val="24"/>
        </w:rPr>
      </w:pPr>
    </w:p>
    <w:p w:rsidR="001C3C5B" w:rsidRDefault="001C3C5B" w:rsidP="001C3C5B">
      <w:pPr>
        <w:spacing w:after="0" w:line="240" w:lineRule="auto"/>
        <w:rPr>
          <w:rFonts w:eastAsia="Times New Roman" w:cstheme="minorHAnsi"/>
          <w:color w:val="222222"/>
          <w:sz w:val="24"/>
          <w:szCs w:val="24"/>
        </w:rPr>
      </w:pPr>
      <w:r w:rsidRPr="00EB5010">
        <w:rPr>
          <w:rFonts w:eastAsia="Times New Roman" w:cstheme="minorHAnsi"/>
          <w:color w:val="222222"/>
          <w:sz w:val="24"/>
          <w:szCs w:val="24"/>
        </w:rPr>
        <w:t xml:space="preserve">Sarah Daily, </w:t>
      </w:r>
      <w:r w:rsidRPr="00EB5010">
        <w:rPr>
          <w:rFonts w:eastAsia="Times New Roman" w:cstheme="minorHAnsi"/>
          <w:i/>
          <w:color w:val="222222"/>
          <w:sz w:val="24"/>
          <w:szCs w:val="24"/>
        </w:rPr>
        <w:t>Initiatives from Preschool to Third Grade: A Policymaker’s Guide</w:t>
      </w:r>
      <w:r w:rsidRPr="00EB5010">
        <w:rPr>
          <w:rFonts w:eastAsia="Times New Roman" w:cstheme="minorHAnsi"/>
          <w:color w:val="222222"/>
          <w:sz w:val="24"/>
          <w:szCs w:val="24"/>
        </w:rPr>
        <w:t>, shows reductions in costly outcomes that quality preschool prevents. (Denver, CO: Education Commission of the States, October 2014</w:t>
      </w:r>
      <w:r w:rsidR="001F5EB2">
        <w:rPr>
          <w:rFonts w:eastAsia="Times New Roman" w:cstheme="minorHAnsi"/>
          <w:color w:val="222222"/>
          <w:sz w:val="24"/>
          <w:szCs w:val="24"/>
        </w:rPr>
        <w:t>,</w:t>
      </w:r>
      <w:r w:rsidR="001F5EB2" w:rsidRPr="00EB5010">
        <w:rPr>
          <w:rFonts w:eastAsia="Times New Roman" w:cstheme="minorHAnsi"/>
          <w:color w:val="222222"/>
          <w:sz w:val="24"/>
          <w:szCs w:val="24"/>
        </w:rPr>
        <w:t xml:space="preserve"> </w:t>
      </w:r>
      <w:hyperlink r:id="rId10" w:tgtFrame="_blank" w:history="1">
        <w:r w:rsidRPr="00EB5010">
          <w:rPr>
            <w:rFonts w:eastAsia="Times New Roman" w:cstheme="minorHAnsi"/>
            <w:color w:val="1155CC"/>
            <w:sz w:val="24"/>
            <w:szCs w:val="24"/>
            <w:u w:val="single"/>
          </w:rPr>
          <w:t>http://www.ecs.org/docs/early-learning-primer.pdf</w:t>
        </w:r>
      </w:hyperlink>
      <w:r w:rsidR="001F5EB2">
        <w:rPr>
          <w:rFonts w:eastAsia="Times New Roman" w:cstheme="minorHAnsi"/>
          <w:color w:val="1155CC"/>
          <w:sz w:val="24"/>
          <w:szCs w:val="24"/>
          <w:u w:val="single"/>
        </w:rPr>
        <w:t>)</w:t>
      </w:r>
      <w:r w:rsidRPr="00EB5010">
        <w:rPr>
          <w:rFonts w:eastAsia="Times New Roman" w:cstheme="minorHAnsi"/>
          <w:color w:val="222222"/>
          <w:sz w:val="24"/>
          <w:szCs w:val="24"/>
        </w:rPr>
        <w:t>. The National Conference of State Legislatures quotes studies on long</w:t>
      </w:r>
      <w:r>
        <w:rPr>
          <w:rFonts w:eastAsia="Times New Roman" w:cstheme="minorHAnsi"/>
          <w:color w:val="222222"/>
          <w:sz w:val="24"/>
          <w:szCs w:val="24"/>
        </w:rPr>
        <w:t>-</w:t>
      </w:r>
      <w:r w:rsidRPr="00EB5010">
        <w:rPr>
          <w:rFonts w:eastAsia="Times New Roman" w:cstheme="minorHAnsi"/>
          <w:color w:val="222222"/>
          <w:sz w:val="24"/>
          <w:szCs w:val="24"/>
        </w:rPr>
        <w:t>term return on investment</w:t>
      </w:r>
      <w:r w:rsidR="001F5EB2">
        <w:rPr>
          <w:rFonts w:eastAsia="Times New Roman" w:cstheme="minorHAnsi"/>
          <w:color w:val="222222"/>
          <w:sz w:val="24"/>
          <w:szCs w:val="24"/>
        </w:rPr>
        <w:t>:</w:t>
      </w:r>
      <w:r w:rsidR="001F5EB2" w:rsidRPr="00EB5010">
        <w:rPr>
          <w:rFonts w:eastAsia="Times New Roman" w:cstheme="minorHAnsi"/>
          <w:color w:val="222222"/>
          <w:sz w:val="24"/>
          <w:szCs w:val="24"/>
        </w:rPr>
        <w:t xml:space="preserve"> </w:t>
      </w:r>
      <w:hyperlink r:id="rId11" w:history="1">
        <w:r w:rsidRPr="00EB5010">
          <w:rPr>
            <w:rFonts w:eastAsia="Times New Roman" w:cstheme="minorHAnsi"/>
            <w:color w:val="1155CC"/>
            <w:sz w:val="24"/>
            <w:szCs w:val="24"/>
            <w:u w:val="single"/>
          </w:rPr>
          <w:t>http://www.ncsl.org/research/human-services/new-research-early-education-as-economic-investme.aspx</w:t>
        </w:r>
      </w:hyperlink>
      <w:r w:rsidRPr="00EB5010">
        <w:rPr>
          <w:rFonts w:eastAsia="Times New Roman" w:cstheme="minorHAnsi"/>
          <w:color w:val="222222"/>
          <w:sz w:val="24"/>
          <w:szCs w:val="24"/>
        </w:rPr>
        <w:t> </w:t>
      </w:r>
    </w:p>
    <w:p w:rsidR="001C3C5B" w:rsidRDefault="001C3C5B" w:rsidP="001C3C5B">
      <w:pPr>
        <w:spacing w:after="0" w:line="240" w:lineRule="auto"/>
        <w:rPr>
          <w:rFonts w:eastAsia="Times New Roman" w:cstheme="minorHAnsi"/>
          <w:color w:val="222222"/>
          <w:sz w:val="24"/>
          <w:szCs w:val="24"/>
        </w:rPr>
      </w:pPr>
    </w:p>
    <w:p w:rsidR="001C3C5B" w:rsidRPr="003C5D29" w:rsidRDefault="001C3C5B" w:rsidP="001C3C5B">
      <w:pPr>
        <w:shd w:val="clear" w:color="auto" w:fill="FFFFFF"/>
        <w:spacing w:line="240" w:lineRule="auto"/>
        <w:rPr>
          <w:rFonts w:cstheme="minorHAnsi"/>
          <w:color w:val="222222"/>
          <w:sz w:val="24"/>
        </w:rPr>
      </w:pPr>
      <w:r w:rsidRPr="009E6EB3">
        <w:rPr>
          <w:rFonts w:eastAsia="Times New Roman" w:cstheme="minorHAnsi"/>
          <w:color w:val="222222"/>
          <w:sz w:val="24"/>
          <w:szCs w:val="24"/>
        </w:rPr>
        <w:t>Another study shows improved behavior and social skills:</w:t>
      </w:r>
      <w:r>
        <w:rPr>
          <w:rFonts w:eastAsia="Times New Roman" w:cstheme="minorHAnsi"/>
          <w:color w:val="222222"/>
          <w:sz w:val="24"/>
          <w:szCs w:val="24"/>
        </w:rPr>
        <w:t xml:space="preserve"> </w:t>
      </w:r>
      <w:r w:rsidRPr="009E6EB3">
        <w:rPr>
          <w:rFonts w:eastAsia="Times New Roman" w:cstheme="minorHAnsi"/>
          <w:color w:val="222222"/>
          <w:sz w:val="24"/>
          <w:szCs w:val="24"/>
        </w:rPr>
        <w:t xml:space="preserve">the </w:t>
      </w:r>
      <w:r w:rsidRPr="009E6EB3">
        <w:rPr>
          <w:sz w:val="24"/>
          <w:szCs w:val="24"/>
        </w:rPr>
        <w:t xml:space="preserve">Journal of Research in Childhood Education, The Long Term Benefits, 2017, </w:t>
      </w:r>
      <w:hyperlink r:id="rId12" w:history="1">
        <w:r w:rsidRPr="000A6F97">
          <w:rPr>
            <w:rStyle w:val="Hyperlink"/>
          </w:rPr>
          <w:t>http://dx.doi.org/10.1080/02568543.2016.1273285</w:t>
        </w:r>
      </w:hyperlink>
      <w:r>
        <w:t xml:space="preserve"> </w:t>
      </w:r>
      <w:r w:rsidRPr="003C5D29">
        <w:rPr>
          <w:rFonts w:cstheme="minorHAnsi"/>
          <w:color w:val="222222"/>
          <w:sz w:val="24"/>
        </w:rPr>
        <w:t>demonstrates for low-income students in quality preschool compared to low-income students without the PK experience, the PK group had fewer behavior issues, referrals, better attendance, initially more special education in kindergarten</w:t>
      </w:r>
      <w:r>
        <w:rPr>
          <w:rFonts w:cstheme="minorHAnsi"/>
          <w:color w:val="222222"/>
          <w:sz w:val="24"/>
        </w:rPr>
        <w:t xml:space="preserve"> </w:t>
      </w:r>
      <w:r w:rsidRPr="003C5D29">
        <w:rPr>
          <w:rFonts w:cstheme="minorHAnsi"/>
          <w:color w:val="222222"/>
          <w:sz w:val="24"/>
        </w:rPr>
        <w:t>(identified earlier) but less special education services by fourth grad</w:t>
      </w:r>
      <w:r>
        <w:rPr>
          <w:rFonts w:cstheme="minorHAnsi"/>
          <w:color w:val="222222"/>
          <w:sz w:val="24"/>
        </w:rPr>
        <w:t>e than the control group.</w:t>
      </w:r>
    </w:p>
    <w:p w:rsidR="001C3C5B" w:rsidRDefault="001C3C5B" w:rsidP="001C3C5B">
      <w:pPr>
        <w:spacing w:after="0" w:line="240" w:lineRule="auto"/>
        <w:rPr>
          <w:rFonts w:eastAsia="Times New Roman" w:cstheme="minorHAnsi"/>
          <w:b/>
          <w:bCs/>
          <w:color w:val="222222"/>
          <w:sz w:val="24"/>
          <w:szCs w:val="24"/>
        </w:rPr>
      </w:pPr>
    </w:p>
    <w:p w:rsidR="001C3C5B" w:rsidRDefault="001C3C5B" w:rsidP="001C3C5B">
      <w:pPr>
        <w:spacing w:after="0" w:line="240" w:lineRule="auto"/>
        <w:rPr>
          <w:rFonts w:eastAsia="Times New Roman" w:cstheme="minorHAnsi"/>
          <w:b/>
          <w:bCs/>
          <w:color w:val="222222"/>
          <w:sz w:val="24"/>
          <w:szCs w:val="24"/>
        </w:rPr>
      </w:pPr>
    </w:p>
    <w:p w:rsidR="001C3C5B" w:rsidRDefault="001C3C5B" w:rsidP="001C3C5B">
      <w:pPr>
        <w:spacing w:after="0" w:line="240" w:lineRule="auto"/>
        <w:rPr>
          <w:rFonts w:eastAsia="Times New Roman" w:cstheme="minorHAnsi"/>
          <w:bCs/>
          <w:color w:val="222222"/>
          <w:sz w:val="24"/>
          <w:szCs w:val="24"/>
        </w:rPr>
      </w:pPr>
      <w:r w:rsidRPr="00EB5010">
        <w:rPr>
          <w:rFonts w:eastAsia="Times New Roman" w:cstheme="minorHAnsi"/>
          <w:b/>
          <w:bCs/>
          <w:color w:val="222222"/>
          <w:sz w:val="24"/>
          <w:szCs w:val="24"/>
        </w:rPr>
        <w:lastRenderedPageBreak/>
        <w:t xml:space="preserve">Barriers to Expansion. </w:t>
      </w:r>
      <w:r w:rsidRPr="00EB5010">
        <w:rPr>
          <w:rFonts w:eastAsia="Times New Roman" w:cstheme="minorHAnsi"/>
          <w:bCs/>
          <w:color w:val="222222"/>
          <w:sz w:val="24"/>
          <w:szCs w:val="24"/>
        </w:rPr>
        <w:t xml:space="preserve">Preschool funding in the formula is paid entirely with state funds, based on the prior year’s enrollment of </w:t>
      </w:r>
      <w:r>
        <w:rPr>
          <w:rFonts w:eastAsia="Times New Roman" w:cstheme="minorHAnsi"/>
          <w:bCs/>
          <w:color w:val="222222"/>
          <w:sz w:val="24"/>
          <w:szCs w:val="24"/>
        </w:rPr>
        <w:t>4</w:t>
      </w:r>
      <w:r w:rsidRPr="00EB5010">
        <w:rPr>
          <w:rFonts w:eastAsia="Times New Roman" w:cstheme="minorHAnsi"/>
          <w:bCs/>
          <w:color w:val="222222"/>
          <w:sz w:val="24"/>
          <w:szCs w:val="24"/>
        </w:rPr>
        <w:t>-year-olds in the program on Oct</w:t>
      </w:r>
      <w:r>
        <w:rPr>
          <w:rFonts w:eastAsia="Times New Roman" w:cstheme="minorHAnsi"/>
          <w:bCs/>
          <w:color w:val="222222"/>
          <w:sz w:val="24"/>
          <w:szCs w:val="24"/>
        </w:rPr>
        <w:t>ober</w:t>
      </w:r>
      <w:r w:rsidRPr="00EB5010">
        <w:rPr>
          <w:rFonts w:eastAsia="Times New Roman" w:cstheme="minorHAnsi"/>
          <w:bCs/>
          <w:color w:val="222222"/>
          <w:sz w:val="24"/>
          <w:szCs w:val="24"/>
        </w:rPr>
        <w:t xml:space="preserve"> 1. Although </w:t>
      </w:r>
      <w:r>
        <w:rPr>
          <w:rFonts w:eastAsia="Times New Roman" w:cstheme="minorHAnsi"/>
          <w:bCs/>
          <w:color w:val="222222"/>
          <w:sz w:val="24"/>
          <w:szCs w:val="24"/>
        </w:rPr>
        <w:t>3</w:t>
      </w:r>
      <w:r w:rsidRPr="00EB5010">
        <w:rPr>
          <w:rFonts w:eastAsia="Times New Roman" w:cstheme="minorHAnsi"/>
          <w:bCs/>
          <w:color w:val="222222"/>
          <w:sz w:val="24"/>
          <w:szCs w:val="24"/>
        </w:rPr>
        <w:t xml:space="preserve">-year-olds and 5-year-olds may be served, they are not counted for weighting/funding purposes. Unlike the regular program enrollment for K-12 budget purposes, there is no adjustment for enrollment </w:t>
      </w:r>
      <w:r>
        <w:rPr>
          <w:rFonts w:eastAsia="Times New Roman" w:cstheme="minorHAnsi"/>
          <w:bCs/>
          <w:color w:val="222222"/>
          <w:sz w:val="24"/>
          <w:szCs w:val="24"/>
        </w:rPr>
        <w:t xml:space="preserve">growth known as </w:t>
      </w:r>
      <w:r w:rsidRPr="00EB5010">
        <w:rPr>
          <w:rFonts w:eastAsia="Times New Roman" w:cstheme="minorHAnsi"/>
          <w:bCs/>
          <w:color w:val="222222"/>
          <w:sz w:val="24"/>
          <w:szCs w:val="24"/>
        </w:rPr>
        <w:t xml:space="preserve">on-time funding modified supplemental amount if more PK students are served than in the prior year. Districts are </w:t>
      </w:r>
      <w:r>
        <w:rPr>
          <w:rFonts w:eastAsia="Times New Roman" w:cstheme="minorHAnsi"/>
          <w:bCs/>
          <w:color w:val="222222"/>
          <w:sz w:val="24"/>
          <w:szCs w:val="24"/>
        </w:rPr>
        <w:t xml:space="preserve">also </w:t>
      </w:r>
      <w:r w:rsidRPr="00EB5010">
        <w:rPr>
          <w:rFonts w:eastAsia="Times New Roman" w:cstheme="minorHAnsi"/>
          <w:bCs/>
          <w:color w:val="222222"/>
          <w:sz w:val="24"/>
          <w:szCs w:val="24"/>
        </w:rPr>
        <w:t>prohibited from using general fund dollars to pay for PK expenses</w:t>
      </w:r>
      <w:r>
        <w:rPr>
          <w:rFonts w:eastAsia="Times New Roman" w:cstheme="minorHAnsi"/>
          <w:bCs/>
          <w:color w:val="222222"/>
          <w:sz w:val="24"/>
          <w:szCs w:val="24"/>
        </w:rPr>
        <w:t xml:space="preserve"> leaving parent pay or grant funding as the only remaining options</w:t>
      </w:r>
      <w:r w:rsidRPr="00EB5010">
        <w:rPr>
          <w:rFonts w:eastAsia="Times New Roman" w:cstheme="minorHAnsi"/>
          <w:bCs/>
          <w:color w:val="222222"/>
          <w:sz w:val="24"/>
          <w:szCs w:val="24"/>
        </w:rPr>
        <w:t xml:space="preserve">. </w:t>
      </w:r>
      <w:r>
        <w:rPr>
          <w:rFonts w:eastAsia="Times New Roman" w:cstheme="minorHAnsi"/>
          <w:bCs/>
          <w:color w:val="222222"/>
          <w:sz w:val="24"/>
          <w:szCs w:val="24"/>
        </w:rPr>
        <w:t>Additionally, 4-year-olds from low-income families may need other supports, such as full-day programs or wrap-around care to allow families full employment. For non-English-speaking families, preschool is critical</w:t>
      </w:r>
      <w:r w:rsidR="001F5EB2">
        <w:rPr>
          <w:rFonts w:eastAsia="Times New Roman" w:cstheme="minorHAnsi"/>
          <w:bCs/>
          <w:color w:val="222222"/>
          <w:sz w:val="24"/>
          <w:szCs w:val="24"/>
        </w:rPr>
        <w:t xml:space="preserve">. Yet, </w:t>
      </w:r>
      <w:r>
        <w:rPr>
          <w:rFonts w:eastAsia="Times New Roman" w:cstheme="minorHAnsi"/>
          <w:bCs/>
          <w:color w:val="222222"/>
          <w:sz w:val="24"/>
          <w:szCs w:val="24"/>
        </w:rPr>
        <w:t xml:space="preserve">the 0.5 weighting is not enough to cover the costs of translators, staff and additional materials to support immigrant families to fully engage with their students, let alone the full-day programming that would jump-start their language development. Lastly, </w:t>
      </w:r>
      <w:r w:rsidR="001F5EB2">
        <w:rPr>
          <w:rFonts w:eastAsia="Times New Roman" w:cstheme="minorHAnsi"/>
          <w:bCs/>
          <w:color w:val="222222"/>
          <w:sz w:val="24"/>
          <w:szCs w:val="24"/>
        </w:rPr>
        <w:t xml:space="preserve">in particular </w:t>
      </w:r>
      <w:r>
        <w:rPr>
          <w:rFonts w:eastAsia="Times New Roman" w:cstheme="minorHAnsi"/>
          <w:bCs/>
          <w:color w:val="222222"/>
          <w:sz w:val="24"/>
          <w:szCs w:val="24"/>
        </w:rPr>
        <w:t xml:space="preserve">for rural schools, transportation costs are most efficient when students can be transported together. The half-day PK option requires additional routes or no transportation at all, which is an additional burden on parents and </w:t>
      </w:r>
      <w:r w:rsidR="001F5EB2">
        <w:rPr>
          <w:rFonts w:eastAsia="Times New Roman" w:cstheme="minorHAnsi"/>
          <w:bCs/>
          <w:color w:val="222222"/>
          <w:sz w:val="24"/>
          <w:szCs w:val="24"/>
        </w:rPr>
        <w:t xml:space="preserve">a </w:t>
      </w:r>
      <w:r>
        <w:rPr>
          <w:rFonts w:eastAsia="Times New Roman" w:cstheme="minorHAnsi"/>
          <w:bCs/>
          <w:color w:val="222222"/>
          <w:sz w:val="24"/>
          <w:szCs w:val="24"/>
        </w:rPr>
        <w:t xml:space="preserve">barrier to full-time employment. </w:t>
      </w:r>
    </w:p>
    <w:p w:rsidR="001C3C5B" w:rsidRDefault="001C3C5B" w:rsidP="001C3C5B">
      <w:pPr>
        <w:spacing w:after="0" w:line="240" w:lineRule="auto"/>
        <w:rPr>
          <w:rFonts w:eastAsia="Times New Roman" w:cstheme="minorHAnsi"/>
          <w:bCs/>
          <w:color w:val="222222"/>
          <w:sz w:val="24"/>
          <w:szCs w:val="24"/>
        </w:rPr>
      </w:pPr>
    </w:p>
    <w:p w:rsidR="001C3C5B" w:rsidRDefault="001C3C5B" w:rsidP="001C3C5B">
      <w:pPr>
        <w:spacing w:after="0" w:line="240" w:lineRule="auto"/>
        <w:rPr>
          <w:rFonts w:eastAsia="Times New Roman" w:cstheme="minorHAnsi"/>
          <w:color w:val="222222"/>
          <w:sz w:val="24"/>
          <w:szCs w:val="24"/>
        </w:rPr>
      </w:pPr>
      <w:r w:rsidRPr="00C85414">
        <w:rPr>
          <w:rFonts w:eastAsia="Times New Roman" w:cstheme="minorHAnsi"/>
          <w:b/>
          <w:color w:val="222222"/>
          <w:sz w:val="24"/>
          <w:szCs w:val="24"/>
        </w:rPr>
        <w:t>Workforce and Childcare:</w:t>
      </w:r>
      <w:r>
        <w:rPr>
          <w:rFonts w:eastAsia="Times New Roman" w:cstheme="minorHAnsi"/>
          <w:color w:val="222222"/>
          <w:sz w:val="24"/>
          <w:szCs w:val="24"/>
        </w:rPr>
        <w:t xml:space="preserve"> Full-day preschool with a 1.0 weighting for lower-income and non-English-speaking 4-year-olds is a win-win-win</w:t>
      </w:r>
      <w:r w:rsidR="001F5EB2">
        <w:rPr>
          <w:rFonts w:eastAsia="Times New Roman" w:cstheme="minorHAnsi"/>
          <w:color w:val="222222"/>
          <w:sz w:val="24"/>
          <w:szCs w:val="24"/>
        </w:rPr>
        <w:t xml:space="preserve">: </w:t>
      </w:r>
      <w:r>
        <w:rPr>
          <w:rFonts w:eastAsia="Times New Roman" w:cstheme="minorHAnsi"/>
          <w:color w:val="222222"/>
          <w:sz w:val="24"/>
          <w:szCs w:val="24"/>
        </w:rPr>
        <w:t xml:space="preserve">1) a win for students with improved academic success down the road, 2) a win for the business community when parents can fully engage in employment and freed up childcare slots can serve waiting lists so other parents can work, and 3) a win for taxpayers as students with quality preschool are 50% less likely to experience the costs of long-term special education typically borne by property taxpayers. Quality preschool is an excellent example of the old adage that an ounce of prevention is worth a pound of cure. </w:t>
      </w:r>
    </w:p>
    <w:p w:rsidR="00EB5010" w:rsidRPr="00EB5010" w:rsidRDefault="00EB5010" w:rsidP="007A4F9D">
      <w:pPr>
        <w:spacing w:after="0" w:line="240" w:lineRule="auto"/>
        <w:rPr>
          <w:rFonts w:eastAsia="Times New Roman" w:cstheme="minorHAnsi"/>
          <w:color w:val="222222"/>
          <w:sz w:val="24"/>
          <w:szCs w:val="24"/>
        </w:rPr>
      </w:pPr>
    </w:p>
    <w:p w:rsidR="001C3C5B" w:rsidRPr="001C3C5B" w:rsidRDefault="001C3C5B" w:rsidP="001C3C5B">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222222"/>
          <w:sz w:val="24"/>
          <w:szCs w:val="24"/>
        </w:rPr>
      </w:pPr>
      <w:r w:rsidRPr="001C3C5B">
        <w:rPr>
          <w:rFonts w:eastAsia="Times New Roman" w:cstheme="minorHAnsi"/>
          <w:b/>
          <w:color w:val="222222"/>
          <w:sz w:val="24"/>
          <w:szCs w:val="24"/>
        </w:rPr>
        <w:t>Quality Preschool:</w:t>
      </w:r>
      <w:r w:rsidRPr="001C3C5B">
        <w:rPr>
          <w:rFonts w:eastAsia="Times New Roman" w:cstheme="minorHAnsi"/>
          <w:color w:val="222222"/>
          <w:sz w:val="24"/>
          <w:szCs w:val="24"/>
        </w:rPr>
        <w:t xml:space="preserve"> funding of quality statewide voluntary preschool at the 1.0 per pupil cost for </w:t>
      </w:r>
      <w:r w:rsidR="001F5EB2" w:rsidRPr="001C3C5B">
        <w:rPr>
          <w:rFonts w:eastAsia="Times New Roman" w:cstheme="minorHAnsi"/>
          <w:color w:val="222222"/>
          <w:sz w:val="24"/>
          <w:szCs w:val="24"/>
        </w:rPr>
        <w:t>full</w:t>
      </w:r>
      <w:r w:rsidR="001F5EB2">
        <w:rPr>
          <w:rFonts w:eastAsia="Times New Roman" w:cstheme="minorHAnsi"/>
          <w:color w:val="222222"/>
          <w:sz w:val="24"/>
          <w:szCs w:val="24"/>
        </w:rPr>
        <w:t>-</w:t>
      </w:r>
      <w:r w:rsidRPr="001C3C5B">
        <w:rPr>
          <w:rFonts w:eastAsia="Times New Roman" w:cstheme="minorHAnsi"/>
          <w:color w:val="222222"/>
          <w:sz w:val="24"/>
          <w:szCs w:val="24"/>
        </w:rPr>
        <w:t xml:space="preserve">time or prorated proportionally. Formula protections against budget and program impacts of preschool enrollment swings (budget guarantee/on-time spending authority). </w:t>
      </w:r>
      <w:r w:rsidR="001F5EB2" w:rsidRPr="001C3C5B">
        <w:rPr>
          <w:rFonts w:eastAsia="Times New Roman" w:cstheme="minorHAnsi"/>
          <w:color w:val="222222"/>
          <w:sz w:val="24"/>
          <w:szCs w:val="24"/>
        </w:rPr>
        <w:t>Full</w:t>
      </w:r>
      <w:r w:rsidR="001F5EB2">
        <w:rPr>
          <w:rFonts w:eastAsia="Times New Roman" w:cstheme="minorHAnsi"/>
          <w:color w:val="222222"/>
          <w:sz w:val="24"/>
          <w:szCs w:val="24"/>
        </w:rPr>
        <w:t>-</w:t>
      </w:r>
      <w:r w:rsidRPr="001C3C5B">
        <w:rPr>
          <w:rFonts w:eastAsia="Times New Roman" w:cstheme="minorHAnsi"/>
          <w:color w:val="222222"/>
          <w:sz w:val="24"/>
          <w:szCs w:val="24"/>
        </w:rPr>
        <w:t xml:space="preserve">day programming increases the opportunity for parent workforce participation, allows Iowa’s limited childcare workforce capacity to focus on younger children, prevents later special education consequences, improves literacy and prepares students for learning. </w:t>
      </w:r>
    </w:p>
    <w:sectPr w:rsidR="001C3C5B" w:rsidRPr="001C3C5B" w:rsidSect="00CB0EB8">
      <w:headerReference w:type="default" r:id="rId13"/>
      <w:footerReference w:type="default" r:id="rId14"/>
      <w:headerReference w:type="first" r:id="rId15"/>
      <w:footerReference w:type="first" r:id="rId16"/>
      <w:pgSz w:w="12240" w:h="15840" w:code="1"/>
      <w:pgMar w:top="1267" w:right="1080" w:bottom="72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7B" w:rsidRDefault="0014517B" w:rsidP="00636F64">
      <w:pPr>
        <w:spacing w:after="0" w:line="240" w:lineRule="auto"/>
      </w:pPr>
      <w:r>
        <w:separator/>
      </w:r>
    </w:p>
  </w:endnote>
  <w:endnote w:type="continuationSeparator" w:id="0">
    <w:p w:rsidR="0014517B" w:rsidRDefault="0014517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03221000"/>
      <w:docPartObj>
        <w:docPartGallery w:val="Page Numbers (Bottom of Page)"/>
        <w:docPartUnique/>
      </w:docPartObj>
    </w:sdtPr>
    <w:sdtEndPr>
      <w:rPr>
        <w:noProof/>
      </w:rPr>
    </w:sdtEndPr>
    <w:sdtContent>
      <w:p w:rsidR="00CB0EB8" w:rsidRPr="00CB0EB8" w:rsidRDefault="00CB0EB8" w:rsidP="00CB0EB8">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CB0EB8" w:rsidRPr="00CB0EB8" w:rsidRDefault="00CB0EB8" w:rsidP="00CB0EB8">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7B" w:rsidRDefault="0014517B" w:rsidP="00636F64">
      <w:pPr>
        <w:spacing w:after="0" w:line="240" w:lineRule="auto"/>
      </w:pPr>
      <w:r>
        <w:separator/>
      </w:r>
    </w:p>
  </w:footnote>
  <w:footnote w:type="continuationSeparator" w:id="0">
    <w:p w:rsidR="0014517B" w:rsidRDefault="0014517B"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F9D" w:rsidRPr="00C11EA4" w:rsidRDefault="007A4F9D" w:rsidP="007A4F9D">
    <w:pPr>
      <w:pStyle w:val="Header"/>
      <w:tabs>
        <w:tab w:val="clear" w:pos="9360"/>
        <w:tab w:val="right" w:pos="9900"/>
      </w:tabs>
      <w:rPr>
        <w:i/>
        <w:sz w:val="20"/>
        <w:szCs w:val="20"/>
      </w:rPr>
    </w:pPr>
    <w:r w:rsidRPr="00C11EA4">
      <w:rPr>
        <w:i/>
        <w:sz w:val="20"/>
        <w:szCs w:val="20"/>
      </w:rPr>
      <w:t>RSAI</w:t>
    </w:r>
    <w:r>
      <w:rPr>
        <w:i/>
        <w:sz w:val="20"/>
        <w:szCs w:val="20"/>
      </w:rPr>
      <w:t xml:space="preserve"> 202</w:t>
    </w:r>
    <w:r w:rsidR="005A0AC2">
      <w:rPr>
        <w:i/>
        <w:sz w:val="20"/>
        <w:szCs w:val="20"/>
      </w:rPr>
      <w:t>3</w:t>
    </w:r>
    <w:r>
      <w:rPr>
        <w:i/>
        <w:sz w:val="20"/>
        <w:szCs w:val="20"/>
      </w:rPr>
      <w:t xml:space="preserve"> Legislative Priority:</w:t>
    </w:r>
    <w:r>
      <w:rPr>
        <w:i/>
        <w:sz w:val="20"/>
        <w:szCs w:val="20"/>
      </w:rPr>
      <w:tab/>
    </w:r>
    <w:r w:rsidRPr="00C11EA4">
      <w:rPr>
        <w:i/>
        <w:sz w:val="20"/>
        <w:szCs w:val="20"/>
      </w:rPr>
      <w:tab/>
      <w:t>Page</w:t>
    </w:r>
    <w:r w:rsidR="00B6057F">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801360">
          <w:rPr>
            <w:i/>
            <w:noProof/>
            <w:sz w:val="20"/>
            <w:szCs w:val="20"/>
          </w:rPr>
          <w:t>2</w:t>
        </w:r>
        <w:r w:rsidRPr="00C11EA4">
          <w:rPr>
            <w:i/>
            <w:noProof/>
            <w:sz w:val="20"/>
            <w:szCs w:val="20"/>
          </w:rPr>
          <w:fldChar w:fldCharType="end"/>
        </w:r>
        <w:r>
          <w:rPr>
            <w:i/>
            <w:noProof/>
            <w:sz w:val="20"/>
            <w:szCs w:val="20"/>
          </w:rPr>
          <w:br/>
        </w:r>
        <w:r>
          <w:rPr>
            <w:i/>
            <w:sz w:val="20"/>
            <w:szCs w:val="20"/>
          </w:rPr>
          <w:t>Preschool</w:t>
        </w:r>
      </w:sdtContent>
    </w:sdt>
  </w:p>
  <w:p w:rsidR="007A4F9D" w:rsidRDefault="007A4F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EB8" w:rsidRDefault="00CB0EB8" w:rsidP="00CB0EB8">
    <w:r>
      <w:rPr>
        <w:noProof/>
      </w:rPr>
      <w:drawing>
        <wp:anchor distT="0" distB="0" distL="114300" distR="114300" simplePos="0" relativeHeight="251659264" behindDoc="1" locked="0" layoutInCell="1" allowOverlap="1" wp14:anchorId="24F59066" wp14:editId="7BB1615B">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EF0EB20" wp14:editId="5B79094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B0EB8" w:rsidRPr="00F754DF" w:rsidRDefault="00CB0EB8" w:rsidP="00CB0EB8">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F0EB20"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CB0EB8" w:rsidRPr="00F754DF" w:rsidRDefault="00CB0EB8" w:rsidP="00CB0EB8">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D6512A0" wp14:editId="39886250">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AC9A3D"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403056E7" wp14:editId="1982AC7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1F9A08"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451F352F" wp14:editId="594831C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B0EB8" w:rsidRDefault="00CB0EB8" w:rsidP="00CB0E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1F352F"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CB0EB8" w:rsidRDefault="00CB0EB8" w:rsidP="00CB0EB8">
                    <w:pPr>
                      <w:jc w:val="center"/>
                    </w:pPr>
                  </w:p>
                </w:txbxContent>
              </v:textbox>
            </v:rect>
          </w:pict>
        </mc:Fallback>
      </mc:AlternateContent>
    </w:r>
  </w:p>
  <w:p w:rsidR="00CB0EB8" w:rsidRDefault="00CB0E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81711"/>
    <w:multiLevelType w:val="hybridMultilevel"/>
    <w:tmpl w:val="1F64AFA4"/>
    <w:lvl w:ilvl="0" w:tplc="D53AC598">
      <w:start w:val="1"/>
      <w:numFmt w:val="bullet"/>
      <w:lvlText w:val=" "/>
      <w:lvlJc w:val="left"/>
      <w:pPr>
        <w:tabs>
          <w:tab w:val="num" w:pos="360"/>
        </w:tabs>
        <w:ind w:left="360" w:hanging="360"/>
      </w:pPr>
      <w:rPr>
        <w:rFonts w:ascii="Calibri" w:hAnsi="Calibri" w:hint="default"/>
      </w:rPr>
    </w:lvl>
    <w:lvl w:ilvl="1" w:tplc="D5F01462" w:tentative="1">
      <w:start w:val="1"/>
      <w:numFmt w:val="bullet"/>
      <w:lvlText w:val=" "/>
      <w:lvlJc w:val="left"/>
      <w:pPr>
        <w:tabs>
          <w:tab w:val="num" w:pos="1080"/>
        </w:tabs>
        <w:ind w:left="1080" w:hanging="360"/>
      </w:pPr>
      <w:rPr>
        <w:rFonts w:ascii="Calibri" w:hAnsi="Calibri" w:hint="default"/>
      </w:rPr>
    </w:lvl>
    <w:lvl w:ilvl="2" w:tplc="482E6E7A" w:tentative="1">
      <w:start w:val="1"/>
      <w:numFmt w:val="bullet"/>
      <w:lvlText w:val=" "/>
      <w:lvlJc w:val="left"/>
      <w:pPr>
        <w:tabs>
          <w:tab w:val="num" w:pos="1800"/>
        </w:tabs>
        <w:ind w:left="1800" w:hanging="360"/>
      </w:pPr>
      <w:rPr>
        <w:rFonts w:ascii="Calibri" w:hAnsi="Calibri" w:hint="default"/>
      </w:rPr>
    </w:lvl>
    <w:lvl w:ilvl="3" w:tplc="C2E2F872" w:tentative="1">
      <w:start w:val="1"/>
      <w:numFmt w:val="bullet"/>
      <w:lvlText w:val=" "/>
      <w:lvlJc w:val="left"/>
      <w:pPr>
        <w:tabs>
          <w:tab w:val="num" w:pos="2520"/>
        </w:tabs>
        <w:ind w:left="2520" w:hanging="360"/>
      </w:pPr>
      <w:rPr>
        <w:rFonts w:ascii="Calibri" w:hAnsi="Calibri" w:hint="default"/>
      </w:rPr>
    </w:lvl>
    <w:lvl w:ilvl="4" w:tplc="C7629E7A" w:tentative="1">
      <w:start w:val="1"/>
      <w:numFmt w:val="bullet"/>
      <w:lvlText w:val=" "/>
      <w:lvlJc w:val="left"/>
      <w:pPr>
        <w:tabs>
          <w:tab w:val="num" w:pos="3240"/>
        </w:tabs>
        <w:ind w:left="3240" w:hanging="360"/>
      </w:pPr>
      <w:rPr>
        <w:rFonts w:ascii="Calibri" w:hAnsi="Calibri" w:hint="default"/>
      </w:rPr>
    </w:lvl>
    <w:lvl w:ilvl="5" w:tplc="1D9EAEEE" w:tentative="1">
      <w:start w:val="1"/>
      <w:numFmt w:val="bullet"/>
      <w:lvlText w:val=" "/>
      <w:lvlJc w:val="left"/>
      <w:pPr>
        <w:tabs>
          <w:tab w:val="num" w:pos="3960"/>
        </w:tabs>
        <w:ind w:left="3960" w:hanging="360"/>
      </w:pPr>
      <w:rPr>
        <w:rFonts w:ascii="Calibri" w:hAnsi="Calibri" w:hint="default"/>
      </w:rPr>
    </w:lvl>
    <w:lvl w:ilvl="6" w:tplc="750EFE22" w:tentative="1">
      <w:start w:val="1"/>
      <w:numFmt w:val="bullet"/>
      <w:lvlText w:val=" "/>
      <w:lvlJc w:val="left"/>
      <w:pPr>
        <w:tabs>
          <w:tab w:val="num" w:pos="4680"/>
        </w:tabs>
        <w:ind w:left="4680" w:hanging="360"/>
      </w:pPr>
      <w:rPr>
        <w:rFonts w:ascii="Calibri" w:hAnsi="Calibri" w:hint="default"/>
      </w:rPr>
    </w:lvl>
    <w:lvl w:ilvl="7" w:tplc="0AAA6EA4" w:tentative="1">
      <w:start w:val="1"/>
      <w:numFmt w:val="bullet"/>
      <w:lvlText w:val=" "/>
      <w:lvlJc w:val="left"/>
      <w:pPr>
        <w:tabs>
          <w:tab w:val="num" w:pos="5400"/>
        </w:tabs>
        <w:ind w:left="5400" w:hanging="360"/>
      </w:pPr>
      <w:rPr>
        <w:rFonts w:ascii="Calibri" w:hAnsi="Calibri" w:hint="default"/>
      </w:rPr>
    </w:lvl>
    <w:lvl w:ilvl="8" w:tplc="EA50AEE8" w:tentative="1">
      <w:start w:val="1"/>
      <w:numFmt w:val="bullet"/>
      <w:lvlText w:val=" "/>
      <w:lvlJc w:val="left"/>
      <w:pPr>
        <w:tabs>
          <w:tab w:val="num" w:pos="6120"/>
        </w:tabs>
        <w:ind w:left="6120" w:hanging="360"/>
      </w:pPr>
      <w:rPr>
        <w:rFonts w:ascii="Calibri" w:hAnsi="Calibri" w:hint="default"/>
      </w:rPr>
    </w:lvl>
  </w:abstractNum>
  <w:abstractNum w:abstractNumId="3" w15:restartNumberingAfterBreak="0">
    <w:nsid w:val="161D0828"/>
    <w:multiLevelType w:val="hybridMultilevel"/>
    <w:tmpl w:val="13E0C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4"/>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jAyMTc2NDc0sDBU0lEKTi0uzszPAykwqQUA7BCWki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024C"/>
    <w:rsid w:val="00114832"/>
    <w:rsid w:val="00117E4D"/>
    <w:rsid w:val="00126079"/>
    <w:rsid w:val="00126B1A"/>
    <w:rsid w:val="00127DBD"/>
    <w:rsid w:val="001346A0"/>
    <w:rsid w:val="001357A4"/>
    <w:rsid w:val="00141C99"/>
    <w:rsid w:val="0014231C"/>
    <w:rsid w:val="0014517B"/>
    <w:rsid w:val="00145BCC"/>
    <w:rsid w:val="00147FF0"/>
    <w:rsid w:val="001503AF"/>
    <w:rsid w:val="00153B6B"/>
    <w:rsid w:val="001644DF"/>
    <w:rsid w:val="0016712D"/>
    <w:rsid w:val="0017186B"/>
    <w:rsid w:val="00187146"/>
    <w:rsid w:val="00193CFE"/>
    <w:rsid w:val="001A5DD9"/>
    <w:rsid w:val="001B46E2"/>
    <w:rsid w:val="001C3C5B"/>
    <w:rsid w:val="001D16B9"/>
    <w:rsid w:val="001D2879"/>
    <w:rsid w:val="001D3510"/>
    <w:rsid w:val="001D6A34"/>
    <w:rsid w:val="001E0A5C"/>
    <w:rsid w:val="001F4A3D"/>
    <w:rsid w:val="001F5EB2"/>
    <w:rsid w:val="0020306B"/>
    <w:rsid w:val="00231104"/>
    <w:rsid w:val="00232298"/>
    <w:rsid w:val="0023343D"/>
    <w:rsid w:val="002568D9"/>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07C25"/>
    <w:rsid w:val="003107B3"/>
    <w:rsid w:val="00311CE6"/>
    <w:rsid w:val="00316CFF"/>
    <w:rsid w:val="00322B0A"/>
    <w:rsid w:val="0034576D"/>
    <w:rsid w:val="00361A1E"/>
    <w:rsid w:val="003640C6"/>
    <w:rsid w:val="00366B6A"/>
    <w:rsid w:val="00382EE6"/>
    <w:rsid w:val="00386905"/>
    <w:rsid w:val="00390B9F"/>
    <w:rsid w:val="003924BE"/>
    <w:rsid w:val="00394B76"/>
    <w:rsid w:val="003A32A9"/>
    <w:rsid w:val="003A35B2"/>
    <w:rsid w:val="003A5D3F"/>
    <w:rsid w:val="003B29EE"/>
    <w:rsid w:val="003B58BF"/>
    <w:rsid w:val="003C35FE"/>
    <w:rsid w:val="003C71F2"/>
    <w:rsid w:val="003E0459"/>
    <w:rsid w:val="003E52CE"/>
    <w:rsid w:val="003E68B2"/>
    <w:rsid w:val="003F0098"/>
    <w:rsid w:val="003F20F0"/>
    <w:rsid w:val="003F3273"/>
    <w:rsid w:val="003F7F6C"/>
    <w:rsid w:val="00416B4C"/>
    <w:rsid w:val="00416D91"/>
    <w:rsid w:val="00420F80"/>
    <w:rsid w:val="00496686"/>
    <w:rsid w:val="004A1675"/>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2462"/>
    <w:rsid w:val="00547F26"/>
    <w:rsid w:val="00552D8E"/>
    <w:rsid w:val="00553FD8"/>
    <w:rsid w:val="00554CF5"/>
    <w:rsid w:val="0056309F"/>
    <w:rsid w:val="005637F7"/>
    <w:rsid w:val="005649DA"/>
    <w:rsid w:val="00585C8E"/>
    <w:rsid w:val="00587800"/>
    <w:rsid w:val="0059538B"/>
    <w:rsid w:val="00597130"/>
    <w:rsid w:val="005A069E"/>
    <w:rsid w:val="005A0AC2"/>
    <w:rsid w:val="005A2A9F"/>
    <w:rsid w:val="005A584A"/>
    <w:rsid w:val="005B6429"/>
    <w:rsid w:val="005C0800"/>
    <w:rsid w:val="005C6EE0"/>
    <w:rsid w:val="005D1953"/>
    <w:rsid w:val="005D44AC"/>
    <w:rsid w:val="005E1478"/>
    <w:rsid w:val="005E4650"/>
    <w:rsid w:val="005E4EA2"/>
    <w:rsid w:val="005E6B19"/>
    <w:rsid w:val="00600616"/>
    <w:rsid w:val="00614EF5"/>
    <w:rsid w:val="00615F2C"/>
    <w:rsid w:val="006231D1"/>
    <w:rsid w:val="00636F64"/>
    <w:rsid w:val="00637A18"/>
    <w:rsid w:val="00637F40"/>
    <w:rsid w:val="00642932"/>
    <w:rsid w:val="006455E4"/>
    <w:rsid w:val="006518E5"/>
    <w:rsid w:val="00651A15"/>
    <w:rsid w:val="00654155"/>
    <w:rsid w:val="006548C1"/>
    <w:rsid w:val="0065733F"/>
    <w:rsid w:val="00661BE4"/>
    <w:rsid w:val="00664725"/>
    <w:rsid w:val="006668E7"/>
    <w:rsid w:val="00667EED"/>
    <w:rsid w:val="006705CF"/>
    <w:rsid w:val="00670A11"/>
    <w:rsid w:val="006717FA"/>
    <w:rsid w:val="00671AC7"/>
    <w:rsid w:val="00673DE2"/>
    <w:rsid w:val="00675090"/>
    <w:rsid w:val="00682FE2"/>
    <w:rsid w:val="00683073"/>
    <w:rsid w:val="006875AB"/>
    <w:rsid w:val="006959A1"/>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3F32"/>
    <w:rsid w:val="007A4F9D"/>
    <w:rsid w:val="007A544C"/>
    <w:rsid w:val="007A66E6"/>
    <w:rsid w:val="007B08CF"/>
    <w:rsid w:val="007B1B0E"/>
    <w:rsid w:val="007B1B7E"/>
    <w:rsid w:val="007B4587"/>
    <w:rsid w:val="007B6D42"/>
    <w:rsid w:val="007C47EA"/>
    <w:rsid w:val="007D5DA7"/>
    <w:rsid w:val="007E25D9"/>
    <w:rsid w:val="007E36D6"/>
    <w:rsid w:val="007F2E42"/>
    <w:rsid w:val="007F43AF"/>
    <w:rsid w:val="007F50D7"/>
    <w:rsid w:val="00801360"/>
    <w:rsid w:val="00805C61"/>
    <w:rsid w:val="00807746"/>
    <w:rsid w:val="00814254"/>
    <w:rsid w:val="00815DCB"/>
    <w:rsid w:val="008225DB"/>
    <w:rsid w:val="008248A6"/>
    <w:rsid w:val="00831694"/>
    <w:rsid w:val="00843769"/>
    <w:rsid w:val="008506B5"/>
    <w:rsid w:val="00850C39"/>
    <w:rsid w:val="008525D3"/>
    <w:rsid w:val="00855DF1"/>
    <w:rsid w:val="00857545"/>
    <w:rsid w:val="00861DAA"/>
    <w:rsid w:val="008627D7"/>
    <w:rsid w:val="008746E3"/>
    <w:rsid w:val="00876B0A"/>
    <w:rsid w:val="00877C69"/>
    <w:rsid w:val="00895D8F"/>
    <w:rsid w:val="008A2A31"/>
    <w:rsid w:val="008B4AA4"/>
    <w:rsid w:val="008D33BC"/>
    <w:rsid w:val="008F3693"/>
    <w:rsid w:val="00900395"/>
    <w:rsid w:val="00912BE2"/>
    <w:rsid w:val="009337DE"/>
    <w:rsid w:val="009412DC"/>
    <w:rsid w:val="00946764"/>
    <w:rsid w:val="009470EE"/>
    <w:rsid w:val="00950492"/>
    <w:rsid w:val="009508DB"/>
    <w:rsid w:val="00953651"/>
    <w:rsid w:val="0097360F"/>
    <w:rsid w:val="0097794D"/>
    <w:rsid w:val="009806F4"/>
    <w:rsid w:val="00983672"/>
    <w:rsid w:val="0099425E"/>
    <w:rsid w:val="00994D7C"/>
    <w:rsid w:val="009973A0"/>
    <w:rsid w:val="00997DED"/>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27EE8"/>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6057F"/>
    <w:rsid w:val="00B7440E"/>
    <w:rsid w:val="00B74A45"/>
    <w:rsid w:val="00B77614"/>
    <w:rsid w:val="00B77BA6"/>
    <w:rsid w:val="00B803E8"/>
    <w:rsid w:val="00B82969"/>
    <w:rsid w:val="00B93E8A"/>
    <w:rsid w:val="00BA345E"/>
    <w:rsid w:val="00BA3619"/>
    <w:rsid w:val="00BD2524"/>
    <w:rsid w:val="00BD2B4A"/>
    <w:rsid w:val="00BD5DC3"/>
    <w:rsid w:val="00BE5E78"/>
    <w:rsid w:val="00BE7033"/>
    <w:rsid w:val="00BE78AC"/>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B0EB8"/>
    <w:rsid w:val="00CB304C"/>
    <w:rsid w:val="00CC1987"/>
    <w:rsid w:val="00CC2CBF"/>
    <w:rsid w:val="00CE04E6"/>
    <w:rsid w:val="00CE48BB"/>
    <w:rsid w:val="00CE5074"/>
    <w:rsid w:val="00CE5D6F"/>
    <w:rsid w:val="00CE7951"/>
    <w:rsid w:val="00D07DFC"/>
    <w:rsid w:val="00D20D41"/>
    <w:rsid w:val="00D23F70"/>
    <w:rsid w:val="00D34B7D"/>
    <w:rsid w:val="00D375F8"/>
    <w:rsid w:val="00D46008"/>
    <w:rsid w:val="00D47AA9"/>
    <w:rsid w:val="00D558AC"/>
    <w:rsid w:val="00D67DBB"/>
    <w:rsid w:val="00D77EC5"/>
    <w:rsid w:val="00D84846"/>
    <w:rsid w:val="00D9379A"/>
    <w:rsid w:val="00DA1EAA"/>
    <w:rsid w:val="00DD08EC"/>
    <w:rsid w:val="00DD335F"/>
    <w:rsid w:val="00DD5582"/>
    <w:rsid w:val="00DE4D9F"/>
    <w:rsid w:val="00DE6EE9"/>
    <w:rsid w:val="00DF0DD8"/>
    <w:rsid w:val="00E00707"/>
    <w:rsid w:val="00E0448B"/>
    <w:rsid w:val="00E07A45"/>
    <w:rsid w:val="00E1125C"/>
    <w:rsid w:val="00E310A1"/>
    <w:rsid w:val="00E40FED"/>
    <w:rsid w:val="00E542E2"/>
    <w:rsid w:val="00E66C41"/>
    <w:rsid w:val="00E67A71"/>
    <w:rsid w:val="00E7538C"/>
    <w:rsid w:val="00E83AFF"/>
    <w:rsid w:val="00E9255D"/>
    <w:rsid w:val="00E92AE9"/>
    <w:rsid w:val="00E94834"/>
    <w:rsid w:val="00E964DB"/>
    <w:rsid w:val="00EA41DB"/>
    <w:rsid w:val="00EB5010"/>
    <w:rsid w:val="00EB56C7"/>
    <w:rsid w:val="00ED3E07"/>
    <w:rsid w:val="00EE4B47"/>
    <w:rsid w:val="00EE55C1"/>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UnresolvedMention1">
    <w:name w:val="Unresolved Mention1"/>
    <w:basedOn w:val="DefaultParagraphFont"/>
    <w:uiPriority w:val="99"/>
    <w:semiHidden/>
    <w:unhideWhenUsed/>
    <w:rsid w:val="00553FD8"/>
    <w:rPr>
      <w:color w:val="605E5C"/>
      <w:shd w:val="clear" w:color="auto" w:fill="E1DFDD"/>
    </w:rPr>
  </w:style>
  <w:style w:type="character" w:styleId="FollowedHyperlink">
    <w:name w:val="FollowedHyperlink"/>
    <w:basedOn w:val="DefaultParagraphFont"/>
    <w:uiPriority w:val="99"/>
    <w:semiHidden/>
    <w:unhideWhenUsed/>
    <w:rsid w:val="00877C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org/docs/early-learning-primer.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s.org/docs/early-learning-primer.pdf" TargetMode="External"/><Relationship Id="rId12" Type="http://schemas.openxmlformats.org/officeDocument/2006/relationships/hyperlink" Target="http://dx.doi.org/10.1080/02568543.2016.12732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sl.org/research/human-services/new-research-early-education-as-economic-investme.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cs.org/docs/early-learning-primer.pdf." TargetMode="External"/><Relationship Id="rId4" Type="http://schemas.openxmlformats.org/officeDocument/2006/relationships/webSettings" Target="webSettings.xml"/><Relationship Id="rId9" Type="http://schemas.openxmlformats.org/officeDocument/2006/relationships/hyperlink" Target="http://www.ecs.org/docs/early-learning-prime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3</cp:revision>
  <cp:lastPrinted>2016-11-02T18:37:00Z</cp:lastPrinted>
  <dcterms:created xsi:type="dcterms:W3CDTF">2022-12-05T15:28:00Z</dcterms:created>
  <dcterms:modified xsi:type="dcterms:W3CDTF">2022-12-05T15:57:00Z</dcterms:modified>
</cp:coreProperties>
</file>