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FE" w:rsidRDefault="00425DFE" w:rsidP="0072484F">
      <w:pPr>
        <w:spacing w:line="240" w:lineRule="auto"/>
        <w:jc w:val="center"/>
        <w:rPr>
          <w:b/>
          <w:sz w:val="16"/>
        </w:rPr>
      </w:pPr>
    </w:p>
    <w:p w:rsidR="002A1AEB" w:rsidRDefault="002A1AEB" w:rsidP="002A1AEB">
      <w:pPr>
        <w:spacing w:line="240" w:lineRule="auto"/>
        <w:jc w:val="center"/>
        <w:rPr>
          <w:b/>
          <w:sz w:val="16"/>
        </w:rPr>
      </w:pPr>
    </w:p>
    <w:p w:rsidR="00BC02D1" w:rsidRPr="00425DFE" w:rsidRDefault="00720F0C" w:rsidP="0072484F">
      <w:pPr>
        <w:spacing w:line="240" w:lineRule="auto"/>
        <w:jc w:val="center"/>
        <w:rPr>
          <w:b/>
          <w:sz w:val="28"/>
        </w:rPr>
      </w:pPr>
      <w:r w:rsidRPr="00425DFE">
        <w:rPr>
          <w:b/>
          <w:sz w:val="28"/>
        </w:rPr>
        <w:t>Better School Funding Helps Property Tax Payers</w:t>
      </w:r>
    </w:p>
    <w:p w:rsidR="00BC02D1" w:rsidRDefault="00720F0C" w:rsidP="0072484F">
      <w:pPr>
        <w:spacing w:line="240" w:lineRule="auto"/>
      </w:pPr>
      <w:r>
        <w:t>Two aspects of the school funding formula impact property taxes: how many students a district has and how much each student generates in funding.</w:t>
      </w:r>
    </w:p>
    <w:p w:rsidR="008E0305" w:rsidRPr="002D1031" w:rsidRDefault="00720F0C" w:rsidP="002D1031">
      <w:pPr>
        <w:spacing w:line="240" w:lineRule="auto"/>
      </w:pPr>
      <w:r>
        <w:rPr>
          <w:b/>
        </w:rPr>
        <w:t>How the formula works:</w:t>
      </w:r>
      <w:r w:rsidR="00425DFE">
        <w:t xml:space="preserve"> </w:t>
      </w:r>
      <w:r>
        <w:t xml:space="preserve">Districts count </w:t>
      </w:r>
      <w:r w:rsidR="0072484F">
        <w:t xml:space="preserve">students </w:t>
      </w:r>
      <w:r>
        <w:t xml:space="preserve">on Oct. </w:t>
      </w:r>
      <w:proofErr w:type="gramStart"/>
      <w:r>
        <w:t>1.</w:t>
      </w:r>
      <w:proofErr w:type="gramEnd"/>
      <w:r w:rsidR="00425DFE">
        <w:t xml:space="preserve"> </w:t>
      </w:r>
      <w:r>
        <w:t>The Legislature sets a percentage increase in the state cost per pupil, known as state supplementary assistance (SSA).</w:t>
      </w:r>
      <w:r w:rsidR="00425DFE">
        <w:t xml:space="preserve"> </w:t>
      </w:r>
      <w:r>
        <w:t xml:space="preserve">The new </w:t>
      </w:r>
      <w:r w:rsidR="0072484F">
        <w:t xml:space="preserve">per pupil </w:t>
      </w:r>
      <w:r>
        <w:t xml:space="preserve">cost is multiplied by the enrollment number, which forms the regular program budget for the next school year. </w:t>
      </w:r>
    </w:p>
    <w:tbl>
      <w:tblPr>
        <w:tblStyle w:val="TableGrid"/>
        <w:tblpPr w:leftFromText="180" w:rightFromText="180" w:vertAnchor="text" w:horzAnchor="margin" w:tblpXSpec="right" w:tblpY="1774"/>
        <w:tblW w:w="6400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345"/>
        <w:gridCol w:w="1445"/>
        <w:gridCol w:w="1625"/>
      </w:tblGrid>
      <w:tr w:rsidR="00160584" w:rsidTr="0016058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160584" w:rsidRPr="002D1031" w:rsidRDefault="00160584" w:rsidP="001605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SSA</w:t>
            </w:r>
          </w:p>
        </w:tc>
        <w:tc>
          <w:tcPr>
            <w:tcW w:w="1345" w:type="dxa"/>
            <w:tcBorders>
              <w:top w:val="single" w:sz="4" w:space="0" w:color="auto"/>
              <w:bottom w:val="nil"/>
            </w:tcBorders>
            <w:vAlign w:val="bottom"/>
          </w:tcPr>
          <w:p w:rsidR="00160584" w:rsidRPr="002D1031" w:rsidRDefault="00160584" w:rsidP="001605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 Pupil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</w:tcBorders>
            <w:vAlign w:val="bottom"/>
          </w:tcPr>
          <w:p w:rsidR="00160584" w:rsidRPr="002D1031" w:rsidRDefault="00160584" w:rsidP="001605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Budget Guarantee</w:t>
            </w:r>
          </w:p>
        </w:tc>
      </w:tr>
      <w:tr w:rsidR="00160584" w:rsidTr="00160584">
        <w:tc>
          <w:tcPr>
            <w:tcW w:w="1985" w:type="dxa"/>
            <w:tcBorders>
              <w:top w:val="nil"/>
              <w:left w:val="single" w:sz="4" w:space="0" w:color="auto"/>
            </w:tcBorders>
            <w:vAlign w:val="bottom"/>
          </w:tcPr>
          <w:p w:rsidR="00160584" w:rsidRPr="002D1031" w:rsidRDefault="00160584" w:rsidP="00160584">
            <w:pPr>
              <w:jc w:val="center"/>
              <w:rPr>
                <w:b/>
                <w:sz w:val="18"/>
              </w:rPr>
            </w:pPr>
            <w:r w:rsidRPr="002D1031">
              <w:rPr>
                <w:b/>
                <w:sz w:val="18"/>
              </w:rPr>
              <w:t>Scenarios</w:t>
            </w:r>
          </w:p>
        </w:tc>
        <w:tc>
          <w:tcPr>
            <w:tcW w:w="1345" w:type="dxa"/>
            <w:tcBorders>
              <w:top w:val="nil"/>
            </w:tcBorders>
            <w:vAlign w:val="bottom"/>
          </w:tcPr>
          <w:p w:rsidR="00160584" w:rsidRPr="002D1031" w:rsidRDefault="00160584" w:rsidP="00160584">
            <w:pPr>
              <w:jc w:val="center"/>
              <w:rPr>
                <w:b/>
                <w:sz w:val="18"/>
              </w:rPr>
            </w:pPr>
            <w:r w:rsidRPr="002D1031">
              <w:rPr>
                <w:b/>
                <w:sz w:val="18"/>
              </w:rPr>
              <w:t>Increase (SSA)</w:t>
            </w:r>
          </w:p>
        </w:tc>
        <w:tc>
          <w:tcPr>
            <w:tcW w:w="1445" w:type="dxa"/>
            <w:tcBorders>
              <w:top w:val="nil"/>
            </w:tcBorders>
            <w:vAlign w:val="bottom"/>
          </w:tcPr>
          <w:p w:rsidR="00160584" w:rsidRPr="002D1031" w:rsidRDefault="00160584" w:rsidP="00160584">
            <w:pPr>
              <w:jc w:val="center"/>
              <w:rPr>
                <w:b/>
                <w:sz w:val="18"/>
              </w:rPr>
            </w:pPr>
            <w:r w:rsidRPr="002D1031">
              <w:rPr>
                <w:b/>
                <w:sz w:val="18"/>
              </w:rPr>
              <w:t># of Di</w:t>
            </w:r>
            <w:r>
              <w:rPr>
                <w:b/>
                <w:sz w:val="18"/>
              </w:rPr>
              <w:t>stricts</w:t>
            </w:r>
          </w:p>
        </w:tc>
        <w:tc>
          <w:tcPr>
            <w:tcW w:w="1625" w:type="dxa"/>
            <w:tcBorders>
              <w:top w:val="nil"/>
            </w:tcBorders>
            <w:vAlign w:val="bottom"/>
          </w:tcPr>
          <w:p w:rsidR="00160584" w:rsidRPr="002D1031" w:rsidRDefault="00160584" w:rsidP="00160584">
            <w:pPr>
              <w:jc w:val="center"/>
              <w:rPr>
                <w:b/>
                <w:sz w:val="18"/>
              </w:rPr>
            </w:pPr>
            <w:r w:rsidRPr="002D1031">
              <w:rPr>
                <w:b/>
                <w:sz w:val="18"/>
              </w:rPr>
              <w:t>Property Taxes</w:t>
            </w:r>
          </w:p>
        </w:tc>
      </w:tr>
      <w:tr w:rsidR="00160584" w:rsidTr="00160584"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160584" w:rsidRPr="002D1031" w:rsidRDefault="00160584" w:rsidP="00160584">
            <w:pPr>
              <w:jc w:val="center"/>
              <w:rPr>
                <w:sz w:val="18"/>
              </w:rPr>
            </w:pPr>
            <w:r w:rsidRPr="002D1031">
              <w:rPr>
                <w:sz w:val="18"/>
              </w:rPr>
              <w:t>FY 2021 Current</w:t>
            </w:r>
          </w:p>
        </w:tc>
        <w:tc>
          <w:tcPr>
            <w:tcW w:w="1345" w:type="dxa"/>
            <w:vAlign w:val="bottom"/>
          </w:tcPr>
          <w:p w:rsidR="00160584" w:rsidRPr="002D1031" w:rsidRDefault="00160584" w:rsidP="00160584">
            <w:pPr>
              <w:jc w:val="center"/>
              <w:rPr>
                <w:sz w:val="18"/>
              </w:rPr>
            </w:pPr>
            <w:r w:rsidRPr="002D1031">
              <w:rPr>
                <w:sz w:val="18"/>
              </w:rPr>
              <w:t>2.3%</w:t>
            </w:r>
          </w:p>
        </w:tc>
        <w:tc>
          <w:tcPr>
            <w:tcW w:w="1445" w:type="dxa"/>
            <w:vAlign w:val="bottom"/>
          </w:tcPr>
          <w:p w:rsidR="00160584" w:rsidRPr="002D1031" w:rsidRDefault="00160584" w:rsidP="00160584">
            <w:pPr>
              <w:jc w:val="center"/>
              <w:rPr>
                <w:sz w:val="18"/>
              </w:rPr>
            </w:pPr>
            <w:r w:rsidRPr="002D1031">
              <w:rPr>
                <w:sz w:val="18"/>
              </w:rPr>
              <w:t>106</w:t>
            </w:r>
          </w:p>
        </w:tc>
        <w:tc>
          <w:tcPr>
            <w:tcW w:w="1625" w:type="dxa"/>
            <w:vAlign w:val="bottom"/>
          </w:tcPr>
          <w:p w:rsidR="00160584" w:rsidRPr="002D1031" w:rsidRDefault="00160584" w:rsidP="00160584">
            <w:pPr>
              <w:jc w:val="center"/>
              <w:rPr>
                <w:sz w:val="18"/>
              </w:rPr>
            </w:pPr>
            <w:r w:rsidRPr="002D1031">
              <w:rPr>
                <w:sz w:val="18"/>
              </w:rPr>
              <w:t>$</w:t>
            </w:r>
            <w:r w:rsidR="00425DFE">
              <w:rPr>
                <w:sz w:val="18"/>
              </w:rPr>
              <w:t xml:space="preserve"> </w:t>
            </w:r>
            <w:r w:rsidRPr="002D1031">
              <w:rPr>
                <w:sz w:val="18"/>
              </w:rPr>
              <w:t>8.3 million</w:t>
            </w:r>
          </w:p>
        </w:tc>
      </w:tr>
      <w:tr w:rsidR="00160584" w:rsidTr="00160584"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160584" w:rsidRPr="002D1031" w:rsidRDefault="00160584" w:rsidP="00160584">
            <w:pPr>
              <w:jc w:val="center"/>
              <w:rPr>
                <w:sz w:val="18"/>
              </w:rPr>
            </w:pPr>
            <w:r w:rsidRPr="002D1031">
              <w:rPr>
                <w:sz w:val="18"/>
              </w:rPr>
              <w:t>Senate FY 2022</w:t>
            </w:r>
          </w:p>
        </w:tc>
        <w:tc>
          <w:tcPr>
            <w:tcW w:w="1345" w:type="dxa"/>
            <w:vAlign w:val="bottom"/>
          </w:tcPr>
          <w:p w:rsidR="00160584" w:rsidRPr="002D1031" w:rsidRDefault="00160584" w:rsidP="00160584">
            <w:pPr>
              <w:jc w:val="center"/>
              <w:rPr>
                <w:sz w:val="18"/>
              </w:rPr>
            </w:pPr>
            <w:r w:rsidRPr="002D1031">
              <w:rPr>
                <w:sz w:val="18"/>
              </w:rPr>
              <w:t>2.2%</w:t>
            </w:r>
          </w:p>
        </w:tc>
        <w:tc>
          <w:tcPr>
            <w:tcW w:w="1445" w:type="dxa"/>
            <w:vAlign w:val="bottom"/>
          </w:tcPr>
          <w:p w:rsidR="00160584" w:rsidRPr="002D1031" w:rsidRDefault="00160584" w:rsidP="00160584">
            <w:pPr>
              <w:jc w:val="center"/>
              <w:rPr>
                <w:sz w:val="18"/>
              </w:rPr>
            </w:pPr>
            <w:r w:rsidRPr="002D1031">
              <w:rPr>
                <w:sz w:val="18"/>
              </w:rPr>
              <w:t>145</w:t>
            </w:r>
          </w:p>
        </w:tc>
        <w:tc>
          <w:tcPr>
            <w:tcW w:w="1625" w:type="dxa"/>
            <w:vAlign w:val="bottom"/>
          </w:tcPr>
          <w:p w:rsidR="00160584" w:rsidRPr="002D1031" w:rsidRDefault="00160584" w:rsidP="00160584">
            <w:pPr>
              <w:jc w:val="center"/>
              <w:rPr>
                <w:sz w:val="18"/>
              </w:rPr>
            </w:pPr>
            <w:r w:rsidRPr="002D1031">
              <w:rPr>
                <w:sz w:val="18"/>
              </w:rPr>
              <w:t>$31.2 million</w:t>
            </w:r>
          </w:p>
        </w:tc>
      </w:tr>
      <w:tr w:rsidR="00160584" w:rsidTr="00160584"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160584" w:rsidRPr="002D1031" w:rsidRDefault="00160584" w:rsidP="00160584">
            <w:pPr>
              <w:jc w:val="center"/>
              <w:rPr>
                <w:sz w:val="18"/>
              </w:rPr>
            </w:pPr>
            <w:r w:rsidRPr="002D1031">
              <w:rPr>
                <w:sz w:val="18"/>
              </w:rPr>
              <w:t>House FY 2022</w:t>
            </w:r>
          </w:p>
        </w:tc>
        <w:tc>
          <w:tcPr>
            <w:tcW w:w="1345" w:type="dxa"/>
            <w:vAlign w:val="bottom"/>
          </w:tcPr>
          <w:p w:rsidR="00160584" w:rsidRPr="002D1031" w:rsidRDefault="00160584" w:rsidP="00160584">
            <w:pPr>
              <w:jc w:val="center"/>
              <w:rPr>
                <w:sz w:val="18"/>
              </w:rPr>
            </w:pPr>
            <w:r w:rsidRPr="002D1031">
              <w:rPr>
                <w:sz w:val="18"/>
              </w:rPr>
              <w:t>2.5%</w:t>
            </w:r>
          </w:p>
        </w:tc>
        <w:tc>
          <w:tcPr>
            <w:tcW w:w="1445" w:type="dxa"/>
            <w:vAlign w:val="bottom"/>
          </w:tcPr>
          <w:p w:rsidR="00160584" w:rsidRPr="002D1031" w:rsidRDefault="00160584" w:rsidP="00160584">
            <w:pPr>
              <w:jc w:val="center"/>
              <w:rPr>
                <w:sz w:val="18"/>
              </w:rPr>
            </w:pPr>
            <w:r w:rsidRPr="002D1031">
              <w:rPr>
                <w:sz w:val="18"/>
              </w:rPr>
              <w:t>137</w:t>
            </w:r>
          </w:p>
        </w:tc>
        <w:tc>
          <w:tcPr>
            <w:tcW w:w="1625" w:type="dxa"/>
            <w:vAlign w:val="bottom"/>
          </w:tcPr>
          <w:p w:rsidR="00160584" w:rsidRPr="002D1031" w:rsidRDefault="00160584" w:rsidP="00160584">
            <w:pPr>
              <w:jc w:val="center"/>
              <w:rPr>
                <w:sz w:val="18"/>
              </w:rPr>
            </w:pPr>
            <w:r w:rsidRPr="002D1031">
              <w:rPr>
                <w:sz w:val="18"/>
              </w:rPr>
              <w:t>$25.9 million</w:t>
            </w:r>
          </w:p>
        </w:tc>
      </w:tr>
      <w:tr w:rsidR="00160584" w:rsidTr="00160584"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60584" w:rsidRPr="002D1031" w:rsidRDefault="00160584" w:rsidP="00160584">
            <w:pPr>
              <w:jc w:val="center"/>
              <w:rPr>
                <w:sz w:val="18"/>
              </w:rPr>
            </w:pPr>
            <w:r w:rsidRPr="002D1031">
              <w:rPr>
                <w:sz w:val="18"/>
              </w:rPr>
              <w:t>RSAI Request FY 2022</w:t>
            </w:r>
          </w:p>
        </w:tc>
        <w:tc>
          <w:tcPr>
            <w:tcW w:w="1345" w:type="dxa"/>
            <w:vAlign w:val="bottom"/>
          </w:tcPr>
          <w:p w:rsidR="00160584" w:rsidRPr="002D1031" w:rsidRDefault="00160584" w:rsidP="00160584">
            <w:pPr>
              <w:jc w:val="center"/>
              <w:rPr>
                <w:sz w:val="18"/>
              </w:rPr>
            </w:pPr>
            <w:r w:rsidRPr="002D1031">
              <w:rPr>
                <w:sz w:val="18"/>
              </w:rPr>
              <w:t>3.75%</w:t>
            </w:r>
          </w:p>
        </w:tc>
        <w:tc>
          <w:tcPr>
            <w:tcW w:w="1445" w:type="dxa"/>
            <w:vAlign w:val="bottom"/>
          </w:tcPr>
          <w:p w:rsidR="00160584" w:rsidRPr="002D1031" w:rsidRDefault="00160584" w:rsidP="00160584">
            <w:pPr>
              <w:jc w:val="center"/>
              <w:rPr>
                <w:sz w:val="18"/>
              </w:rPr>
            </w:pPr>
            <w:r w:rsidRPr="002D1031">
              <w:rPr>
                <w:sz w:val="18"/>
              </w:rPr>
              <w:t>85</w:t>
            </w:r>
          </w:p>
        </w:tc>
        <w:tc>
          <w:tcPr>
            <w:tcW w:w="1625" w:type="dxa"/>
            <w:vAlign w:val="bottom"/>
          </w:tcPr>
          <w:p w:rsidR="00160584" w:rsidRPr="002D1031" w:rsidRDefault="00160584" w:rsidP="00160584">
            <w:pPr>
              <w:jc w:val="center"/>
              <w:rPr>
                <w:sz w:val="18"/>
              </w:rPr>
            </w:pPr>
            <w:r w:rsidRPr="002D1031">
              <w:rPr>
                <w:sz w:val="18"/>
              </w:rPr>
              <w:t>$</w:t>
            </w:r>
            <w:r w:rsidR="00425DFE">
              <w:rPr>
                <w:sz w:val="18"/>
              </w:rPr>
              <w:t xml:space="preserve"> </w:t>
            </w:r>
            <w:r w:rsidRPr="002D1031">
              <w:rPr>
                <w:sz w:val="18"/>
              </w:rPr>
              <w:t>9.5 million</w:t>
            </w:r>
          </w:p>
        </w:tc>
      </w:tr>
    </w:tbl>
    <w:p w:rsidR="0072484F" w:rsidRDefault="00720F0C" w:rsidP="0072484F">
      <w:pPr>
        <w:spacing w:line="240" w:lineRule="auto"/>
      </w:pPr>
      <w:r>
        <w:rPr>
          <w:b/>
        </w:rPr>
        <w:t>Budget Guarantee:</w:t>
      </w:r>
      <w:r>
        <w:t xml:space="preserve"> </w:t>
      </w:r>
      <w:r w:rsidR="00425DFE">
        <w:t>I</w:t>
      </w:r>
      <w:r>
        <w:t>f there are fewer pupils and the new state cost per pupil multiplied by the enrollment would otherwise mean less money, there is a provision called the budget guarantee. The budget guarantee cushions the decline in resources for one year.</w:t>
      </w:r>
      <w:r w:rsidR="00425DFE">
        <w:t xml:space="preserve"> </w:t>
      </w:r>
      <w:r>
        <w:t>The budget guarantee is equal to the difference between the regular program budget (enrollment X State cost per pupil) and 101% of the prior year’s regular program budget.</w:t>
      </w:r>
      <w:r w:rsidR="00425DFE">
        <w:t xml:space="preserve"> </w:t>
      </w:r>
      <w:r>
        <w:t>It’s recalculated every year.</w:t>
      </w:r>
      <w:r w:rsidR="00425DFE">
        <w:t xml:space="preserve"> </w:t>
      </w:r>
    </w:p>
    <w:p w:rsidR="008E0305" w:rsidRDefault="00720F0C" w:rsidP="0072484F">
      <w:pPr>
        <w:spacing w:line="240" w:lineRule="auto"/>
      </w:pPr>
      <w:r>
        <w:t>This chart shows the relationship between SSA and the budget guarantee.</w:t>
      </w:r>
      <w:r w:rsidR="00425DFE">
        <w:t xml:space="preserve"> </w:t>
      </w:r>
      <w:r>
        <w:t xml:space="preserve">A higher SSA rate benefits the school district with a bigger budget and lowers the local property taxpayers burden to pay for the budget guarantee. </w:t>
      </w:r>
    </w:p>
    <w:p w:rsidR="00BC02D1" w:rsidRDefault="00B41589" w:rsidP="007D50CA">
      <w:pPr>
        <w:spacing w:before="240" w:line="240" w:lineRule="auto"/>
      </w:pPr>
      <w:r w:rsidRPr="00B41589">
        <w:rPr>
          <w:b/>
        </w:rPr>
        <w:t>Special Education Deficits:</w:t>
      </w:r>
      <w:r>
        <w:t xml:space="preserve"> </w:t>
      </w:r>
      <w:r w:rsidR="0072484F">
        <w:t>Funding for s</w:t>
      </w:r>
      <w:r w:rsidR="00720F0C">
        <w:t xml:space="preserve">tudents requiring special education services </w:t>
      </w:r>
      <w:r w:rsidR="0072484F">
        <w:t>is weighted</w:t>
      </w:r>
      <w:r w:rsidR="00720F0C">
        <w:t xml:space="preserve"> based on the services required in their In</w:t>
      </w:r>
      <w:r>
        <w:t xml:space="preserve">dividual Education Plan (IEP). </w:t>
      </w:r>
      <w:r w:rsidR="00720F0C">
        <w:t>Those weightings are multiplied by the state cost per pupil and accumulate to fund special education.</w:t>
      </w:r>
      <w:r w:rsidR="00425DFE">
        <w:t xml:space="preserve"> </w:t>
      </w:r>
      <w:r w:rsidR="00720F0C">
        <w:t xml:space="preserve">Regardless of the revenues generated by the </w:t>
      </w:r>
      <w:r w:rsidR="0072484F">
        <w:t>formula</w:t>
      </w:r>
      <w:r w:rsidR="00720F0C">
        <w:t xml:space="preserve">, the district is required to provide the services. </w:t>
      </w:r>
    </w:p>
    <w:p w:rsidR="00BC02D1" w:rsidRDefault="0072484F" w:rsidP="00724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0" w:name="_gjdgxs" w:colFirst="0" w:colLast="0"/>
      <w:bookmarkEnd w:id="0"/>
      <w:r>
        <w:rPr>
          <w:color w:val="000000"/>
        </w:rPr>
        <w:t xml:space="preserve">If </w:t>
      </w:r>
      <w:r w:rsidR="00720F0C">
        <w:rPr>
          <w:color w:val="000000"/>
        </w:rPr>
        <w:t xml:space="preserve">services </w:t>
      </w:r>
      <w:r>
        <w:rPr>
          <w:color w:val="000000"/>
        </w:rPr>
        <w:t xml:space="preserve">cost less </w:t>
      </w:r>
      <w:r w:rsidR="00720F0C">
        <w:rPr>
          <w:color w:val="000000"/>
        </w:rPr>
        <w:t xml:space="preserve">than </w:t>
      </w:r>
      <w:r>
        <w:rPr>
          <w:color w:val="000000"/>
        </w:rPr>
        <w:t xml:space="preserve">what </w:t>
      </w:r>
      <w:r w:rsidR="00720F0C">
        <w:rPr>
          <w:color w:val="000000"/>
        </w:rPr>
        <w:t xml:space="preserve">is generated by the formula, there is a surplus. The district </w:t>
      </w:r>
      <w:r>
        <w:rPr>
          <w:color w:val="000000"/>
        </w:rPr>
        <w:t>keeps</w:t>
      </w:r>
      <w:r w:rsidR="00720F0C">
        <w:rPr>
          <w:color w:val="000000"/>
        </w:rPr>
        <w:t xml:space="preserve"> 10% of that </w:t>
      </w:r>
      <w:r>
        <w:rPr>
          <w:color w:val="000000"/>
        </w:rPr>
        <w:t>to</w:t>
      </w:r>
      <w:r w:rsidR="00720F0C">
        <w:rPr>
          <w:color w:val="000000"/>
        </w:rPr>
        <w:t xml:space="preserve"> use for next year’s special education services.</w:t>
      </w:r>
      <w:r w:rsidR="00425DFE">
        <w:rPr>
          <w:color w:val="000000"/>
        </w:rPr>
        <w:t xml:space="preserve"> </w:t>
      </w:r>
    </w:p>
    <w:p w:rsidR="00B41589" w:rsidRPr="00B41589" w:rsidRDefault="0072484F" w:rsidP="008171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B41589">
        <w:rPr>
          <w:color w:val="000000"/>
        </w:rPr>
        <w:t>If services cost more than what is</w:t>
      </w:r>
      <w:r w:rsidR="00720F0C" w:rsidRPr="00B41589">
        <w:rPr>
          <w:color w:val="000000"/>
        </w:rPr>
        <w:t xml:space="preserve"> generated </w:t>
      </w:r>
      <w:r w:rsidRPr="00B41589">
        <w:rPr>
          <w:color w:val="000000"/>
        </w:rPr>
        <w:t>by</w:t>
      </w:r>
      <w:r w:rsidR="00720F0C" w:rsidRPr="00B41589">
        <w:rPr>
          <w:color w:val="000000"/>
        </w:rPr>
        <w:t xml:space="preserve"> the formula, there is a special education deficit. </w:t>
      </w:r>
      <w:r w:rsidR="00B41589" w:rsidRPr="00B41589">
        <w:rPr>
          <w:color w:val="000000"/>
        </w:rPr>
        <w:t>T</w:t>
      </w:r>
      <w:r w:rsidR="00720F0C" w:rsidRPr="00B41589">
        <w:rPr>
          <w:color w:val="000000"/>
        </w:rPr>
        <w:t>he School Budget Review Committee</w:t>
      </w:r>
      <w:r w:rsidR="00B41589" w:rsidRPr="00B41589">
        <w:rPr>
          <w:color w:val="000000"/>
        </w:rPr>
        <w:t xml:space="preserve"> grants spending authority for the deficit</w:t>
      </w:r>
      <w:r w:rsidR="00720F0C" w:rsidRPr="00B41589">
        <w:rPr>
          <w:color w:val="000000"/>
        </w:rPr>
        <w:t>, which allows the district to use cash reserves</w:t>
      </w:r>
      <w:r w:rsidRPr="00B41589">
        <w:rPr>
          <w:color w:val="000000"/>
        </w:rPr>
        <w:t xml:space="preserve"> (property taxes)</w:t>
      </w:r>
      <w:r w:rsidR="00720F0C" w:rsidRPr="00B41589">
        <w:rPr>
          <w:color w:val="000000"/>
        </w:rPr>
        <w:t xml:space="preserve"> to pay for the deficit.</w:t>
      </w:r>
      <w:r w:rsidR="00425DFE">
        <w:rPr>
          <w:color w:val="000000"/>
        </w:rPr>
        <w:t xml:space="preserve"> </w:t>
      </w:r>
    </w:p>
    <w:p w:rsidR="00BC02D1" w:rsidRDefault="0072484F" w:rsidP="00B41589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Special e</w:t>
      </w:r>
      <w:r w:rsidR="00720F0C">
        <w:t xml:space="preserve">ducation </w:t>
      </w:r>
      <w:r>
        <w:t>d</w:t>
      </w:r>
      <w:r w:rsidR="00720F0C">
        <w:t xml:space="preserve">eficits were more stable on a statewide basis in the </w:t>
      </w:r>
      <w:r>
        <w:t>19</w:t>
      </w:r>
      <w:r w:rsidR="00720F0C">
        <w:t>90s and 2000s.</w:t>
      </w:r>
      <w:r w:rsidR="00425DFE">
        <w:t xml:space="preserve"> </w:t>
      </w:r>
      <w:r w:rsidR="00720F0C">
        <w:t>District deficits improved in 2010 and 2011 when federal stimulus funds were required to be spent on IDEA special education purposes.</w:t>
      </w:r>
      <w:r w:rsidR="00425DFE">
        <w:t xml:space="preserve"> </w:t>
      </w:r>
      <w:r w:rsidR="00720F0C">
        <w:t xml:space="preserve">Since 2013, however, with a decade of low per pupil increases in the formula, the cost of special education has been </w:t>
      </w:r>
      <w:r>
        <w:t>increasingly paid by</w:t>
      </w:r>
      <w:r w:rsidR="00720F0C">
        <w:t xml:space="preserve"> local property tax</w:t>
      </w:r>
      <w:r>
        <w:t>es</w:t>
      </w:r>
      <w:r w:rsidR="00720F0C">
        <w:t>.</w:t>
      </w:r>
      <w:r w:rsidR="00425DFE">
        <w:t xml:space="preserve"> </w:t>
      </w:r>
      <w:r>
        <w:t>Districts</w:t>
      </w:r>
      <w:r w:rsidR="00720F0C">
        <w:t xml:space="preserve"> have expanded Medicaid billing for those special education services </w:t>
      </w:r>
      <w:r>
        <w:t>for</w:t>
      </w:r>
      <w:r w:rsidR="00720F0C">
        <w:t xml:space="preserve"> eligible students. Without that $60 million contribution from federal funds, special education deficits would be eve</w:t>
      </w:r>
      <w:bookmarkStart w:id="1" w:name="_GoBack"/>
      <w:bookmarkEnd w:id="1"/>
      <w:r w:rsidR="00720F0C">
        <w:t xml:space="preserve">n worse. </w:t>
      </w:r>
    </w:p>
    <w:tbl>
      <w:tblPr>
        <w:tblStyle w:val="TableGrid"/>
        <w:tblpPr w:leftFromText="180" w:rightFromText="180" w:vertAnchor="text" w:horzAnchor="margin" w:tblpXSpec="center" w:tblpY="377"/>
        <w:tblW w:w="10075" w:type="dxa"/>
        <w:tblLayout w:type="fixed"/>
        <w:tblLook w:val="04A0" w:firstRow="1" w:lastRow="0" w:firstColumn="1" w:lastColumn="0" w:noHBand="0" w:noVBand="1"/>
      </w:tblPr>
      <w:tblGrid>
        <w:gridCol w:w="53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602"/>
        <w:gridCol w:w="630"/>
        <w:gridCol w:w="625"/>
        <w:gridCol w:w="630"/>
        <w:gridCol w:w="630"/>
      </w:tblGrid>
      <w:tr w:rsidR="008E4FCE" w:rsidRPr="00B41589" w:rsidTr="007D50CA">
        <w:tc>
          <w:tcPr>
            <w:tcW w:w="10075" w:type="dxa"/>
            <w:gridSpan w:val="18"/>
            <w:vAlign w:val="bottom"/>
          </w:tcPr>
          <w:p w:rsidR="008E4FCE" w:rsidRPr="008E4FCE" w:rsidRDefault="008E4FCE" w:rsidP="008E4FC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Iowa Statewide </w:t>
            </w:r>
            <w:r w:rsidRPr="008E4FCE">
              <w:rPr>
                <w:b/>
                <w:sz w:val="16"/>
              </w:rPr>
              <w:t>Special Education Deficits</w:t>
            </w:r>
            <w:r>
              <w:rPr>
                <w:b/>
                <w:sz w:val="16"/>
              </w:rPr>
              <w:t xml:space="preserve"> (Dollars</w:t>
            </w:r>
            <w:r w:rsidRPr="008E4FCE">
              <w:rPr>
                <w:b/>
                <w:sz w:val="16"/>
              </w:rPr>
              <w:t xml:space="preserve"> in Millions</w:t>
            </w:r>
            <w:r>
              <w:rPr>
                <w:b/>
                <w:sz w:val="16"/>
              </w:rPr>
              <w:t>)</w:t>
            </w:r>
          </w:p>
        </w:tc>
      </w:tr>
      <w:tr w:rsidR="008E4FCE" w:rsidRPr="00B41589" w:rsidTr="007D50CA">
        <w:tc>
          <w:tcPr>
            <w:tcW w:w="538" w:type="dxa"/>
          </w:tcPr>
          <w:p w:rsidR="008E4FCE" w:rsidRPr="008E4FCE" w:rsidRDefault="008E4FCE" w:rsidP="008E4FCE">
            <w:pPr>
              <w:jc w:val="center"/>
              <w:rPr>
                <w:sz w:val="16"/>
              </w:rPr>
            </w:pPr>
            <w:r w:rsidRPr="008E4FCE">
              <w:rPr>
                <w:sz w:val="16"/>
              </w:rPr>
              <w:t>FY03</w:t>
            </w:r>
          </w:p>
        </w:tc>
        <w:tc>
          <w:tcPr>
            <w:tcW w:w="535" w:type="dxa"/>
          </w:tcPr>
          <w:p w:rsidR="008E4FCE" w:rsidRPr="008E4FCE" w:rsidRDefault="008E4FCE" w:rsidP="008E4FCE">
            <w:pPr>
              <w:jc w:val="center"/>
              <w:rPr>
                <w:sz w:val="16"/>
              </w:rPr>
            </w:pPr>
            <w:r w:rsidRPr="008E4FCE">
              <w:rPr>
                <w:sz w:val="16"/>
              </w:rPr>
              <w:t>FY04</w:t>
            </w:r>
          </w:p>
        </w:tc>
        <w:tc>
          <w:tcPr>
            <w:tcW w:w="535" w:type="dxa"/>
          </w:tcPr>
          <w:p w:rsidR="008E4FCE" w:rsidRPr="008E4FCE" w:rsidRDefault="008E4FCE" w:rsidP="008E4FCE">
            <w:pPr>
              <w:jc w:val="center"/>
              <w:rPr>
                <w:sz w:val="16"/>
              </w:rPr>
            </w:pPr>
            <w:r w:rsidRPr="008E4FCE">
              <w:rPr>
                <w:sz w:val="16"/>
              </w:rPr>
              <w:t>FY05</w:t>
            </w:r>
          </w:p>
        </w:tc>
        <w:tc>
          <w:tcPr>
            <w:tcW w:w="535" w:type="dxa"/>
          </w:tcPr>
          <w:p w:rsidR="008E4FCE" w:rsidRPr="008E4FCE" w:rsidRDefault="008E4FCE" w:rsidP="008E4FCE">
            <w:pPr>
              <w:jc w:val="center"/>
              <w:rPr>
                <w:sz w:val="16"/>
              </w:rPr>
            </w:pPr>
            <w:r w:rsidRPr="008E4FCE">
              <w:rPr>
                <w:sz w:val="16"/>
              </w:rPr>
              <w:t>FY06</w:t>
            </w:r>
          </w:p>
        </w:tc>
        <w:tc>
          <w:tcPr>
            <w:tcW w:w="535" w:type="dxa"/>
          </w:tcPr>
          <w:p w:rsidR="008E4FCE" w:rsidRPr="008E4FCE" w:rsidRDefault="008E4FCE" w:rsidP="008E4FCE">
            <w:pPr>
              <w:jc w:val="center"/>
              <w:rPr>
                <w:sz w:val="16"/>
              </w:rPr>
            </w:pPr>
            <w:r w:rsidRPr="008E4FCE">
              <w:rPr>
                <w:sz w:val="16"/>
              </w:rPr>
              <w:t>FY07</w:t>
            </w:r>
          </w:p>
        </w:tc>
        <w:tc>
          <w:tcPr>
            <w:tcW w:w="535" w:type="dxa"/>
          </w:tcPr>
          <w:p w:rsidR="008E4FCE" w:rsidRPr="008E4FCE" w:rsidRDefault="008E4FCE" w:rsidP="008E4FCE">
            <w:pPr>
              <w:jc w:val="center"/>
              <w:rPr>
                <w:sz w:val="16"/>
              </w:rPr>
            </w:pPr>
            <w:r w:rsidRPr="008E4FCE">
              <w:rPr>
                <w:sz w:val="16"/>
              </w:rPr>
              <w:t>FY08</w:t>
            </w:r>
          </w:p>
        </w:tc>
        <w:tc>
          <w:tcPr>
            <w:tcW w:w="535" w:type="dxa"/>
          </w:tcPr>
          <w:p w:rsidR="008E4FCE" w:rsidRPr="008E4FCE" w:rsidRDefault="008E4FCE" w:rsidP="008E4FCE">
            <w:pPr>
              <w:jc w:val="center"/>
              <w:rPr>
                <w:sz w:val="16"/>
              </w:rPr>
            </w:pPr>
            <w:r w:rsidRPr="008E4FCE">
              <w:rPr>
                <w:sz w:val="16"/>
              </w:rPr>
              <w:t>FY09</w:t>
            </w:r>
          </w:p>
        </w:tc>
        <w:tc>
          <w:tcPr>
            <w:tcW w:w="535" w:type="dxa"/>
          </w:tcPr>
          <w:p w:rsidR="008E4FCE" w:rsidRPr="008E4FCE" w:rsidRDefault="008E4FCE" w:rsidP="008E4FCE">
            <w:pPr>
              <w:jc w:val="center"/>
              <w:rPr>
                <w:sz w:val="16"/>
              </w:rPr>
            </w:pPr>
            <w:r w:rsidRPr="008E4FCE">
              <w:rPr>
                <w:sz w:val="16"/>
              </w:rPr>
              <w:t>FY10</w:t>
            </w:r>
          </w:p>
        </w:tc>
        <w:tc>
          <w:tcPr>
            <w:tcW w:w="535" w:type="dxa"/>
          </w:tcPr>
          <w:p w:rsidR="008E4FCE" w:rsidRPr="008E4FCE" w:rsidRDefault="008E4FCE" w:rsidP="008E4FCE">
            <w:pPr>
              <w:jc w:val="center"/>
              <w:rPr>
                <w:sz w:val="16"/>
              </w:rPr>
            </w:pPr>
            <w:r w:rsidRPr="008E4FCE">
              <w:rPr>
                <w:sz w:val="16"/>
              </w:rPr>
              <w:t>FY11</w:t>
            </w:r>
          </w:p>
        </w:tc>
        <w:tc>
          <w:tcPr>
            <w:tcW w:w="535" w:type="dxa"/>
          </w:tcPr>
          <w:p w:rsidR="008E4FCE" w:rsidRPr="008E4FCE" w:rsidRDefault="008E4FCE" w:rsidP="008E4FCE">
            <w:pPr>
              <w:jc w:val="center"/>
              <w:rPr>
                <w:sz w:val="16"/>
              </w:rPr>
            </w:pPr>
            <w:r w:rsidRPr="008E4FCE">
              <w:rPr>
                <w:sz w:val="16"/>
              </w:rPr>
              <w:t>FY12</w:t>
            </w:r>
          </w:p>
        </w:tc>
        <w:tc>
          <w:tcPr>
            <w:tcW w:w="535" w:type="dxa"/>
          </w:tcPr>
          <w:p w:rsidR="008E4FCE" w:rsidRPr="008E4FCE" w:rsidRDefault="008E4FCE" w:rsidP="008E4FCE">
            <w:pPr>
              <w:jc w:val="center"/>
              <w:rPr>
                <w:sz w:val="16"/>
              </w:rPr>
            </w:pPr>
            <w:r w:rsidRPr="008E4FCE">
              <w:rPr>
                <w:sz w:val="16"/>
              </w:rPr>
              <w:t>FY13</w:t>
            </w:r>
          </w:p>
        </w:tc>
        <w:tc>
          <w:tcPr>
            <w:tcW w:w="535" w:type="dxa"/>
          </w:tcPr>
          <w:p w:rsidR="008E4FCE" w:rsidRPr="008E4FCE" w:rsidRDefault="008E4FCE" w:rsidP="008E4FCE">
            <w:pPr>
              <w:jc w:val="center"/>
              <w:rPr>
                <w:sz w:val="16"/>
              </w:rPr>
            </w:pPr>
            <w:r w:rsidRPr="008E4FCE">
              <w:rPr>
                <w:sz w:val="16"/>
              </w:rPr>
              <w:t>FY14</w:t>
            </w:r>
          </w:p>
        </w:tc>
        <w:tc>
          <w:tcPr>
            <w:tcW w:w="535" w:type="dxa"/>
          </w:tcPr>
          <w:p w:rsidR="008E4FCE" w:rsidRPr="008E4FCE" w:rsidRDefault="008E4FCE" w:rsidP="008E4FCE">
            <w:pPr>
              <w:jc w:val="center"/>
              <w:rPr>
                <w:sz w:val="16"/>
              </w:rPr>
            </w:pPr>
            <w:r w:rsidRPr="008E4FCE">
              <w:rPr>
                <w:sz w:val="16"/>
              </w:rPr>
              <w:t>FY15</w:t>
            </w:r>
          </w:p>
        </w:tc>
        <w:tc>
          <w:tcPr>
            <w:tcW w:w="602" w:type="dxa"/>
          </w:tcPr>
          <w:p w:rsidR="008E4FCE" w:rsidRPr="008E4FCE" w:rsidRDefault="008E4FCE" w:rsidP="008E4FCE">
            <w:pPr>
              <w:jc w:val="center"/>
              <w:rPr>
                <w:sz w:val="16"/>
              </w:rPr>
            </w:pPr>
            <w:r w:rsidRPr="008E4FCE">
              <w:rPr>
                <w:sz w:val="16"/>
              </w:rPr>
              <w:t>FY16</w:t>
            </w:r>
          </w:p>
        </w:tc>
        <w:tc>
          <w:tcPr>
            <w:tcW w:w="630" w:type="dxa"/>
          </w:tcPr>
          <w:p w:rsidR="008E4FCE" w:rsidRPr="008E4FCE" w:rsidRDefault="008E4FCE" w:rsidP="008E4FCE">
            <w:pPr>
              <w:jc w:val="center"/>
              <w:rPr>
                <w:sz w:val="16"/>
              </w:rPr>
            </w:pPr>
            <w:r w:rsidRPr="008E4FCE">
              <w:rPr>
                <w:sz w:val="16"/>
              </w:rPr>
              <w:t>FY17</w:t>
            </w:r>
          </w:p>
        </w:tc>
        <w:tc>
          <w:tcPr>
            <w:tcW w:w="625" w:type="dxa"/>
          </w:tcPr>
          <w:p w:rsidR="008E4FCE" w:rsidRPr="008E4FCE" w:rsidRDefault="008E4FCE" w:rsidP="008E4FCE">
            <w:pPr>
              <w:jc w:val="center"/>
              <w:rPr>
                <w:sz w:val="16"/>
              </w:rPr>
            </w:pPr>
            <w:r w:rsidRPr="008E4FCE">
              <w:rPr>
                <w:sz w:val="16"/>
              </w:rPr>
              <w:t>FY18</w:t>
            </w:r>
          </w:p>
        </w:tc>
        <w:tc>
          <w:tcPr>
            <w:tcW w:w="630" w:type="dxa"/>
          </w:tcPr>
          <w:p w:rsidR="008E4FCE" w:rsidRPr="008E4FCE" w:rsidRDefault="008E4FCE" w:rsidP="008E4FCE">
            <w:pPr>
              <w:jc w:val="center"/>
              <w:rPr>
                <w:sz w:val="16"/>
              </w:rPr>
            </w:pPr>
            <w:r w:rsidRPr="008E4FCE">
              <w:rPr>
                <w:sz w:val="16"/>
              </w:rPr>
              <w:t>FY19</w:t>
            </w:r>
          </w:p>
        </w:tc>
        <w:tc>
          <w:tcPr>
            <w:tcW w:w="630" w:type="dxa"/>
          </w:tcPr>
          <w:p w:rsidR="008E4FCE" w:rsidRPr="008E4FCE" w:rsidRDefault="008E4FCE" w:rsidP="008E4FCE">
            <w:pPr>
              <w:jc w:val="center"/>
              <w:rPr>
                <w:sz w:val="16"/>
              </w:rPr>
            </w:pPr>
            <w:r w:rsidRPr="008E4FCE">
              <w:rPr>
                <w:sz w:val="16"/>
              </w:rPr>
              <w:t>FY20</w:t>
            </w:r>
          </w:p>
        </w:tc>
      </w:tr>
      <w:tr w:rsidR="008E4FCE" w:rsidTr="007D50CA">
        <w:tc>
          <w:tcPr>
            <w:tcW w:w="538" w:type="dxa"/>
            <w:vAlign w:val="bottom"/>
          </w:tcPr>
          <w:p w:rsidR="008E4FCE" w:rsidRPr="00B41589" w:rsidRDefault="008E4FCE" w:rsidP="00425DFE">
            <w:pPr>
              <w:rPr>
                <w:sz w:val="18"/>
              </w:rPr>
            </w:pPr>
            <w:r w:rsidRPr="00B41589">
              <w:rPr>
                <w:sz w:val="18"/>
              </w:rPr>
              <w:t>-21</w:t>
            </w:r>
          </w:p>
        </w:tc>
        <w:tc>
          <w:tcPr>
            <w:tcW w:w="535" w:type="dxa"/>
            <w:vAlign w:val="bottom"/>
          </w:tcPr>
          <w:p w:rsidR="008E4FCE" w:rsidRPr="00B41589" w:rsidRDefault="008E4FCE" w:rsidP="00425DFE">
            <w:pPr>
              <w:rPr>
                <w:sz w:val="18"/>
              </w:rPr>
            </w:pPr>
            <w:r>
              <w:rPr>
                <w:sz w:val="18"/>
              </w:rPr>
              <w:t>-22</w:t>
            </w:r>
          </w:p>
        </w:tc>
        <w:tc>
          <w:tcPr>
            <w:tcW w:w="535" w:type="dxa"/>
            <w:vAlign w:val="bottom"/>
          </w:tcPr>
          <w:p w:rsidR="008E4FCE" w:rsidRPr="00B41589" w:rsidRDefault="008E4FCE" w:rsidP="00425DFE">
            <w:pPr>
              <w:rPr>
                <w:sz w:val="18"/>
              </w:rPr>
            </w:pPr>
            <w:r>
              <w:rPr>
                <w:sz w:val="18"/>
              </w:rPr>
              <w:t>-30</w:t>
            </w:r>
          </w:p>
        </w:tc>
        <w:tc>
          <w:tcPr>
            <w:tcW w:w="535" w:type="dxa"/>
            <w:vAlign w:val="bottom"/>
          </w:tcPr>
          <w:p w:rsidR="008E4FCE" w:rsidRPr="00B41589" w:rsidRDefault="008E4FCE" w:rsidP="00425DFE">
            <w:pPr>
              <w:rPr>
                <w:sz w:val="18"/>
              </w:rPr>
            </w:pPr>
            <w:r>
              <w:rPr>
                <w:sz w:val="18"/>
              </w:rPr>
              <w:t>-22</w:t>
            </w:r>
          </w:p>
        </w:tc>
        <w:tc>
          <w:tcPr>
            <w:tcW w:w="535" w:type="dxa"/>
            <w:vAlign w:val="bottom"/>
          </w:tcPr>
          <w:p w:rsidR="008E4FCE" w:rsidRPr="00B41589" w:rsidRDefault="008E4FCE" w:rsidP="00425DFE">
            <w:pPr>
              <w:rPr>
                <w:sz w:val="18"/>
              </w:rPr>
            </w:pPr>
            <w:r>
              <w:rPr>
                <w:sz w:val="18"/>
              </w:rPr>
              <w:t>-24</w:t>
            </w:r>
          </w:p>
        </w:tc>
        <w:tc>
          <w:tcPr>
            <w:tcW w:w="535" w:type="dxa"/>
            <w:vAlign w:val="bottom"/>
          </w:tcPr>
          <w:p w:rsidR="008E4FCE" w:rsidRPr="00B41589" w:rsidRDefault="008E4FCE" w:rsidP="00425DFE">
            <w:pPr>
              <w:rPr>
                <w:sz w:val="18"/>
              </w:rPr>
            </w:pPr>
            <w:r>
              <w:rPr>
                <w:sz w:val="18"/>
              </w:rPr>
              <w:t>-46</w:t>
            </w:r>
          </w:p>
        </w:tc>
        <w:tc>
          <w:tcPr>
            <w:tcW w:w="535" w:type="dxa"/>
            <w:vAlign w:val="bottom"/>
          </w:tcPr>
          <w:p w:rsidR="008E4FCE" w:rsidRPr="00B41589" w:rsidRDefault="008E4FCE" w:rsidP="00425DFE">
            <w:pPr>
              <w:rPr>
                <w:sz w:val="18"/>
              </w:rPr>
            </w:pPr>
            <w:r>
              <w:rPr>
                <w:sz w:val="18"/>
              </w:rPr>
              <w:t>-49</w:t>
            </w:r>
          </w:p>
        </w:tc>
        <w:tc>
          <w:tcPr>
            <w:tcW w:w="535" w:type="dxa"/>
            <w:vAlign w:val="bottom"/>
          </w:tcPr>
          <w:p w:rsidR="008E4FCE" w:rsidRPr="00B41589" w:rsidRDefault="008E4FCE" w:rsidP="00425DFE">
            <w:pPr>
              <w:rPr>
                <w:sz w:val="18"/>
              </w:rPr>
            </w:pPr>
            <w:r>
              <w:rPr>
                <w:sz w:val="18"/>
              </w:rPr>
              <w:t>-32</w:t>
            </w:r>
          </w:p>
        </w:tc>
        <w:tc>
          <w:tcPr>
            <w:tcW w:w="535" w:type="dxa"/>
            <w:vAlign w:val="bottom"/>
          </w:tcPr>
          <w:p w:rsidR="008E4FCE" w:rsidRPr="00B41589" w:rsidRDefault="008E4FCE" w:rsidP="00425DFE">
            <w:pPr>
              <w:rPr>
                <w:sz w:val="18"/>
              </w:rPr>
            </w:pPr>
            <w:r>
              <w:rPr>
                <w:sz w:val="18"/>
              </w:rPr>
              <w:t>-24</w:t>
            </w:r>
          </w:p>
        </w:tc>
        <w:tc>
          <w:tcPr>
            <w:tcW w:w="535" w:type="dxa"/>
            <w:vAlign w:val="bottom"/>
          </w:tcPr>
          <w:p w:rsidR="008E4FCE" w:rsidRPr="00B41589" w:rsidRDefault="008E4FCE" w:rsidP="00425DFE">
            <w:pPr>
              <w:rPr>
                <w:sz w:val="18"/>
              </w:rPr>
            </w:pPr>
            <w:r>
              <w:rPr>
                <w:sz w:val="18"/>
              </w:rPr>
              <w:t>-48</w:t>
            </w:r>
          </w:p>
        </w:tc>
        <w:tc>
          <w:tcPr>
            <w:tcW w:w="535" w:type="dxa"/>
            <w:vAlign w:val="bottom"/>
          </w:tcPr>
          <w:p w:rsidR="008E4FCE" w:rsidRPr="00B41589" w:rsidRDefault="008E4FCE" w:rsidP="00425DFE">
            <w:pPr>
              <w:rPr>
                <w:sz w:val="18"/>
              </w:rPr>
            </w:pPr>
            <w:r>
              <w:rPr>
                <w:sz w:val="18"/>
              </w:rPr>
              <w:t>-65</w:t>
            </w:r>
          </w:p>
        </w:tc>
        <w:tc>
          <w:tcPr>
            <w:tcW w:w="535" w:type="dxa"/>
            <w:vAlign w:val="bottom"/>
          </w:tcPr>
          <w:p w:rsidR="008E4FCE" w:rsidRPr="00B41589" w:rsidRDefault="008E4FCE" w:rsidP="00425DFE">
            <w:pPr>
              <w:rPr>
                <w:sz w:val="18"/>
              </w:rPr>
            </w:pPr>
            <w:r>
              <w:rPr>
                <w:sz w:val="18"/>
              </w:rPr>
              <w:t>-81</w:t>
            </w:r>
          </w:p>
        </w:tc>
        <w:tc>
          <w:tcPr>
            <w:tcW w:w="535" w:type="dxa"/>
            <w:vAlign w:val="bottom"/>
          </w:tcPr>
          <w:p w:rsidR="008E4FCE" w:rsidRPr="00B41589" w:rsidRDefault="008E4FCE" w:rsidP="00425DFE">
            <w:pPr>
              <w:rPr>
                <w:sz w:val="18"/>
              </w:rPr>
            </w:pPr>
            <w:r>
              <w:rPr>
                <w:sz w:val="18"/>
              </w:rPr>
              <w:t>-88</w:t>
            </w:r>
          </w:p>
        </w:tc>
        <w:tc>
          <w:tcPr>
            <w:tcW w:w="602" w:type="dxa"/>
            <w:vAlign w:val="bottom"/>
          </w:tcPr>
          <w:p w:rsidR="008E4FCE" w:rsidRPr="00B41589" w:rsidRDefault="008E4FCE" w:rsidP="00425DFE">
            <w:pPr>
              <w:rPr>
                <w:sz w:val="18"/>
              </w:rPr>
            </w:pPr>
            <w:r>
              <w:rPr>
                <w:sz w:val="18"/>
              </w:rPr>
              <w:t>-101</w:t>
            </w:r>
          </w:p>
        </w:tc>
        <w:tc>
          <w:tcPr>
            <w:tcW w:w="630" w:type="dxa"/>
            <w:vAlign w:val="bottom"/>
          </w:tcPr>
          <w:p w:rsidR="008E4FCE" w:rsidRPr="00B41589" w:rsidRDefault="008E4FCE" w:rsidP="00425DFE">
            <w:pPr>
              <w:rPr>
                <w:sz w:val="18"/>
              </w:rPr>
            </w:pPr>
            <w:r>
              <w:rPr>
                <w:sz w:val="18"/>
              </w:rPr>
              <w:t>-106</w:t>
            </w:r>
          </w:p>
        </w:tc>
        <w:tc>
          <w:tcPr>
            <w:tcW w:w="625" w:type="dxa"/>
            <w:vAlign w:val="bottom"/>
          </w:tcPr>
          <w:p w:rsidR="008E4FCE" w:rsidRPr="00B41589" w:rsidRDefault="008E4FCE" w:rsidP="00425DFE">
            <w:pPr>
              <w:rPr>
                <w:sz w:val="18"/>
              </w:rPr>
            </w:pPr>
            <w:r>
              <w:rPr>
                <w:sz w:val="18"/>
              </w:rPr>
              <w:t>-125</w:t>
            </w:r>
          </w:p>
        </w:tc>
        <w:tc>
          <w:tcPr>
            <w:tcW w:w="630" w:type="dxa"/>
            <w:vAlign w:val="bottom"/>
          </w:tcPr>
          <w:p w:rsidR="008E4FCE" w:rsidRPr="00B41589" w:rsidRDefault="008E4FCE" w:rsidP="00425DFE">
            <w:pPr>
              <w:rPr>
                <w:sz w:val="18"/>
              </w:rPr>
            </w:pPr>
            <w:r>
              <w:rPr>
                <w:sz w:val="18"/>
              </w:rPr>
              <w:t>-142</w:t>
            </w:r>
          </w:p>
        </w:tc>
        <w:tc>
          <w:tcPr>
            <w:tcW w:w="630" w:type="dxa"/>
            <w:vAlign w:val="bottom"/>
          </w:tcPr>
          <w:p w:rsidR="008E4FCE" w:rsidRPr="00B41589" w:rsidRDefault="008E4FCE" w:rsidP="00425DFE">
            <w:pPr>
              <w:rPr>
                <w:sz w:val="18"/>
              </w:rPr>
            </w:pPr>
            <w:r>
              <w:rPr>
                <w:sz w:val="18"/>
              </w:rPr>
              <w:t>-162</w:t>
            </w:r>
          </w:p>
        </w:tc>
      </w:tr>
    </w:tbl>
    <w:p w:rsidR="00BC02D1" w:rsidRDefault="00BC02D1" w:rsidP="00425DFE"/>
    <w:p w:rsidR="00720F0C" w:rsidRDefault="00720F0C" w:rsidP="00425DFE"/>
    <w:p w:rsidR="00BC02D1" w:rsidRDefault="00720F0C">
      <w:r>
        <w:t>When the legislature sets higher SSA</w:t>
      </w:r>
      <w:r w:rsidR="002D1031">
        <w:t>,</w:t>
      </w:r>
      <w:r>
        <w:t xml:space="preserve"> both the Budget Guarantee and Special Education property tax impact </w:t>
      </w:r>
      <w:r w:rsidR="007D50CA">
        <w:t>are</w:t>
      </w:r>
      <w:r>
        <w:t xml:space="preserve"> reduced. Additionally, hig</w:t>
      </w:r>
      <w:r w:rsidR="002D1031">
        <w:t xml:space="preserve">her per pupil revenues benefit </w:t>
      </w:r>
      <w:r>
        <w:t xml:space="preserve">districts </w:t>
      </w:r>
      <w:r w:rsidR="002D1031">
        <w:t>with</w:t>
      </w:r>
      <w:r>
        <w:t xml:space="preserve"> higher expenses due to our rural population.</w:t>
      </w:r>
    </w:p>
    <w:sectPr w:rsidR="00BC02D1" w:rsidSect="00425DFE">
      <w:headerReference w:type="default" r:id="rId7"/>
      <w:footerReference w:type="default" r:id="rId8"/>
      <w:pgSz w:w="12240" w:h="15840"/>
      <w:pgMar w:top="720" w:right="1224" w:bottom="720" w:left="122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22C" w:rsidRDefault="005B222C" w:rsidP="00425DFE">
      <w:pPr>
        <w:spacing w:after="0" w:line="240" w:lineRule="auto"/>
      </w:pPr>
      <w:r>
        <w:separator/>
      </w:r>
    </w:p>
  </w:endnote>
  <w:endnote w:type="continuationSeparator" w:id="0">
    <w:p w:rsidR="005B222C" w:rsidRDefault="005B222C" w:rsidP="0042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DFE" w:rsidRPr="00425DFE" w:rsidRDefault="00425DFE" w:rsidP="00425DFE">
    <w:pPr>
      <w:pStyle w:val="Footer"/>
      <w:jc w:val="center"/>
      <w:rPr>
        <w:rFonts w:ascii="Helvetica LT Pro" w:hAnsi="Helvetica LT Pro"/>
        <w:sz w:val="18"/>
        <w:szCs w:val="18"/>
      </w:rPr>
    </w:pPr>
    <w:r w:rsidRPr="00425DFE">
      <w:rPr>
        <w:rFonts w:ascii="Helvetica LT Pro" w:hAnsi="Helvetica LT Pro"/>
        <w:sz w:val="18"/>
        <w:szCs w:val="18"/>
      </w:rPr>
      <w:t>ISFIS | 1201 63</w:t>
    </w:r>
    <w:r w:rsidRPr="00425DFE">
      <w:rPr>
        <w:rFonts w:ascii="Helvetica LT Pro" w:hAnsi="Helvetica LT Pro"/>
        <w:sz w:val="18"/>
        <w:szCs w:val="18"/>
        <w:vertAlign w:val="superscript"/>
      </w:rPr>
      <w:t>rd</w:t>
    </w:r>
    <w:r w:rsidRPr="00425DFE">
      <w:rPr>
        <w:rFonts w:ascii="Helvetica LT Pro" w:hAnsi="Helvetica LT Pro"/>
        <w:sz w:val="18"/>
        <w:szCs w:val="18"/>
      </w:rPr>
      <w:t xml:space="preserve"> St., Des Moines, IA 50311 | (515) 251-5970 | </w:t>
    </w:r>
    <w:hyperlink r:id="rId1" w:history="1">
      <w:r w:rsidRPr="00425DFE">
        <w:rPr>
          <w:rStyle w:val="Hyperlink"/>
          <w:rFonts w:ascii="Helvetica LT Pro" w:hAnsi="Helvetica LT Pro"/>
          <w:sz w:val="18"/>
          <w:szCs w:val="18"/>
        </w:rPr>
        <w:t>www.iowaschoolfinance.com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22C" w:rsidRDefault="005B222C" w:rsidP="00425DFE">
      <w:pPr>
        <w:spacing w:after="0" w:line="240" w:lineRule="auto"/>
      </w:pPr>
      <w:r>
        <w:separator/>
      </w:r>
    </w:p>
  </w:footnote>
  <w:footnote w:type="continuationSeparator" w:id="0">
    <w:p w:rsidR="005B222C" w:rsidRDefault="005B222C" w:rsidP="0042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DFE" w:rsidRDefault="00425DF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-220980</wp:posOffset>
          </wp:positionV>
          <wp:extent cx="1965960" cy="849630"/>
          <wp:effectExtent l="0" t="0" r="0" b="7620"/>
          <wp:wrapTight wrapText="bothSides">
            <wp:wrapPolygon edited="0">
              <wp:start x="0" y="0"/>
              <wp:lineTo x="0" y="21309"/>
              <wp:lineTo x="21349" y="21309"/>
              <wp:lineTo x="2134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FIS Final Logo - transparent backgroun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72" t="26041" r="27500" b="27500"/>
                  <a:stretch/>
                </pic:blipFill>
                <pic:spPr bwMode="auto">
                  <a:xfrm>
                    <a:off x="0" y="0"/>
                    <a:ext cx="1965960" cy="849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D24"/>
    <w:multiLevelType w:val="multilevel"/>
    <w:tmpl w:val="3CC24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xMDa1MDE1tzQyNrNU0lEKTi0uzszPAykwrAUAGnZEaCwAAAA="/>
  </w:docVars>
  <w:rsids>
    <w:rsidRoot w:val="00BC02D1"/>
    <w:rsid w:val="00160584"/>
    <w:rsid w:val="002A1AEB"/>
    <w:rsid w:val="002D1031"/>
    <w:rsid w:val="00425DFE"/>
    <w:rsid w:val="005B222C"/>
    <w:rsid w:val="00720F0C"/>
    <w:rsid w:val="0072484F"/>
    <w:rsid w:val="007D50CA"/>
    <w:rsid w:val="007E057F"/>
    <w:rsid w:val="008E0305"/>
    <w:rsid w:val="008E4FCE"/>
    <w:rsid w:val="00B41589"/>
    <w:rsid w:val="00B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12A43"/>
  <w15:docId w15:val="{921A1E36-53BF-4CDB-9FCC-EC2AB074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8E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FE"/>
  </w:style>
  <w:style w:type="paragraph" w:styleId="Footer">
    <w:name w:val="footer"/>
    <w:basedOn w:val="Normal"/>
    <w:link w:val="FooterChar"/>
    <w:uiPriority w:val="99"/>
    <w:unhideWhenUsed/>
    <w:rsid w:val="00425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DFE"/>
  </w:style>
  <w:style w:type="character" w:styleId="Hyperlink">
    <w:name w:val="Hyperlink"/>
    <w:basedOn w:val="DefaultParagraphFont"/>
    <w:uiPriority w:val="99"/>
    <w:unhideWhenUsed/>
    <w:rsid w:val="00425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waschoolfina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Jen</cp:lastModifiedBy>
  <cp:revision>3</cp:revision>
  <dcterms:created xsi:type="dcterms:W3CDTF">2021-02-11T02:23:00Z</dcterms:created>
  <dcterms:modified xsi:type="dcterms:W3CDTF">2021-02-11T02:24:00Z</dcterms:modified>
</cp:coreProperties>
</file>