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45198D46" w:rsidR="00D17F85" w:rsidRDefault="00676F95" w:rsidP="009B41B0">
      <w:pPr>
        <w:widowControl w:val="0"/>
        <w:spacing w:after="0" w:line="240" w:lineRule="auto"/>
        <w:jc w:val="center"/>
        <w:rPr>
          <w:rFonts w:cstheme="minorHAnsi"/>
          <w:b/>
          <w:sz w:val="24"/>
          <w:szCs w:val="24"/>
        </w:rPr>
      </w:pPr>
      <w:r>
        <w:rPr>
          <w:rFonts w:cstheme="minorHAnsi"/>
          <w:b/>
          <w:sz w:val="24"/>
          <w:szCs w:val="24"/>
        </w:rPr>
        <w:t>Rounding and Significant Figures</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5D6366D2"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r w:rsidR="00676F95">
        <w:rPr>
          <w:rFonts w:cstheme="minorHAnsi"/>
          <w:b/>
          <w:sz w:val="24"/>
          <w:szCs w:val="24"/>
        </w:rPr>
        <w:t>M2 5.9.3.(a).(v)</w:t>
      </w:r>
    </w:p>
    <w:p w14:paraId="5D2C699C" w14:textId="53BDC19C" w:rsidR="00676F95" w:rsidRPr="005C4FBA" w:rsidRDefault="00676F95" w:rsidP="009B41B0">
      <w:pPr>
        <w:widowControl w:val="0"/>
        <w:spacing w:after="0" w:line="240" w:lineRule="auto"/>
        <w:jc w:val="center"/>
        <w:rPr>
          <w:rFonts w:cstheme="minorHAnsi"/>
          <w:b/>
          <w:sz w:val="24"/>
          <w:szCs w:val="24"/>
        </w:rPr>
      </w:pPr>
      <w:r>
        <w:rPr>
          <w:rFonts w:cstheme="minorHAnsi"/>
          <w:b/>
          <w:sz w:val="24"/>
          <w:szCs w:val="24"/>
        </w:rPr>
        <w:t>In support of V1M2 5.6.4 (measurement uncertainty) and V1M2 5.4.7.1 (calculation checks)</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5F4584CB"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5C0F18">
        <w:rPr>
          <w:rFonts w:cstheme="minorHAnsi"/>
          <w:b/>
          <w:sz w:val="24"/>
          <w:szCs w:val="24"/>
        </w:rPr>
        <w:t>1, 2024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E34EE"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C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637F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C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0477E645"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5C0F18">
              <w:rPr>
                <w:rFonts w:cstheme="minorHAnsi"/>
                <w:sz w:val="24"/>
                <w:szCs w:val="24"/>
              </w:rPr>
              <w:t>1, 2024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70EA3EC0"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sdt>
      <w:sdtPr>
        <w:rPr>
          <w:rFonts w:asciiTheme="minorHAnsi" w:eastAsiaTheme="minorHAnsi" w:hAnsiTheme="minorHAnsi" w:cstheme="minorBidi"/>
          <w:b w:val="0"/>
          <w:bCs w:val="0"/>
          <w:color w:val="auto"/>
          <w:sz w:val="22"/>
          <w:szCs w:val="22"/>
          <w:lang w:eastAsia="en-US"/>
        </w:rPr>
        <w:id w:val="-992559279"/>
        <w:docPartObj>
          <w:docPartGallery w:val="Table of Contents"/>
          <w:docPartUnique/>
        </w:docPartObj>
      </w:sdtPr>
      <w:sdtEndPr>
        <w:rPr>
          <w:noProof/>
        </w:rPr>
      </w:sdtEndPr>
      <w:sdtContent>
        <w:p w14:paraId="521158D5" w14:textId="6B16BD5F" w:rsidR="003626F6" w:rsidRDefault="003626F6">
          <w:pPr>
            <w:pStyle w:val="TOCHeading"/>
          </w:pPr>
          <w:r>
            <w:t>Contents</w:t>
          </w:r>
        </w:p>
        <w:p w14:paraId="7A1312F1" w14:textId="40559687" w:rsidR="000E2238" w:rsidRDefault="003626F6">
          <w:pPr>
            <w:pStyle w:val="TOC2"/>
            <w:rPr>
              <w:rFonts w:eastAsiaTheme="minorEastAsia"/>
              <w:noProof/>
              <w:kern w:val="2"/>
              <w14:ligatures w14:val="standardContextual"/>
            </w:rPr>
          </w:pPr>
          <w:r>
            <w:fldChar w:fldCharType="begin"/>
          </w:r>
          <w:r>
            <w:instrText xml:space="preserve"> TOC \o "1-3" \h \z \u </w:instrText>
          </w:r>
          <w:r>
            <w:fldChar w:fldCharType="separate"/>
          </w:r>
          <w:hyperlink w:anchor="_Toc149898295" w:history="1">
            <w:r w:rsidR="000E2238" w:rsidRPr="003D01CA">
              <w:rPr>
                <w:rStyle w:val="Hyperlink"/>
                <w:noProof/>
              </w:rPr>
              <w:t>1.1</w:t>
            </w:r>
            <w:r w:rsidR="000E2238">
              <w:rPr>
                <w:rFonts w:eastAsiaTheme="minorEastAsia"/>
                <w:noProof/>
                <w:kern w:val="2"/>
                <w14:ligatures w14:val="standardContextual"/>
              </w:rPr>
              <w:tab/>
            </w:r>
            <w:r w:rsidR="000E2238" w:rsidRPr="003D01CA">
              <w:rPr>
                <w:rStyle w:val="Hyperlink"/>
                <w:noProof/>
              </w:rPr>
              <w:t>Equations</w:t>
            </w:r>
            <w:r w:rsidR="000E2238">
              <w:rPr>
                <w:noProof/>
                <w:webHidden/>
              </w:rPr>
              <w:tab/>
            </w:r>
            <w:r w:rsidR="000E2238">
              <w:rPr>
                <w:noProof/>
                <w:webHidden/>
              </w:rPr>
              <w:fldChar w:fldCharType="begin"/>
            </w:r>
            <w:r w:rsidR="000E2238">
              <w:rPr>
                <w:noProof/>
                <w:webHidden/>
              </w:rPr>
              <w:instrText xml:space="preserve"> PAGEREF _Toc149898295 \h </w:instrText>
            </w:r>
            <w:r w:rsidR="000E2238">
              <w:rPr>
                <w:noProof/>
                <w:webHidden/>
              </w:rPr>
            </w:r>
            <w:r w:rsidR="000E2238">
              <w:rPr>
                <w:noProof/>
                <w:webHidden/>
              </w:rPr>
              <w:fldChar w:fldCharType="separate"/>
            </w:r>
            <w:r w:rsidR="000B324C">
              <w:rPr>
                <w:noProof/>
                <w:webHidden/>
              </w:rPr>
              <w:t>4</w:t>
            </w:r>
            <w:r w:rsidR="000E2238">
              <w:rPr>
                <w:noProof/>
                <w:webHidden/>
              </w:rPr>
              <w:fldChar w:fldCharType="end"/>
            </w:r>
          </w:hyperlink>
        </w:p>
        <w:p w14:paraId="48CA9865" w14:textId="748B4E91" w:rsidR="000E2238" w:rsidRDefault="00000000">
          <w:pPr>
            <w:pStyle w:val="TOC1"/>
            <w:tabs>
              <w:tab w:val="left" w:pos="440"/>
              <w:tab w:val="right" w:leader="dot" w:pos="9350"/>
            </w:tabs>
            <w:rPr>
              <w:rFonts w:eastAsiaTheme="minorEastAsia"/>
              <w:noProof/>
              <w:kern w:val="2"/>
              <w14:ligatures w14:val="standardContextual"/>
            </w:rPr>
          </w:pPr>
          <w:hyperlink w:anchor="_Toc149898296" w:history="1">
            <w:r w:rsidR="000E2238" w:rsidRPr="003D01CA">
              <w:rPr>
                <w:rStyle w:val="Hyperlink"/>
                <w:noProof/>
              </w:rPr>
              <w:t>2</w:t>
            </w:r>
            <w:r w:rsidR="000E2238">
              <w:rPr>
                <w:rFonts w:eastAsiaTheme="minorEastAsia"/>
                <w:noProof/>
                <w:kern w:val="2"/>
                <w14:ligatures w14:val="standardContextual"/>
              </w:rPr>
              <w:tab/>
            </w:r>
            <w:r w:rsidR="000E2238" w:rsidRPr="003D01CA">
              <w:rPr>
                <w:rStyle w:val="Hyperlink"/>
                <w:noProof/>
              </w:rPr>
              <w:t>Introduction</w:t>
            </w:r>
            <w:r w:rsidR="000E2238">
              <w:rPr>
                <w:noProof/>
                <w:webHidden/>
              </w:rPr>
              <w:tab/>
            </w:r>
            <w:r w:rsidR="000E2238">
              <w:rPr>
                <w:noProof/>
                <w:webHidden/>
              </w:rPr>
              <w:fldChar w:fldCharType="begin"/>
            </w:r>
            <w:r w:rsidR="000E2238">
              <w:rPr>
                <w:noProof/>
                <w:webHidden/>
              </w:rPr>
              <w:instrText xml:space="preserve"> PAGEREF _Toc149898296 \h </w:instrText>
            </w:r>
            <w:r w:rsidR="000E2238">
              <w:rPr>
                <w:noProof/>
                <w:webHidden/>
              </w:rPr>
            </w:r>
            <w:r w:rsidR="000E2238">
              <w:rPr>
                <w:noProof/>
                <w:webHidden/>
              </w:rPr>
              <w:fldChar w:fldCharType="separate"/>
            </w:r>
            <w:r w:rsidR="000B324C">
              <w:rPr>
                <w:noProof/>
                <w:webHidden/>
              </w:rPr>
              <w:t>5</w:t>
            </w:r>
            <w:r w:rsidR="000E2238">
              <w:rPr>
                <w:noProof/>
                <w:webHidden/>
              </w:rPr>
              <w:fldChar w:fldCharType="end"/>
            </w:r>
          </w:hyperlink>
        </w:p>
        <w:p w14:paraId="1F452373" w14:textId="1E204000" w:rsidR="000E2238" w:rsidRDefault="00000000">
          <w:pPr>
            <w:pStyle w:val="TOC1"/>
            <w:tabs>
              <w:tab w:val="left" w:pos="440"/>
              <w:tab w:val="right" w:leader="dot" w:pos="9350"/>
            </w:tabs>
            <w:rPr>
              <w:rFonts w:eastAsiaTheme="minorEastAsia"/>
              <w:noProof/>
              <w:kern w:val="2"/>
              <w14:ligatures w14:val="standardContextual"/>
            </w:rPr>
          </w:pPr>
          <w:hyperlink w:anchor="_Toc149898297" w:history="1">
            <w:r w:rsidR="000E2238" w:rsidRPr="003D01CA">
              <w:rPr>
                <w:rStyle w:val="Hyperlink"/>
                <w:noProof/>
              </w:rPr>
              <w:t>3</w:t>
            </w:r>
            <w:r w:rsidR="000E2238">
              <w:rPr>
                <w:rFonts w:eastAsiaTheme="minorEastAsia"/>
                <w:noProof/>
                <w:kern w:val="2"/>
                <w14:ligatures w14:val="standardContextual"/>
              </w:rPr>
              <w:tab/>
            </w:r>
            <w:r w:rsidR="000E2238" w:rsidRPr="003D01CA">
              <w:rPr>
                <w:rStyle w:val="Hyperlink"/>
                <w:noProof/>
              </w:rPr>
              <w:t>Procedure</w:t>
            </w:r>
            <w:r w:rsidR="000E2238">
              <w:rPr>
                <w:noProof/>
                <w:webHidden/>
              </w:rPr>
              <w:tab/>
            </w:r>
            <w:r w:rsidR="000E2238">
              <w:rPr>
                <w:noProof/>
                <w:webHidden/>
              </w:rPr>
              <w:fldChar w:fldCharType="begin"/>
            </w:r>
            <w:r w:rsidR="000E2238">
              <w:rPr>
                <w:noProof/>
                <w:webHidden/>
              </w:rPr>
              <w:instrText xml:space="preserve"> PAGEREF _Toc149898297 \h </w:instrText>
            </w:r>
            <w:r w:rsidR="000E2238">
              <w:rPr>
                <w:noProof/>
                <w:webHidden/>
              </w:rPr>
            </w:r>
            <w:r w:rsidR="000E2238">
              <w:rPr>
                <w:noProof/>
                <w:webHidden/>
              </w:rPr>
              <w:fldChar w:fldCharType="separate"/>
            </w:r>
            <w:r w:rsidR="000B324C">
              <w:rPr>
                <w:noProof/>
                <w:webHidden/>
              </w:rPr>
              <w:t>5</w:t>
            </w:r>
            <w:r w:rsidR="000E2238">
              <w:rPr>
                <w:noProof/>
                <w:webHidden/>
              </w:rPr>
              <w:fldChar w:fldCharType="end"/>
            </w:r>
          </w:hyperlink>
        </w:p>
        <w:p w14:paraId="3A6DB491" w14:textId="067344EA" w:rsidR="000E2238" w:rsidRDefault="00000000">
          <w:pPr>
            <w:pStyle w:val="TOC2"/>
            <w:rPr>
              <w:rFonts w:eastAsiaTheme="minorEastAsia"/>
              <w:noProof/>
              <w:kern w:val="2"/>
              <w14:ligatures w14:val="standardContextual"/>
            </w:rPr>
          </w:pPr>
          <w:hyperlink w:anchor="_Toc149898298" w:history="1">
            <w:r w:rsidR="000E2238" w:rsidRPr="003D01CA">
              <w:rPr>
                <w:rStyle w:val="Hyperlink"/>
                <w:noProof/>
              </w:rPr>
              <w:t>3.1</w:t>
            </w:r>
            <w:r w:rsidR="000E2238">
              <w:rPr>
                <w:rFonts w:eastAsiaTheme="minorEastAsia"/>
                <w:noProof/>
                <w:kern w:val="2"/>
                <w14:ligatures w14:val="standardContextual"/>
              </w:rPr>
              <w:tab/>
            </w:r>
            <w:r w:rsidR="000E2238" w:rsidRPr="003D01CA">
              <w:rPr>
                <w:rStyle w:val="Hyperlink"/>
                <w:noProof/>
              </w:rPr>
              <w:t>Recording of Instrument readings</w:t>
            </w:r>
            <w:r w:rsidR="000E2238">
              <w:rPr>
                <w:noProof/>
                <w:webHidden/>
              </w:rPr>
              <w:tab/>
            </w:r>
            <w:r w:rsidR="000E2238">
              <w:rPr>
                <w:noProof/>
                <w:webHidden/>
              </w:rPr>
              <w:fldChar w:fldCharType="begin"/>
            </w:r>
            <w:r w:rsidR="000E2238">
              <w:rPr>
                <w:noProof/>
                <w:webHidden/>
              </w:rPr>
              <w:instrText xml:space="preserve"> PAGEREF _Toc149898298 \h </w:instrText>
            </w:r>
            <w:r w:rsidR="000E2238">
              <w:rPr>
                <w:noProof/>
                <w:webHidden/>
              </w:rPr>
            </w:r>
            <w:r w:rsidR="000E2238">
              <w:rPr>
                <w:noProof/>
                <w:webHidden/>
              </w:rPr>
              <w:fldChar w:fldCharType="separate"/>
            </w:r>
            <w:r w:rsidR="000B324C">
              <w:rPr>
                <w:noProof/>
                <w:webHidden/>
              </w:rPr>
              <w:t>5</w:t>
            </w:r>
            <w:r w:rsidR="000E2238">
              <w:rPr>
                <w:noProof/>
                <w:webHidden/>
              </w:rPr>
              <w:fldChar w:fldCharType="end"/>
            </w:r>
          </w:hyperlink>
        </w:p>
        <w:p w14:paraId="1DB4E496" w14:textId="45DF816A" w:rsidR="000E2238" w:rsidRDefault="00000000">
          <w:pPr>
            <w:pStyle w:val="TOC2"/>
            <w:rPr>
              <w:rFonts w:eastAsiaTheme="minorEastAsia"/>
              <w:noProof/>
              <w:kern w:val="2"/>
              <w14:ligatures w14:val="standardContextual"/>
            </w:rPr>
          </w:pPr>
          <w:hyperlink w:anchor="_Toc149898299" w:history="1">
            <w:r w:rsidR="000E2238" w:rsidRPr="003D01CA">
              <w:rPr>
                <w:rStyle w:val="Hyperlink"/>
                <w:noProof/>
              </w:rPr>
              <w:t>3.2</w:t>
            </w:r>
            <w:r w:rsidR="000E2238">
              <w:rPr>
                <w:rFonts w:eastAsiaTheme="minorEastAsia"/>
                <w:noProof/>
                <w:kern w:val="2"/>
                <w14:ligatures w14:val="standardContextual"/>
              </w:rPr>
              <w:tab/>
            </w:r>
            <w:r w:rsidR="000E2238" w:rsidRPr="003D01CA">
              <w:rPr>
                <w:rStyle w:val="Hyperlink"/>
                <w:noProof/>
              </w:rPr>
              <w:t>Intermediate Computations</w:t>
            </w:r>
            <w:r w:rsidR="000E2238">
              <w:rPr>
                <w:noProof/>
                <w:webHidden/>
              </w:rPr>
              <w:tab/>
            </w:r>
            <w:r w:rsidR="000E2238">
              <w:rPr>
                <w:noProof/>
                <w:webHidden/>
              </w:rPr>
              <w:fldChar w:fldCharType="begin"/>
            </w:r>
            <w:r w:rsidR="000E2238">
              <w:rPr>
                <w:noProof/>
                <w:webHidden/>
              </w:rPr>
              <w:instrText xml:space="preserve"> PAGEREF _Toc149898299 \h </w:instrText>
            </w:r>
            <w:r w:rsidR="000E2238">
              <w:rPr>
                <w:noProof/>
                <w:webHidden/>
              </w:rPr>
            </w:r>
            <w:r w:rsidR="000E2238">
              <w:rPr>
                <w:noProof/>
                <w:webHidden/>
              </w:rPr>
              <w:fldChar w:fldCharType="separate"/>
            </w:r>
            <w:r w:rsidR="000B324C">
              <w:rPr>
                <w:noProof/>
                <w:webHidden/>
              </w:rPr>
              <w:t>5</w:t>
            </w:r>
            <w:r w:rsidR="000E2238">
              <w:rPr>
                <w:noProof/>
                <w:webHidden/>
              </w:rPr>
              <w:fldChar w:fldCharType="end"/>
            </w:r>
          </w:hyperlink>
        </w:p>
        <w:p w14:paraId="3FB21407" w14:textId="7EBD44C9" w:rsidR="000E2238" w:rsidRDefault="00000000">
          <w:pPr>
            <w:pStyle w:val="TOC2"/>
            <w:rPr>
              <w:rFonts w:eastAsiaTheme="minorEastAsia"/>
              <w:noProof/>
              <w:kern w:val="2"/>
              <w14:ligatures w14:val="standardContextual"/>
            </w:rPr>
          </w:pPr>
          <w:hyperlink w:anchor="_Toc149898300" w:history="1">
            <w:r w:rsidR="000E2238" w:rsidRPr="003D01CA">
              <w:rPr>
                <w:rStyle w:val="Hyperlink"/>
                <w:noProof/>
              </w:rPr>
              <w:t>3.3</w:t>
            </w:r>
            <w:r w:rsidR="000E2238">
              <w:rPr>
                <w:rFonts w:eastAsiaTheme="minorEastAsia"/>
                <w:noProof/>
                <w:kern w:val="2"/>
                <w14:ligatures w14:val="standardContextual"/>
              </w:rPr>
              <w:tab/>
            </w:r>
            <w:r w:rsidR="000E2238" w:rsidRPr="003D01CA">
              <w:rPr>
                <w:rStyle w:val="Hyperlink"/>
                <w:noProof/>
              </w:rPr>
              <w:t>Final Computations</w:t>
            </w:r>
            <w:r w:rsidR="000E2238">
              <w:rPr>
                <w:noProof/>
                <w:webHidden/>
              </w:rPr>
              <w:tab/>
            </w:r>
            <w:r w:rsidR="000E2238">
              <w:rPr>
                <w:noProof/>
                <w:webHidden/>
              </w:rPr>
              <w:fldChar w:fldCharType="begin"/>
            </w:r>
            <w:r w:rsidR="000E2238">
              <w:rPr>
                <w:noProof/>
                <w:webHidden/>
              </w:rPr>
              <w:instrText xml:space="preserve"> PAGEREF _Toc149898300 \h </w:instrText>
            </w:r>
            <w:r w:rsidR="000E2238">
              <w:rPr>
                <w:noProof/>
                <w:webHidden/>
              </w:rPr>
            </w:r>
            <w:r w:rsidR="000E2238">
              <w:rPr>
                <w:noProof/>
                <w:webHidden/>
              </w:rPr>
              <w:fldChar w:fldCharType="separate"/>
            </w:r>
            <w:r w:rsidR="000B324C">
              <w:rPr>
                <w:noProof/>
                <w:webHidden/>
              </w:rPr>
              <w:t>6</w:t>
            </w:r>
            <w:r w:rsidR="000E2238">
              <w:rPr>
                <w:noProof/>
                <w:webHidden/>
              </w:rPr>
              <w:fldChar w:fldCharType="end"/>
            </w:r>
          </w:hyperlink>
        </w:p>
        <w:p w14:paraId="2DB71999" w14:textId="4972847D" w:rsidR="000E2238" w:rsidRDefault="00000000">
          <w:pPr>
            <w:pStyle w:val="TOC2"/>
            <w:rPr>
              <w:rFonts w:eastAsiaTheme="minorEastAsia"/>
              <w:noProof/>
              <w:kern w:val="2"/>
              <w14:ligatures w14:val="standardContextual"/>
            </w:rPr>
          </w:pPr>
          <w:hyperlink w:anchor="_Toc149898301" w:history="1">
            <w:r w:rsidR="000E2238" w:rsidRPr="003D01CA">
              <w:rPr>
                <w:rStyle w:val="Hyperlink"/>
                <w:noProof/>
              </w:rPr>
              <w:t>3.4</w:t>
            </w:r>
            <w:r w:rsidR="000E2238">
              <w:rPr>
                <w:rFonts w:eastAsiaTheme="minorEastAsia"/>
                <w:noProof/>
                <w:kern w:val="2"/>
                <w14:ligatures w14:val="standardContextual"/>
              </w:rPr>
              <w:tab/>
            </w:r>
            <w:r w:rsidR="000E2238" w:rsidRPr="003D01CA">
              <w:rPr>
                <w:rStyle w:val="Hyperlink"/>
                <w:noProof/>
              </w:rPr>
              <w:t>Rounding Convention</w:t>
            </w:r>
            <w:r w:rsidR="000E2238">
              <w:rPr>
                <w:noProof/>
                <w:webHidden/>
              </w:rPr>
              <w:tab/>
            </w:r>
            <w:r w:rsidR="000E2238">
              <w:rPr>
                <w:noProof/>
                <w:webHidden/>
              </w:rPr>
              <w:fldChar w:fldCharType="begin"/>
            </w:r>
            <w:r w:rsidR="000E2238">
              <w:rPr>
                <w:noProof/>
                <w:webHidden/>
              </w:rPr>
              <w:instrText xml:space="preserve"> PAGEREF _Toc149898301 \h </w:instrText>
            </w:r>
            <w:r w:rsidR="000E2238">
              <w:rPr>
                <w:noProof/>
                <w:webHidden/>
              </w:rPr>
            </w:r>
            <w:r w:rsidR="000E2238">
              <w:rPr>
                <w:noProof/>
                <w:webHidden/>
              </w:rPr>
              <w:fldChar w:fldCharType="separate"/>
            </w:r>
            <w:r w:rsidR="000B324C">
              <w:rPr>
                <w:noProof/>
                <w:webHidden/>
              </w:rPr>
              <w:t>6</w:t>
            </w:r>
            <w:r w:rsidR="000E2238">
              <w:rPr>
                <w:noProof/>
                <w:webHidden/>
              </w:rPr>
              <w:fldChar w:fldCharType="end"/>
            </w:r>
          </w:hyperlink>
        </w:p>
        <w:p w14:paraId="645DE03E" w14:textId="0EEF3066" w:rsidR="000E2238" w:rsidRDefault="00000000">
          <w:pPr>
            <w:pStyle w:val="TOC2"/>
            <w:rPr>
              <w:rFonts w:eastAsiaTheme="minorEastAsia"/>
              <w:noProof/>
              <w:kern w:val="2"/>
              <w14:ligatures w14:val="standardContextual"/>
            </w:rPr>
          </w:pPr>
          <w:hyperlink w:anchor="_Toc149898302" w:history="1">
            <w:r w:rsidR="000E2238" w:rsidRPr="003D01CA">
              <w:rPr>
                <w:rStyle w:val="Hyperlink"/>
                <w:noProof/>
              </w:rPr>
              <w:t>3.5</w:t>
            </w:r>
            <w:r w:rsidR="000E2238">
              <w:rPr>
                <w:rFonts w:eastAsiaTheme="minorEastAsia"/>
                <w:noProof/>
                <w:kern w:val="2"/>
                <w14:ligatures w14:val="standardContextual"/>
              </w:rPr>
              <w:tab/>
            </w:r>
            <w:r w:rsidR="000E2238" w:rsidRPr="003D01CA">
              <w:rPr>
                <w:rStyle w:val="Hyperlink"/>
                <w:noProof/>
              </w:rPr>
              <w:t>Exceptions</w:t>
            </w:r>
            <w:r w:rsidR="000E2238">
              <w:rPr>
                <w:noProof/>
                <w:webHidden/>
              </w:rPr>
              <w:tab/>
            </w:r>
            <w:r w:rsidR="000E2238">
              <w:rPr>
                <w:noProof/>
                <w:webHidden/>
              </w:rPr>
              <w:fldChar w:fldCharType="begin"/>
            </w:r>
            <w:r w:rsidR="000E2238">
              <w:rPr>
                <w:noProof/>
                <w:webHidden/>
              </w:rPr>
              <w:instrText xml:space="preserve"> PAGEREF _Toc149898302 \h </w:instrText>
            </w:r>
            <w:r w:rsidR="000E2238">
              <w:rPr>
                <w:noProof/>
                <w:webHidden/>
              </w:rPr>
            </w:r>
            <w:r w:rsidR="000E2238">
              <w:rPr>
                <w:noProof/>
                <w:webHidden/>
              </w:rPr>
              <w:fldChar w:fldCharType="separate"/>
            </w:r>
            <w:r w:rsidR="000B324C">
              <w:rPr>
                <w:noProof/>
                <w:webHidden/>
              </w:rPr>
              <w:t>6</w:t>
            </w:r>
            <w:r w:rsidR="000E2238">
              <w:rPr>
                <w:noProof/>
                <w:webHidden/>
              </w:rPr>
              <w:fldChar w:fldCharType="end"/>
            </w:r>
          </w:hyperlink>
        </w:p>
        <w:p w14:paraId="00708651" w14:textId="4673E3F8" w:rsidR="000E2238" w:rsidRDefault="00000000">
          <w:pPr>
            <w:pStyle w:val="TOC2"/>
            <w:rPr>
              <w:rFonts w:eastAsiaTheme="minorEastAsia"/>
              <w:noProof/>
              <w:kern w:val="2"/>
              <w14:ligatures w14:val="standardContextual"/>
            </w:rPr>
          </w:pPr>
          <w:hyperlink w:anchor="_Toc149898303" w:history="1">
            <w:r w:rsidR="000E2238" w:rsidRPr="003D01CA">
              <w:rPr>
                <w:rStyle w:val="Hyperlink"/>
                <w:noProof/>
              </w:rPr>
              <w:t>3.6</w:t>
            </w:r>
            <w:r w:rsidR="000E2238">
              <w:rPr>
                <w:rFonts w:eastAsiaTheme="minorEastAsia"/>
                <w:noProof/>
                <w:kern w:val="2"/>
                <w14:ligatures w14:val="standardContextual"/>
              </w:rPr>
              <w:tab/>
            </w:r>
            <w:r w:rsidR="000E2238" w:rsidRPr="003D01CA">
              <w:rPr>
                <w:rStyle w:val="Hyperlink"/>
                <w:noProof/>
              </w:rPr>
              <w:t>Using Excel Spreadsheets as calculators</w:t>
            </w:r>
            <w:r w:rsidR="000E2238">
              <w:rPr>
                <w:noProof/>
                <w:webHidden/>
              </w:rPr>
              <w:tab/>
            </w:r>
            <w:r w:rsidR="000E2238">
              <w:rPr>
                <w:noProof/>
                <w:webHidden/>
              </w:rPr>
              <w:fldChar w:fldCharType="begin"/>
            </w:r>
            <w:r w:rsidR="000E2238">
              <w:rPr>
                <w:noProof/>
                <w:webHidden/>
              </w:rPr>
              <w:instrText xml:space="preserve"> PAGEREF _Toc149898303 \h </w:instrText>
            </w:r>
            <w:r w:rsidR="000E2238">
              <w:rPr>
                <w:noProof/>
                <w:webHidden/>
              </w:rPr>
            </w:r>
            <w:r w:rsidR="000E2238">
              <w:rPr>
                <w:noProof/>
                <w:webHidden/>
              </w:rPr>
              <w:fldChar w:fldCharType="separate"/>
            </w:r>
            <w:r w:rsidR="000B324C">
              <w:rPr>
                <w:noProof/>
                <w:webHidden/>
              </w:rPr>
              <w:t>6</w:t>
            </w:r>
            <w:r w:rsidR="000E2238">
              <w:rPr>
                <w:noProof/>
                <w:webHidden/>
              </w:rPr>
              <w:fldChar w:fldCharType="end"/>
            </w:r>
          </w:hyperlink>
        </w:p>
        <w:p w14:paraId="77DD7217" w14:textId="10311BF3" w:rsidR="000E2238" w:rsidRDefault="00000000">
          <w:pPr>
            <w:pStyle w:val="TOC2"/>
            <w:rPr>
              <w:rFonts w:eastAsiaTheme="minorEastAsia"/>
              <w:noProof/>
              <w:kern w:val="2"/>
              <w14:ligatures w14:val="standardContextual"/>
            </w:rPr>
          </w:pPr>
          <w:hyperlink w:anchor="_Toc149898304" w:history="1">
            <w:r w:rsidR="000E2238" w:rsidRPr="003D01CA">
              <w:rPr>
                <w:rStyle w:val="Hyperlink"/>
                <w:noProof/>
              </w:rPr>
              <w:t>3.7</w:t>
            </w:r>
            <w:r w:rsidR="000E2238">
              <w:rPr>
                <w:rFonts w:eastAsiaTheme="minorEastAsia"/>
                <w:noProof/>
                <w:kern w:val="2"/>
                <w14:ligatures w14:val="standardContextual"/>
              </w:rPr>
              <w:tab/>
            </w:r>
            <w:r w:rsidR="000E2238" w:rsidRPr="003D01CA">
              <w:rPr>
                <w:rStyle w:val="Hyperlink"/>
                <w:noProof/>
              </w:rPr>
              <w:t>Using Computer software associated with an analytical instrument</w:t>
            </w:r>
            <w:r w:rsidR="000E2238">
              <w:rPr>
                <w:noProof/>
                <w:webHidden/>
              </w:rPr>
              <w:tab/>
            </w:r>
            <w:r w:rsidR="000E2238">
              <w:rPr>
                <w:noProof/>
                <w:webHidden/>
              </w:rPr>
              <w:fldChar w:fldCharType="begin"/>
            </w:r>
            <w:r w:rsidR="000E2238">
              <w:rPr>
                <w:noProof/>
                <w:webHidden/>
              </w:rPr>
              <w:instrText xml:space="preserve"> PAGEREF _Toc149898304 \h </w:instrText>
            </w:r>
            <w:r w:rsidR="000E2238">
              <w:rPr>
                <w:noProof/>
                <w:webHidden/>
              </w:rPr>
            </w:r>
            <w:r w:rsidR="000E2238">
              <w:rPr>
                <w:noProof/>
                <w:webHidden/>
              </w:rPr>
              <w:fldChar w:fldCharType="separate"/>
            </w:r>
            <w:r w:rsidR="000B324C">
              <w:rPr>
                <w:noProof/>
                <w:webHidden/>
              </w:rPr>
              <w:t>7</w:t>
            </w:r>
            <w:r w:rsidR="000E2238">
              <w:rPr>
                <w:noProof/>
                <w:webHidden/>
              </w:rPr>
              <w:fldChar w:fldCharType="end"/>
            </w:r>
          </w:hyperlink>
        </w:p>
        <w:p w14:paraId="056EE40E" w14:textId="1A2B822D" w:rsidR="000E2238" w:rsidRDefault="00000000">
          <w:pPr>
            <w:pStyle w:val="TOC1"/>
            <w:tabs>
              <w:tab w:val="left" w:pos="440"/>
              <w:tab w:val="right" w:leader="dot" w:pos="9350"/>
            </w:tabs>
            <w:rPr>
              <w:rFonts w:eastAsiaTheme="minorEastAsia"/>
              <w:noProof/>
              <w:kern w:val="2"/>
              <w14:ligatures w14:val="standardContextual"/>
            </w:rPr>
          </w:pPr>
          <w:hyperlink w:anchor="_Toc149898305" w:history="1">
            <w:r w:rsidR="000E2238" w:rsidRPr="003D01CA">
              <w:rPr>
                <w:rStyle w:val="Hyperlink"/>
                <w:noProof/>
              </w:rPr>
              <w:t>4</w:t>
            </w:r>
            <w:r w:rsidR="000E2238">
              <w:rPr>
                <w:rFonts w:eastAsiaTheme="minorEastAsia"/>
                <w:noProof/>
                <w:kern w:val="2"/>
                <w14:ligatures w14:val="standardContextual"/>
              </w:rPr>
              <w:tab/>
            </w:r>
            <w:r w:rsidR="000E2238" w:rsidRPr="003D01CA">
              <w:rPr>
                <w:rStyle w:val="Hyperlink"/>
                <w:noProof/>
              </w:rPr>
              <w:t>Examples</w:t>
            </w:r>
            <w:r w:rsidR="000E2238">
              <w:rPr>
                <w:noProof/>
                <w:webHidden/>
              </w:rPr>
              <w:tab/>
            </w:r>
            <w:r w:rsidR="000E2238">
              <w:rPr>
                <w:noProof/>
                <w:webHidden/>
              </w:rPr>
              <w:fldChar w:fldCharType="begin"/>
            </w:r>
            <w:r w:rsidR="000E2238">
              <w:rPr>
                <w:noProof/>
                <w:webHidden/>
              </w:rPr>
              <w:instrText xml:space="preserve"> PAGEREF _Toc149898305 \h </w:instrText>
            </w:r>
            <w:r w:rsidR="000E2238">
              <w:rPr>
                <w:noProof/>
                <w:webHidden/>
              </w:rPr>
            </w:r>
            <w:r w:rsidR="000E2238">
              <w:rPr>
                <w:noProof/>
                <w:webHidden/>
              </w:rPr>
              <w:fldChar w:fldCharType="separate"/>
            </w:r>
            <w:r w:rsidR="000B324C">
              <w:rPr>
                <w:noProof/>
                <w:webHidden/>
              </w:rPr>
              <w:t>7</w:t>
            </w:r>
            <w:r w:rsidR="000E2238">
              <w:rPr>
                <w:noProof/>
                <w:webHidden/>
              </w:rPr>
              <w:fldChar w:fldCharType="end"/>
            </w:r>
          </w:hyperlink>
        </w:p>
        <w:p w14:paraId="0A2FAA4E" w14:textId="6EC877C6" w:rsidR="000E2238" w:rsidRDefault="00000000">
          <w:pPr>
            <w:pStyle w:val="TOC2"/>
            <w:rPr>
              <w:rFonts w:eastAsiaTheme="minorEastAsia"/>
              <w:noProof/>
              <w:kern w:val="2"/>
              <w14:ligatures w14:val="standardContextual"/>
            </w:rPr>
          </w:pPr>
          <w:hyperlink w:anchor="_Toc149898306" w:history="1">
            <w:r w:rsidR="000E2238" w:rsidRPr="003D01CA">
              <w:rPr>
                <w:rStyle w:val="Hyperlink"/>
                <w:noProof/>
              </w:rPr>
              <w:t>4.1</w:t>
            </w:r>
            <w:r w:rsidR="000E2238">
              <w:rPr>
                <w:rFonts w:eastAsiaTheme="minorEastAsia"/>
                <w:noProof/>
                <w:kern w:val="2"/>
                <w14:ligatures w14:val="standardContextual"/>
              </w:rPr>
              <w:tab/>
            </w:r>
            <w:r w:rsidR="000E2238" w:rsidRPr="003D01CA">
              <w:rPr>
                <w:rStyle w:val="Hyperlink"/>
                <w:noProof/>
              </w:rPr>
              <w:t>Computation of a sample concentration</w:t>
            </w:r>
            <w:r w:rsidR="000E2238">
              <w:rPr>
                <w:noProof/>
                <w:webHidden/>
              </w:rPr>
              <w:tab/>
            </w:r>
            <w:r w:rsidR="000E2238">
              <w:rPr>
                <w:noProof/>
                <w:webHidden/>
              </w:rPr>
              <w:fldChar w:fldCharType="begin"/>
            </w:r>
            <w:r w:rsidR="000E2238">
              <w:rPr>
                <w:noProof/>
                <w:webHidden/>
              </w:rPr>
              <w:instrText xml:space="preserve"> PAGEREF _Toc149898306 \h </w:instrText>
            </w:r>
            <w:r w:rsidR="000E2238">
              <w:rPr>
                <w:noProof/>
                <w:webHidden/>
              </w:rPr>
            </w:r>
            <w:r w:rsidR="000E2238">
              <w:rPr>
                <w:noProof/>
                <w:webHidden/>
              </w:rPr>
              <w:fldChar w:fldCharType="separate"/>
            </w:r>
            <w:r w:rsidR="000B324C">
              <w:rPr>
                <w:noProof/>
                <w:webHidden/>
              </w:rPr>
              <w:t>7</w:t>
            </w:r>
            <w:r w:rsidR="000E2238">
              <w:rPr>
                <w:noProof/>
                <w:webHidden/>
              </w:rPr>
              <w:fldChar w:fldCharType="end"/>
            </w:r>
          </w:hyperlink>
        </w:p>
        <w:p w14:paraId="61A5352C" w14:textId="4ADF40ED" w:rsidR="000E2238" w:rsidRDefault="00000000">
          <w:pPr>
            <w:pStyle w:val="TOC2"/>
            <w:rPr>
              <w:rFonts w:eastAsiaTheme="minorEastAsia"/>
              <w:noProof/>
              <w:kern w:val="2"/>
              <w14:ligatures w14:val="standardContextual"/>
            </w:rPr>
          </w:pPr>
          <w:hyperlink w:anchor="_Toc149898307" w:history="1">
            <w:r w:rsidR="000E2238" w:rsidRPr="003D01CA">
              <w:rPr>
                <w:rStyle w:val="Hyperlink"/>
                <w:noProof/>
              </w:rPr>
              <w:t>4.2</w:t>
            </w:r>
            <w:r w:rsidR="000E2238">
              <w:rPr>
                <w:rFonts w:eastAsiaTheme="minorEastAsia"/>
                <w:noProof/>
                <w:kern w:val="2"/>
                <w14:ligatures w14:val="standardContextual"/>
              </w:rPr>
              <w:tab/>
            </w:r>
            <w:r w:rsidR="000E2238" w:rsidRPr="003D01CA">
              <w:rPr>
                <w:rStyle w:val="Hyperlink"/>
                <w:noProof/>
              </w:rPr>
              <w:t>Computation of a recovery of a Positive Control (LCS)</w:t>
            </w:r>
            <w:r w:rsidR="000E2238">
              <w:rPr>
                <w:noProof/>
                <w:webHidden/>
              </w:rPr>
              <w:tab/>
            </w:r>
            <w:r w:rsidR="000E2238">
              <w:rPr>
                <w:noProof/>
                <w:webHidden/>
              </w:rPr>
              <w:fldChar w:fldCharType="begin"/>
            </w:r>
            <w:r w:rsidR="000E2238">
              <w:rPr>
                <w:noProof/>
                <w:webHidden/>
              </w:rPr>
              <w:instrText xml:space="preserve"> PAGEREF _Toc149898307 \h </w:instrText>
            </w:r>
            <w:r w:rsidR="000E2238">
              <w:rPr>
                <w:noProof/>
                <w:webHidden/>
              </w:rPr>
            </w:r>
            <w:r w:rsidR="000E2238">
              <w:rPr>
                <w:noProof/>
                <w:webHidden/>
              </w:rPr>
              <w:fldChar w:fldCharType="separate"/>
            </w:r>
            <w:r w:rsidR="000B324C">
              <w:rPr>
                <w:noProof/>
                <w:webHidden/>
              </w:rPr>
              <w:t>7</w:t>
            </w:r>
            <w:r w:rsidR="000E2238">
              <w:rPr>
                <w:noProof/>
                <w:webHidden/>
              </w:rPr>
              <w:fldChar w:fldCharType="end"/>
            </w:r>
          </w:hyperlink>
        </w:p>
        <w:p w14:paraId="19F5B3BA" w14:textId="28696F85" w:rsidR="000E2238" w:rsidRDefault="00000000">
          <w:pPr>
            <w:pStyle w:val="TOC2"/>
            <w:rPr>
              <w:rFonts w:eastAsiaTheme="minorEastAsia"/>
              <w:noProof/>
              <w:kern w:val="2"/>
              <w14:ligatures w14:val="standardContextual"/>
            </w:rPr>
          </w:pPr>
          <w:hyperlink w:anchor="_Toc149898308" w:history="1">
            <w:r w:rsidR="000E2238" w:rsidRPr="003D01CA">
              <w:rPr>
                <w:rStyle w:val="Hyperlink"/>
                <w:noProof/>
              </w:rPr>
              <w:t>4.3</w:t>
            </w:r>
            <w:r w:rsidR="000E2238">
              <w:rPr>
                <w:rFonts w:eastAsiaTheme="minorEastAsia"/>
                <w:noProof/>
                <w:kern w:val="2"/>
                <w14:ligatures w14:val="standardContextual"/>
              </w:rPr>
              <w:tab/>
            </w:r>
            <w:r w:rsidR="000E2238" w:rsidRPr="003D01CA">
              <w:rPr>
                <w:rStyle w:val="Hyperlink"/>
                <w:noProof/>
              </w:rPr>
              <w:t>Computation of recovery from a spiked sample</w:t>
            </w:r>
            <w:r w:rsidR="000E2238">
              <w:rPr>
                <w:noProof/>
                <w:webHidden/>
              </w:rPr>
              <w:tab/>
            </w:r>
            <w:r w:rsidR="000E2238">
              <w:rPr>
                <w:noProof/>
                <w:webHidden/>
              </w:rPr>
              <w:fldChar w:fldCharType="begin"/>
            </w:r>
            <w:r w:rsidR="000E2238">
              <w:rPr>
                <w:noProof/>
                <w:webHidden/>
              </w:rPr>
              <w:instrText xml:space="preserve"> PAGEREF _Toc149898308 \h </w:instrText>
            </w:r>
            <w:r w:rsidR="000E2238">
              <w:rPr>
                <w:noProof/>
                <w:webHidden/>
              </w:rPr>
            </w:r>
            <w:r w:rsidR="000E2238">
              <w:rPr>
                <w:noProof/>
                <w:webHidden/>
              </w:rPr>
              <w:fldChar w:fldCharType="separate"/>
            </w:r>
            <w:r w:rsidR="000B324C">
              <w:rPr>
                <w:noProof/>
                <w:webHidden/>
              </w:rPr>
              <w:t>7</w:t>
            </w:r>
            <w:r w:rsidR="000E2238">
              <w:rPr>
                <w:noProof/>
                <w:webHidden/>
              </w:rPr>
              <w:fldChar w:fldCharType="end"/>
            </w:r>
          </w:hyperlink>
        </w:p>
        <w:p w14:paraId="01FC98C7" w14:textId="645EB0B0" w:rsidR="000E2238" w:rsidRDefault="00000000">
          <w:pPr>
            <w:pStyle w:val="TOC1"/>
            <w:tabs>
              <w:tab w:val="left" w:pos="440"/>
              <w:tab w:val="right" w:leader="dot" w:pos="9350"/>
            </w:tabs>
            <w:rPr>
              <w:rFonts w:eastAsiaTheme="minorEastAsia"/>
              <w:noProof/>
              <w:kern w:val="2"/>
              <w14:ligatures w14:val="standardContextual"/>
            </w:rPr>
          </w:pPr>
          <w:hyperlink w:anchor="_Toc149898309" w:history="1">
            <w:r w:rsidR="000E2238" w:rsidRPr="003D01CA">
              <w:rPr>
                <w:rStyle w:val="Hyperlink"/>
                <w:noProof/>
              </w:rPr>
              <w:t>5</w:t>
            </w:r>
            <w:r w:rsidR="000E2238">
              <w:rPr>
                <w:rFonts w:eastAsiaTheme="minorEastAsia"/>
                <w:noProof/>
                <w:kern w:val="2"/>
                <w14:ligatures w14:val="standardContextual"/>
              </w:rPr>
              <w:tab/>
            </w:r>
            <w:r w:rsidR="000E2238" w:rsidRPr="003D01CA">
              <w:rPr>
                <w:rStyle w:val="Hyperlink"/>
                <w:noProof/>
              </w:rPr>
              <w:t>References</w:t>
            </w:r>
            <w:r w:rsidR="000E2238">
              <w:rPr>
                <w:noProof/>
                <w:webHidden/>
              </w:rPr>
              <w:tab/>
            </w:r>
            <w:r w:rsidR="000E2238">
              <w:rPr>
                <w:noProof/>
                <w:webHidden/>
              </w:rPr>
              <w:fldChar w:fldCharType="begin"/>
            </w:r>
            <w:r w:rsidR="000E2238">
              <w:rPr>
                <w:noProof/>
                <w:webHidden/>
              </w:rPr>
              <w:instrText xml:space="preserve"> PAGEREF _Toc149898309 \h </w:instrText>
            </w:r>
            <w:r w:rsidR="000E2238">
              <w:rPr>
                <w:noProof/>
                <w:webHidden/>
              </w:rPr>
            </w:r>
            <w:r w:rsidR="000E2238">
              <w:rPr>
                <w:noProof/>
                <w:webHidden/>
              </w:rPr>
              <w:fldChar w:fldCharType="separate"/>
            </w:r>
            <w:r w:rsidR="000B324C">
              <w:rPr>
                <w:noProof/>
                <w:webHidden/>
              </w:rPr>
              <w:t>8</w:t>
            </w:r>
            <w:r w:rsidR="000E2238">
              <w:rPr>
                <w:noProof/>
                <w:webHidden/>
              </w:rPr>
              <w:fldChar w:fldCharType="end"/>
            </w:r>
          </w:hyperlink>
        </w:p>
        <w:p w14:paraId="527DB23B" w14:textId="570CE0E9" w:rsidR="000E2238" w:rsidRDefault="00000000">
          <w:pPr>
            <w:pStyle w:val="TOC1"/>
            <w:tabs>
              <w:tab w:val="left" w:pos="440"/>
              <w:tab w:val="right" w:leader="dot" w:pos="9350"/>
            </w:tabs>
            <w:rPr>
              <w:rFonts w:eastAsiaTheme="minorEastAsia"/>
              <w:noProof/>
              <w:kern w:val="2"/>
              <w14:ligatures w14:val="standardContextual"/>
            </w:rPr>
          </w:pPr>
          <w:hyperlink w:anchor="_Toc149898310" w:history="1">
            <w:r w:rsidR="000E2238" w:rsidRPr="003D01CA">
              <w:rPr>
                <w:rStyle w:val="Hyperlink"/>
                <w:noProof/>
              </w:rPr>
              <w:t>6</w:t>
            </w:r>
            <w:r w:rsidR="000E2238">
              <w:rPr>
                <w:rFonts w:eastAsiaTheme="minorEastAsia"/>
                <w:noProof/>
                <w:kern w:val="2"/>
                <w14:ligatures w14:val="standardContextual"/>
              </w:rPr>
              <w:tab/>
            </w:r>
            <w:r w:rsidR="000E2238" w:rsidRPr="003D01CA">
              <w:rPr>
                <w:rStyle w:val="Hyperlink"/>
                <w:noProof/>
              </w:rPr>
              <w:t>Definitions and Acronyms</w:t>
            </w:r>
            <w:r w:rsidR="000E2238">
              <w:rPr>
                <w:noProof/>
                <w:webHidden/>
              </w:rPr>
              <w:tab/>
            </w:r>
            <w:r w:rsidR="000E2238">
              <w:rPr>
                <w:noProof/>
                <w:webHidden/>
              </w:rPr>
              <w:fldChar w:fldCharType="begin"/>
            </w:r>
            <w:r w:rsidR="000E2238">
              <w:rPr>
                <w:noProof/>
                <w:webHidden/>
              </w:rPr>
              <w:instrText xml:space="preserve"> PAGEREF _Toc149898310 \h </w:instrText>
            </w:r>
            <w:r w:rsidR="000E2238">
              <w:rPr>
                <w:noProof/>
                <w:webHidden/>
              </w:rPr>
            </w:r>
            <w:r w:rsidR="000E2238">
              <w:rPr>
                <w:noProof/>
                <w:webHidden/>
              </w:rPr>
              <w:fldChar w:fldCharType="separate"/>
            </w:r>
            <w:r w:rsidR="000B324C">
              <w:rPr>
                <w:noProof/>
                <w:webHidden/>
              </w:rPr>
              <w:t>8</w:t>
            </w:r>
            <w:r w:rsidR="000E2238">
              <w:rPr>
                <w:noProof/>
                <w:webHidden/>
              </w:rPr>
              <w:fldChar w:fldCharType="end"/>
            </w:r>
          </w:hyperlink>
        </w:p>
        <w:p w14:paraId="3B2B5428" w14:textId="0C60EF39" w:rsidR="000E2238" w:rsidRDefault="00000000">
          <w:pPr>
            <w:pStyle w:val="TOC2"/>
            <w:rPr>
              <w:rFonts w:eastAsiaTheme="minorEastAsia"/>
              <w:noProof/>
              <w:kern w:val="2"/>
              <w14:ligatures w14:val="standardContextual"/>
            </w:rPr>
          </w:pPr>
          <w:hyperlink w:anchor="_Toc149898311" w:history="1">
            <w:r w:rsidR="000E2238" w:rsidRPr="003D01CA">
              <w:rPr>
                <w:rStyle w:val="Hyperlink"/>
                <w:noProof/>
              </w:rPr>
              <w:t>6.1</w:t>
            </w:r>
            <w:r w:rsidR="000E2238">
              <w:rPr>
                <w:rFonts w:eastAsiaTheme="minorEastAsia"/>
                <w:noProof/>
                <w:kern w:val="2"/>
                <w14:ligatures w14:val="standardContextual"/>
              </w:rPr>
              <w:tab/>
            </w:r>
            <w:r w:rsidR="000E2238" w:rsidRPr="003D01CA">
              <w:rPr>
                <w:rStyle w:val="Hyperlink"/>
                <w:noProof/>
              </w:rPr>
              <w:t>Definitions</w:t>
            </w:r>
            <w:r w:rsidR="000E2238">
              <w:rPr>
                <w:noProof/>
                <w:webHidden/>
              </w:rPr>
              <w:tab/>
            </w:r>
            <w:r w:rsidR="000E2238">
              <w:rPr>
                <w:noProof/>
                <w:webHidden/>
              </w:rPr>
              <w:fldChar w:fldCharType="begin"/>
            </w:r>
            <w:r w:rsidR="000E2238">
              <w:rPr>
                <w:noProof/>
                <w:webHidden/>
              </w:rPr>
              <w:instrText xml:space="preserve"> PAGEREF _Toc149898311 \h </w:instrText>
            </w:r>
            <w:r w:rsidR="000E2238">
              <w:rPr>
                <w:noProof/>
                <w:webHidden/>
              </w:rPr>
            </w:r>
            <w:r w:rsidR="000E2238">
              <w:rPr>
                <w:noProof/>
                <w:webHidden/>
              </w:rPr>
              <w:fldChar w:fldCharType="separate"/>
            </w:r>
            <w:r w:rsidR="000B324C">
              <w:rPr>
                <w:noProof/>
                <w:webHidden/>
              </w:rPr>
              <w:t>8</w:t>
            </w:r>
            <w:r w:rsidR="000E2238">
              <w:rPr>
                <w:noProof/>
                <w:webHidden/>
              </w:rPr>
              <w:fldChar w:fldCharType="end"/>
            </w:r>
          </w:hyperlink>
        </w:p>
        <w:p w14:paraId="08486165" w14:textId="216D7440" w:rsidR="000E2238" w:rsidRDefault="00000000">
          <w:pPr>
            <w:pStyle w:val="TOC2"/>
            <w:rPr>
              <w:rFonts w:eastAsiaTheme="minorEastAsia"/>
              <w:noProof/>
              <w:kern w:val="2"/>
              <w14:ligatures w14:val="standardContextual"/>
            </w:rPr>
          </w:pPr>
          <w:hyperlink w:anchor="_Toc149898312" w:history="1">
            <w:r w:rsidR="000E2238" w:rsidRPr="003D01CA">
              <w:rPr>
                <w:rStyle w:val="Hyperlink"/>
                <w:noProof/>
              </w:rPr>
              <w:t>6.2</w:t>
            </w:r>
            <w:r w:rsidR="000E2238">
              <w:rPr>
                <w:rFonts w:eastAsiaTheme="minorEastAsia"/>
                <w:noProof/>
                <w:kern w:val="2"/>
                <w14:ligatures w14:val="standardContextual"/>
              </w:rPr>
              <w:tab/>
            </w:r>
            <w:r w:rsidR="000E2238" w:rsidRPr="003D01CA">
              <w:rPr>
                <w:rStyle w:val="Hyperlink"/>
                <w:noProof/>
              </w:rPr>
              <w:t>Acronyms</w:t>
            </w:r>
            <w:r w:rsidR="000E2238">
              <w:rPr>
                <w:noProof/>
                <w:webHidden/>
              </w:rPr>
              <w:tab/>
            </w:r>
            <w:r w:rsidR="000E2238">
              <w:rPr>
                <w:noProof/>
                <w:webHidden/>
              </w:rPr>
              <w:fldChar w:fldCharType="begin"/>
            </w:r>
            <w:r w:rsidR="000E2238">
              <w:rPr>
                <w:noProof/>
                <w:webHidden/>
              </w:rPr>
              <w:instrText xml:space="preserve"> PAGEREF _Toc149898312 \h </w:instrText>
            </w:r>
            <w:r w:rsidR="000E2238">
              <w:rPr>
                <w:noProof/>
                <w:webHidden/>
              </w:rPr>
            </w:r>
            <w:r w:rsidR="000E2238">
              <w:rPr>
                <w:noProof/>
                <w:webHidden/>
              </w:rPr>
              <w:fldChar w:fldCharType="separate"/>
            </w:r>
            <w:r w:rsidR="000B324C">
              <w:rPr>
                <w:noProof/>
                <w:webHidden/>
              </w:rPr>
              <w:t>8</w:t>
            </w:r>
            <w:r w:rsidR="000E2238">
              <w:rPr>
                <w:noProof/>
                <w:webHidden/>
              </w:rPr>
              <w:fldChar w:fldCharType="end"/>
            </w:r>
          </w:hyperlink>
        </w:p>
        <w:p w14:paraId="7E89D737" w14:textId="5BCD1184" w:rsidR="003626F6" w:rsidRDefault="003626F6">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6849C3DA" w14:textId="77777777" w:rsidR="00BC3F57" w:rsidRDefault="00BC3F57" w:rsidP="00BC3F57">
      <w:pPr>
        <w:pStyle w:val="Heading2"/>
      </w:pPr>
      <w:bookmarkStart w:id="1" w:name="_Toc149898295"/>
      <w:r>
        <w:t>Equations</w:t>
      </w:r>
      <w:bookmarkEnd w:id="1"/>
    </w:p>
    <w:p w14:paraId="07972C63" w14:textId="77777777" w:rsidR="005C0F18" w:rsidRDefault="005C0F18">
      <w:pPr>
        <w:pStyle w:val="TableofFigures"/>
        <w:tabs>
          <w:tab w:val="right" w:leader="dot" w:pos="9350"/>
        </w:tabs>
      </w:pPr>
    </w:p>
    <w:p w14:paraId="530682E8" w14:textId="3FB5C4C3" w:rsidR="00E92C85" w:rsidRDefault="00000000">
      <w:pPr>
        <w:pStyle w:val="TableofFigures"/>
        <w:tabs>
          <w:tab w:val="right" w:leader="dot" w:pos="9350"/>
        </w:tabs>
        <w:rPr>
          <w:rFonts w:eastAsiaTheme="minorEastAsia"/>
          <w:noProof/>
          <w:kern w:val="2"/>
          <w14:ligatures w14:val="standardContextual"/>
        </w:rPr>
      </w:pPr>
      <w:r>
        <w:fldChar w:fldCharType="begin"/>
      </w:r>
      <w:r>
        <w:instrText xml:space="preserve"> TOC \h \z \c "Equation" </w:instrText>
      </w:r>
      <w:r>
        <w:fldChar w:fldCharType="separate"/>
      </w:r>
      <w:hyperlink w:anchor="_Toc149057027" w:history="1">
        <w:r w:rsidR="00E92C85" w:rsidRPr="00B26C28">
          <w:rPr>
            <w:rStyle w:val="Hyperlink"/>
            <w:noProof/>
          </w:rPr>
          <w:t>Equation 1 computation of a concentration by dilution</w:t>
        </w:r>
        <w:r w:rsidR="00E92C85">
          <w:rPr>
            <w:noProof/>
            <w:webHidden/>
          </w:rPr>
          <w:tab/>
        </w:r>
        <w:r w:rsidR="00E92C85">
          <w:rPr>
            <w:noProof/>
            <w:webHidden/>
          </w:rPr>
          <w:fldChar w:fldCharType="begin"/>
        </w:r>
        <w:r w:rsidR="00E92C85">
          <w:rPr>
            <w:noProof/>
            <w:webHidden/>
          </w:rPr>
          <w:instrText xml:space="preserve"> PAGEREF _Toc149057027 \h </w:instrText>
        </w:r>
        <w:r w:rsidR="00E92C85">
          <w:rPr>
            <w:noProof/>
            <w:webHidden/>
          </w:rPr>
        </w:r>
        <w:r w:rsidR="00E92C85">
          <w:rPr>
            <w:noProof/>
            <w:webHidden/>
          </w:rPr>
          <w:fldChar w:fldCharType="separate"/>
        </w:r>
        <w:r w:rsidR="000E2238">
          <w:rPr>
            <w:noProof/>
            <w:webHidden/>
          </w:rPr>
          <w:t>7</w:t>
        </w:r>
        <w:r w:rsidR="00E92C85">
          <w:rPr>
            <w:noProof/>
            <w:webHidden/>
          </w:rPr>
          <w:fldChar w:fldCharType="end"/>
        </w:r>
      </w:hyperlink>
    </w:p>
    <w:p w14:paraId="3BD8E42F" w14:textId="1068E7B1" w:rsidR="00E92C85" w:rsidRDefault="00000000">
      <w:pPr>
        <w:pStyle w:val="TableofFigures"/>
        <w:tabs>
          <w:tab w:val="right" w:leader="dot" w:pos="9350"/>
        </w:tabs>
        <w:rPr>
          <w:rFonts w:eastAsiaTheme="minorEastAsia"/>
          <w:noProof/>
          <w:kern w:val="2"/>
          <w14:ligatures w14:val="standardContextual"/>
        </w:rPr>
      </w:pPr>
      <w:hyperlink w:anchor="_Toc149057028" w:history="1">
        <w:r w:rsidR="00E92C85" w:rsidRPr="00B26C28">
          <w:rPr>
            <w:rStyle w:val="Hyperlink"/>
            <w:noProof/>
          </w:rPr>
          <w:t>Equation 2 computation of a recovery</w:t>
        </w:r>
        <w:r w:rsidR="00E92C85">
          <w:rPr>
            <w:noProof/>
            <w:webHidden/>
          </w:rPr>
          <w:tab/>
        </w:r>
        <w:r w:rsidR="00E92C85">
          <w:rPr>
            <w:noProof/>
            <w:webHidden/>
          </w:rPr>
          <w:fldChar w:fldCharType="begin"/>
        </w:r>
        <w:r w:rsidR="00E92C85">
          <w:rPr>
            <w:noProof/>
            <w:webHidden/>
          </w:rPr>
          <w:instrText xml:space="preserve"> PAGEREF _Toc149057028 \h </w:instrText>
        </w:r>
        <w:r w:rsidR="00E92C85">
          <w:rPr>
            <w:noProof/>
            <w:webHidden/>
          </w:rPr>
        </w:r>
        <w:r w:rsidR="00E92C85">
          <w:rPr>
            <w:noProof/>
            <w:webHidden/>
          </w:rPr>
          <w:fldChar w:fldCharType="separate"/>
        </w:r>
        <w:r w:rsidR="000E2238">
          <w:rPr>
            <w:noProof/>
            <w:webHidden/>
          </w:rPr>
          <w:t>7</w:t>
        </w:r>
        <w:r w:rsidR="00E92C85">
          <w:rPr>
            <w:noProof/>
            <w:webHidden/>
          </w:rPr>
          <w:fldChar w:fldCharType="end"/>
        </w:r>
      </w:hyperlink>
    </w:p>
    <w:p w14:paraId="0AB6BA1E" w14:textId="649361E7" w:rsidR="00E92C85" w:rsidRDefault="00000000">
      <w:pPr>
        <w:pStyle w:val="TableofFigures"/>
        <w:tabs>
          <w:tab w:val="right" w:leader="dot" w:pos="9350"/>
        </w:tabs>
        <w:rPr>
          <w:rFonts w:eastAsiaTheme="minorEastAsia"/>
          <w:noProof/>
          <w:kern w:val="2"/>
          <w14:ligatures w14:val="standardContextual"/>
        </w:rPr>
      </w:pPr>
      <w:hyperlink w:anchor="_Toc149057029" w:history="1">
        <w:r w:rsidR="00E92C85" w:rsidRPr="00B26C28">
          <w:rPr>
            <w:rStyle w:val="Hyperlink"/>
            <w:noProof/>
          </w:rPr>
          <w:t>Equation 3 computation of a spike recovery</w:t>
        </w:r>
        <w:r w:rsidR="00E92C85">
          <w:rPr>
            <w:noProof/>
            <w:webHidden/>
          </w:rPr>
          <w:tab/>
        </w:r>
        <w:r w:rsidR="00E92C85">
          <w:rPr>
            <w:noProof/>
            <w:webHidden/>
          </w:rPr>
          <w:fldChar w:fldCharType="begin"/>
        </w:r>
        <w:r w:rsidR="00E92C85">
          <w:rPr>
            <w:noProof/>
            <w:webHidden/>
          </w:rPr>
          <w:instrText xml:space="preserve"> PAGEREF _Toc149057029 \h </w:instrText>
        </w:r>
        <w:r w:rsidR="00E92C85">
          <w:rPr>
            <w:noProof/>
            <w:webHidden/>
          </w:rPr>
        </w:r>
        <w:r w:rsidR="00E92C85">
          <w:rPr>
            <w:noProof/>
            <w:webHidden/>
          </w:rPr>
          <w:fldChar w:fldCharType="separate"/>
        </w:r>
        <w:r w:rsidR="000E2238">
          <w:rPr>
            <w:noProof/>
            <w:webHidden/>
          </w:rPr>
          <w:t>8</w:t>
        </w:r>
        <w:r w:rsidR="00E92C85">
          <w:rPr>
            <w:noProof/>
            <w:webHidden/>
          </w:rPr>
          <w:fldChar w:fldCharType="end"/>
        </w:r>
      </w:hyperlink>
    </w:p>
    <w:p w14:paraId="3282C5E7" w14:textId="1F0EB89D" w:rsidR="00BC3F57" w:rsidRDefault="00000000" w:rsidP="00C457BE">
      <w:r>
        <w:rPr>
          <w:b/>
          <w:bCs/>
          <w:noProof/>
        </w:rPr>
        <w:fldChar w:fldCharType="end"/>
      </w:r>
    </w:p>
    <w:p w14:paraId="38D0A6FC" w14:textId="3F8D3342" w:rsidR="004712AE" w:rsidRDefault="004712AE" w:rsidP="00C457BE"/>
    <w:p w14:paraId="37A2D79B" w14:textId="7FE24700" w:rsidR="00C973FE" w:rsidRDefault="00C973FE">
      <w:r>
        <w:br w:type="page"/>
      </w:r>
    </w:p>
    <w:p w14:paraId="26CAC01D" w14:textId="77777777" w:rsidR="004712AE" w:rsidRDefault="004712AE" w:rsidP="00C457BE"/>
    <w:p w14:paraId="21C74179" w14:textId="49FFE7F4" w:rsidR="004E71B9" w:rsidRDefault="00676F95" w:rsidP="003626F6">
      <w:pPr>
        <w:pStyle w:val="Heading1"/>
      </w:pPr>
      <w:bookmarkStart w:id="2" w:name="_Toc149898296"/>
      <w:r>
        <w:t>Introduction</w:t>
      </w:r>
      <w:bookmarkEnd w:id="2"/>
    </w:p>
    <w:p w14:paraId="32544D06" w14:textId="3E39D776" w:rsidR="00D17F85" w:rsidRDefault="00D17F85" w:rsidP="00D17F85">
      <w:pPr>
        <w:spacing w:after="0" w:line="240" w:lineRule="auto"/>
        <w:rPr>
          <w:sz w:val="24"/>
          <w:szCs w:val="24"/>
        </w:rPr>
      </w:pPr>
    </w:p>
    <w:p w14:paraId="72722C81" w14:textId="587E4584" w:rsidR="00676F95" w:rsidRPr="00E006FC" w:rsidRDefault="00676F95" w:rsidP="00D17F85">
      <w:pPr>
        <w:spacing w:after="0" w:line="240" w:lineRule="auto"/>
        <w:rPr>
          <w:sz w:val="24"/>
          <w:szCs w:val="24"/>
        </w:rPr>
      </w:pPr>
      <w:r>
        <w:rPr>
          <w:sz w:val="24"/>
          <w:szCs w:val="24"/>
        </w:rPr>
        <w:t xml:space="preserve">Observations and instrument readings are applied to </w:t>
      </w:r>
      <w:r w:rsidR="00E50EA8">
        <w:rPr>
          <w:sz w:val="24"/>
          <w:szCs w:val="24"/>
        </w:rPr>
        <w:t>formula and evaluations to determine both the final analytical results and for the assessment of quality control functions.  The outcome of these operations can be through computer programs, calculators, or even manual computations.  When carrying out these operations, there is application of rounding procedures and</w:t>
      </w:r>
      <w:r w:rsidR="00300B07">
        <w:rPr>
          <w:sz w:val="24"/>
          <w:szCs w:val="24"/>
        </w:rPr>
        <w:t xml:space="preserve"> the establishment</w:t>
      </w:r>
      <w:r w:rsidR="00245AB4">
        <w:rPr>
          <w:sz w:val="24"/>
          <w:szCs w:val="24"/>
        </w:rPr>
        <w:t xml:space="preserve"> of</w:t>
      </w:r>
      <w:r w:rsidR="00E50EA8">
        <w:rPr>
          <w:sz w:val="24"/>
          <w:szCs w:val="24"/>
        </w:rPr>
        <w:t xml:space="preserve"> significant figures.</w:t>
      </w:r>
    </w:p>
    <w:p w14:paraId="6EC2293B" w14:textId="77777777" w:rsidR="00D17F85" w:rsidRPr="00E006FC" w:rsidRDefault="00D17F85" w:rsidP="00D17F85">
      <w:pPr>
        <w:spacing w:after="0" w:line="240" w:lineRule="auto"/>
        <w:rPr>
          <w:sz w:val="24"/>
          <w:szCs w:val="24"/>
        </w:rPr>
      </w:pPr>
    </w:p>
    <w:p w14:paraId="67595504" w14:textId="4943248E" w:rsidR="0078374A" w:rsidRDefault="00E50EA8" w:rsidP="0078374A">
      <w:pPr>
        <w:pStyle w:val="Heading1"/>
      </w:pPr>
      <w:bookmarkStart w:id="3" w:name="_Toc149898297"/>
      <w:r>
        <w:t>Procedure</w:t>
      </w:r>
      <w:bookmarkEnd w:id="3"/>
    </w:p>
    <w:p w14:paraId="691F569D" w14:textId="59E16B3D" w:rsidR="0078374A" w:rsidRPr="00E006FC" w:rsidRDefault="0078374A" w:rsidP="00D57721">
      <w:pPr>
        <w:spacing w:after="0" w:line="240" w:lineRule="auto"/>
        <w:rPr>
          <w:sz w:val="24"/>
          <w:szCs w:val="24"/>
        </w:rPr>
      </w:pPr>
    </w:p>
    <w:p w14:paraId="72B78DD8" w14:textId="77777777" w:rsidR="009C4E2A" w:rsidRDefault="009C4E2A" w:rsidP="009C4E2A">
      <w:pPr>
        <w:pStyle w:val="Heading2"/>
      </w:pPr>
      <w:bookmarkStart w:id="4" w:name="_Toc149898298"/>
      <w:r>
        <w:t>Recording of Instrument readings</w:t>
      </w:r>
      <w:bookmarkEnd w:id="4"/>
    </w:p>
    <w:p w14:paraId="7C14D286" w14:textId="77777777" w:rsidR="009C4E2A" w:rsidRDefault="009C4E2A" w:rsidP="00D57721">
      <w:pPr>
        <w:spacing w:after="0" w:line="240" w:lineRule="auto"/>
        <w:rPr>
          <w:sz w:val="24"/>
          <w:szCs w:val="24"/>
        </w:rPr>
      </w:pPr>
    </w:p>
    <w:p w14:paraId="37DBF32E" w14:textId="06C9858B" w:rsidR="00D17F85" w:rsidRPr="00E006FC" w:rsidRDefault="00245AB4" w:rsidP="00D57721">
      <w:pPr>
        <w:spacing w:after="0" w:line="240" w:lineRule="auto"/>
        <w:rPr>
          <w:sz w:val="24"/>
          <w:szCs w:val="24"/>
        </w:rPr>
      </w:pPr>
      <w:r>
        <w:rPr>
          <w:sz w:val="24"/>
          <w:szCs w:val="24"/>
        </w:rPr>
        <w:t>When recording written records of values provided by instrument readings or observations they are to be recorded at the observed or displayed value.  Values are not to be rounded or have any number of significant figures applied at this point.</w:t>
      </w:r>
    </w:p>
    <w:p w14:paraId="7AB7C0EB" w14:textId="77777777" w:rsidR="00D17F85" w:rsidRDefault="00D17F85" w:rsidP="00D57721">
      <w:pPr>
        <w:spacing w:after="0" w:line="240" w:lineRule="auto"/>
        <w:rPr>
          <w:sz w:val="24"/>
          <w:szCs w:val="24"/>
        </w:rPr>
      </w:pPr>
    </w:p>
    <w:p w14:paraId="00CE0DFB" w14:textId="0CD089C1" w:rsidR="009C4E2A" w:rsidRDefault="009C4E2A" w:rsidP="00193706">
      <w:pPr>
        <w:pStyle w:val="Heading2"/>
      </w:pPr>
      <w:bookmarkStart w:id="5" w:name="_Toc149898299"/>
      <w:r>
        <w:t>Intermediate Computations</w:t>
      </w:r>
      <w:bookmarkEnd w:id="5"/>
    </w:p>
    <w:p w14:paraId="03A6DA08" w14:textId="77777777" w:rsidR="00646197" w:rsidRDefault="00646197" w:rsidP="00D57721">
      <w:pPr>
        <w:spacing w:after="0" w:line="240" w:lineRule="auto"/>
        <w:rPr>
          <w:sz w:val="24"/>
          <w:szCs w:val="24"/>
        </w:rPr>
      </w:pPr>
    </w:p>
    <w:p w14:paraId="3387A1C2" w14:textId="0680D080" w:rsidR="00193706" w:rsidRDefault="00646197" w:rsidP="00D57721">
      <w:pPr>
        <w:spacing w:after="0" w:line="240" w:lineRule="auto"/>
        <w:rPr>
          <w:sz w:val="24"/>
          <w:szCs w:val="24"/>
        </w:rPr>
      </w:pPr>
      <w:r>
        <w:rPr>
          <w:sz w:val="24"/>
          <w:szCs w:val="24"/>
        </w:rPr>
        <w:t xml:space="preserve">All computations </w:t>
      </w:r>
      <w:r w:rsidR="00F63350">
        <w:rPr>
          <w:sz w:val="24"/>
          <w:szCs w:val="24"/>
        </w:rPr>
        <w:t>before</w:t>
      </w:r>
      <w:r>
        <w:rPr>
          <w:sz w:val="24"/>
          <w:szCs w:val="24"/>
        </w:rPr>
        <w:t xml:space="preserve"> </w:t>
      </w:r>
      <w:proofErr w:type="gramStart"/>
      <w:r>
        <w:rPr>
          <w:sz w:val="24"/>
          <w:szCs w:val="24"/>
        </w:rPr>
        <w:t>the final result</w:t>
      </w:r>
      <w:proofErr w:type="gramEnd"/>
      <w:r>
        <w:rPr>
          <w:sz w:val="24"/>
          <w:szCs w:val="24"/>
        </w:rPr>
        <w:t xml:space="preserve"> that are performed by hand, including the use of calculator, are to be carried out using the same number of significant figures derived from the instrument reading.</w:t>
      </w:r>
    </w:p>
    <w:p w14:paraId="654681AB" w14:textId="77777777" w:rsidR="00193706" w:rsidRDefault="00193706" w:rsidP="00D57721">
      <w:pPr>
        <w:spacing w:after="0" w:line="240" w:lineRule="auto"/>
        <w:rPr>
          <w:sz w:val="24"/>
          <w:szCs w:val="24"/>
        </w:rPr>
      </w:pPr>
    </w:p>
    <w:p w14:paraId="33D4870A" w14:textId="1AF11E27" w:rsidR="00646197" w:rsidRDefault="00646197" w:rsidP="00D57721">
      <w:pPr>
        <w:spacing w:after="0" w:line="240" w:lineRule="auto"/>
        <w:rPr>
          <w:sz w:val="24"/>
          <w:szCs w:val="24"/>
        </w:rPr>
      </w:pPr>
      <w:r>
        <w:rPr>
          <w:sz w:val="24"/>
          <w:szCs w:val="24"/>
        </w:rPr>
        <w:t xml:space="preserve">Significant figures for volumes </w:t>
      </w:r>
      <w:r w:rsidR="00193706">
        <w:rPr>
          <w:sz w:val="24"/>
          <w:szCs w:val="24"/>
        </w:rPr>
        <w:t>is 6 significant figures.  For example, 10mL is 10.0000mL, 1 liter is 1.00000L or 1,000.00mL</w:t>
      </w:r>
      <w:r>
        <w:rPr>
          <w:sz w:val="24"/>
          <w:szCs w:val="24"/>
        </w:rPr>
        <w:t>.</w:t>
      </w:r>
    </w:p>
    <w:p w14:paraId="67717A6B" w14:textId="77777777" w:rsidR="004619C8" w:rsidRDefault="004619C8" w:rsidP="00D57721">
      <w:pPr>
        <w:spacing w:after="0" w:line="240" w:lineRule="auto"/>
        <w:rPr>
          <w:sz w:val="24"/>
          <w:szCs w:val="24"/>
        </w:rPr>
      </w:pPr>
    </w:p>
    <w:p w14:paraId="03AAB424" w14:textId="3C13FB6D" w:rsidR="00193706" w:rsidRDefault="00193706" w:rsidP="00D57721">
      <w:pPr>
        <w:spacing w:after="0" w:line="240" w:lineRule="auto"/>
        <w:rPr>
          <w:sz w:val="24"/>
          <w:szCs w:val="24"/>
        </w:rPr>
      </w:pPr>
      <w:r>
        <w:rPr>
          <w:sz w:val="24"/>
          <w:szCs w:val="24"/>
        </w:rPr>
        <w:t xml:space="preserve">Significant figures for standard concentrations </w:t>
      </w:r>
      <w:r w:rsidR="00F63350">
        <w:rPr>
          <w:sz w:val="24"/>
          <w:szCs w:val="24"/>
        </w:rPr>
        <w:t>is 6 significant figures.  For example, a solution that is 10</w:t>
      </w:r>
      <w:r w:rsidR="00F63350">
        <w:rPr>
          <w:rFonts w:cstheme="minorHAnsi"/>
          <w:sz w:val="24"/>
          <w:szCs w:val="24"/>
        </w:rPr>
        <w:t>µ</w:t>
      </w:r>
      <w:r w:rsidR="00F63350">
        <w:rPr>
          <w:sz w:val="24"/>
          <w:szCs w:val="24"/>
        </w:rPr>
        <w:t xml:space="preserve">g/L is </w:t>
      </w:r>
      <w:proofErr w:type="gramStart"/>
      <w:r w:rsidR="00F63350">
        <w:rPr>
          <w:sz w:val="24"/>
          <w:szCs w:val="24"/>
        </w:rPr>
        <w:t>actually 10.0000</w:t>
      </w:r>
      <w:proofErr w:type="gramEnd"/>
      <w:r w:rsidR="00F63350">
        <w:rPr>
          <w:rFonts w:cstheme="minorHAnsi"/>
          <w:sz w:val="24"/>
          <w:szCs w:val="24"/>
        </w:rPr>
        <w:t>µ</w:t>
      </w:r>
      <w:r w:rsidR="00F63350">
        <w:rPr>
          <w:sz w:val="24"/>
          <w:szCs w:val="24"/>
        </w:rPr>
        <w:t>g/L.  The following are exceptions.</w:t>
      </w:r>
    </w:p>
    <w:p w14:paraId="28E01CEB" w14:textId="77777777" w:rsidR="00F63350" w:rsidRDefault="00F63350" w:rsidP="00D57721">
      <w:pPr>
        <w:spacing w:after="0" w:line="240" w:lineRule="auto"/>
        <w:rPr>
          <w:sz w:val="24"/>
          <w:szCs w:val="24"/>
        </w:rPr>
      </w:pPr>
    </w:p>
    <w:p w14:paraId="0EAA72AE" w14:textId="7A3287BE" w:rsidR="00F63350" w:rsidRPr="00F63350" w:rsidRDefault="00F63350" w:rsidP="00F63350">
      <w:pPr>
        <w:pStyle w:val="ListParagraph"/>
        <w:numPr>
          <w:ilvl w:val="0"/>
          <w:numId w:val="13"/>
        </w:numPr>
        <w:spacing w:after="0" w:line="240" w:lineRule="auto"/>
        <w:rPr>
          <w:sz w:val="24"/>
          <w:szCs w:val="24"/>
        </w:rPr>
      </w:pPr>
      <w:r w:rsidRPr="00F63350">
        <w:rPr>
          <w:sz w:val="24"/>
          <w:szCs w:val="24"/>
        </w:rPr>
        <w:t>Glucose/Glutamic acid solutions for BOD testing are 3 significant figures.</w:t>
      </w:r>
    </w:p>
    <w:p w14:paraId="17BE8A7A" w14:textId="23D2B9A7" w:rsidR="00F63350" w:rsidRPr="00F63350" w:rsidRDefault="00F63350" w:rsidP="00F63350">
      <w:pPr>
        <w:pStyle w:val="ListParagraph"/>
        <w:numPr>
          <w:ilvl w:val="0"/>
          <w:numId w:val="13"/>
        </w:numPr>
        <w:spacing w:after="0" w:line="240" w:lineRule="auto"/>
        <w:rPr>
          <w:sz w:val="24"/>
          <w:szCs w:val="24"/>
        </w:rPr>
      </w:pPr>
      <w:r w:rsidRPr="00F63350">
        <w:rPr>
          <w:sz w:val="24"/>
          <w:szCs w:val="24"/>
        </w:rPr>
        <w:t>Chlorine solutions that are not standardized against standard reductant are 2 significant figures.</w:t>
      </w:r>
    </w:p>
    <w:p w14:paraId="298A5C2F" w14:textId="77777777" w:rsidR="00193706" w:rsidRDefault="00193706" w:rsidP="00D57721">
      <w:pPr>
        <w:spacing w:after="0" w:line="240" w:lineRule="auto"/>
        <w:rPr>
          <w:sz w:val="24"/>
          <w:szCs w:val="24"/>
        </w:rPr>
      </w:pPr>
    </w:p>
    <w:p w14:paraId="6E891BFC" w14:textId="39AF61F0" w:rsidR="00193706" w:rsidRDefault="004619C8" w:rsidP="00D57721">
      <w:pPr>
        <w:spacing w:after="0" w:line="240" w:lineRule="auto"/>
        <w:rPr>
          <w:sz w:val="24"/>
          <w:szCs w:val="24"/>
        </w:rPr>
      </w:pPr>
      <w:r>
        <w:rPr>
          <w:sz w:val="24"/>
          <w:szCs w:val="24"/>
        </w:rPr>
        <w:t>When recording volumes</w:t>
      </w:r>
      <w:r w:rsidR="00F63350">
        <w:rPr>
          <w:sz w:val="24"/>
          <w:szCs w:val="24"/>
        </w:rPr>
        <w:t xml:space="preserve"> or standard concentrations</w:t>
      </w:r>
      <w:r>
        <w:rPr>
          <w:sz w:val="24"/>
          <w:szCs w:val="24"/>
        </w:rPr>
        <w:t>, it is not necessary to record as stated above and volumes are to be written as measured.  The number of significant figures is retained only in the background to be used when computing the final concentration.</w:t>
      </w:r>
    </w:p>
    <w:p w14:paraId="4D517A82" w14:textId="77777777" w:rsidR="004619C8" w:rsidRDefault="004619C8" w:rsidP="00D57721">
      <w:pPr>
        <w:spacing w:after="0" w:line="240" w:lineRule="auto"/>
        <w:rPr>
          <w:sz w:val="24"/>
          <w:szCs w:val="24"/>
        </w:rPr>
      </w:pPr>
    </w:p>
    <w:p w14:paraId="24C7853A" w14:textId="553297DE" w:rsidR="004619C8" w:rsidRDefault="004619C8" w:rsidP="00193706">
      <w:pPr>
        <w:pStyle w:val="Heading2"/>
      </w:pPr>
      <w:bookmarkStart w:id="6" w:name="_Toc149898300"/>
      <w:r>
        <w:lastRenderedPageBreak/>
        <w:t>Final Computations</w:t>
      </w:r>
      <w:bookmarkEnd w:id="6"/>
    </w:p>
    <w:p w14:paraId="3CBB68BC" w14:textId="77777777" w:rsidR="004619C8" w:rsidRDefault="004619C8" w:rsidP="00D57721">
      <w:pPr>
        <w:spacing w:after="0" w:line="240" w:lineRule="auto"/>
        <w:rPr>
          <w:sz w:val="24"/>
          <w:szCs w:val="24"/>
        </w:rPr>
      </w:pPr>
    </w:p>
    <w:p w14:paraId="32682AC9" w14:textId="224743A7" w:rsidR="004619C8" w:rsidRDefault="004619C8" w:rsidP="00D57721">
      <w:pPr>
        <w:spacing w:after="0" w:line="240" w:lineRule="auto"/>
        <w:rPr>
          <w:sz w:val="24"/>
          <w:szCs w:val="24"/>
        </w:rPr>
      </w:pPr>
      <w:r>
        <w:rPr>
          <w:sz w:val="24"/>
          <w:szCs w:val="24"/>
        </w:rPr>
        <w:t xml:space="preserve">When computing the final concentration, the number of significant figures comes into play.  Examine the various numerical inputs and determine the one with the least number of significant figures.  After computing </w:t>
      </w:r>
      <w:r w:rsidR="00EF543B">
        <w:rPr>
          <w:sz w:val="24"/>
          <w:szCs w:val="24"/>
        </w:rPr>
        <w:t>the result</w:t>
      </w:r>
      <w:r>
        <w:rPr>
          <w:sz w:val="24"/>
          <w:szCs w:val="24"/>
        </w:rPr>
        <w:t>, record the value only to that number of significant figures.</w:t>
      </w:r>
      <w:r w:rsidR="00BF2160">
        <w:rPr>
          <w:sz w:val="24"/>
          <w:szCs w:val="24"/>
        </w:rPr>
        <w:t xml:space="preserve">  Examples are provided below.</w:t>
      </w:r>
    </w:p>
    <w:p w14:paraId="0E9FDEB9" w14:textId="77777777" w:rsidR="00BF2160" w:rsidRDefault="00BF2160" w:rsidP="00D57721">
      <w:pPr>
        <w:spacing w:after="0" w:line="240" w:lineRule="auto"/>
        <w:rPr>
          <w:sz w:val="24"/>
          <w:szCs w:val="24"/>
        </w:rPr>
      </w:pPr>
    </w:p>
    <w:p w14:paraId="1D2716CD" w14:textId="301F17F7" w:rsidR="00BF2160" w:rsidRDefault="00BF2160" w:rsidP="00193706">
      <w:pPr>
        <w:pStyle w:val="Heading2"/>
      </w:pPr>
      <w:bookmarkStart w:id="7" w:name="_Toc149898301"/>
      <w:r>
        <w:t>Rounding Convention</w:t>
      </w:r>
      <w:bookmarkEnd w:id="7"/>
    </w:p>
    <w:p w14:paraId="45EE27AE" w14:textId="77777777" w:rsidR="00BF2160" w:rsidRDefault="00BF2160" w:rsidP="00D57721">
      <w:pPr>
        <w:spacing w:after="0" w:line="240" w:lineRule="auto"/>
        <w:rPr>
          <w:sz w:val="24"/>
          <w:szCs w:val="24"/>
        </w:rPr>
      </w:pPr>
    </w:p>
    <w:p w14:paraId="63B80120" w14:textId="6C65E1EC" w:rsidR="00BF2160" w:rsidRDefault="00BF2160" w:rsidP="00D57721">
      <w:pPr>
        <w:spacing w:after="0" w:line="240" w:lineRule="auto"/>
        <w:rPr>
          <w:sz w:val="24"/>
          <w:szCs w:val="24"/>
        </w:rPr>
      </w:pPr>
      <w:r>
        <w:rPr>
          <w:sz w:val="24"/>
          <w:szCs w:val="24"/>
        </w:rPr>
        <w:t>When rounding, use the process sometimes called the Bankers Rule.  Select the number of significant figures to be considered.  Examine the digit to the right of the selected figures and if it is 1, 2, 3, or 4 do not change the digit.  If it is 6, 7, 8, or 9, then change the digit to the next higher value.  If the digit is 5, then change the digit to the nearest even number.  Examples are given below.</w:t>
      </w:r>
    </w:p>
    <w:p w14:paraId="772E4E2A" w14:textId="77777777" w:rsidR="00BF2160" w:rsidRDefault="00BF2160" w:rsidP="00D57721">
      <w:pPr>
        <w:spacing w:after="0" w:line="240" w:lineRule="auto"/>
        <w:rPr>
          <w:sz w:val="24"/>
          <w:szCs w:val="24"/>
        </w:rPr>
      </w:pPr>
    </w:p>
    <w:p w14:paraId="5AD43AA1" w14:textId="0D4F67F7" w:rsidR="00BF2160" w:rsidRDefault="00BF2160" w:rsidP="00193706">
      <w:pPr>
        <w:pStyle w:val="Heading2"/>
      </w:pPr>
      <w:bookmarkStart w:id="8" w:name="_Toc149898302"/>
      <w:r>
        <w:t>Exceptions</w:t>
      </w:r>
      <w:bookmarkEnd w:id="8"/>
    </w:p>
    <w:p w14:paraId="46F670D8" w14:textId="77777777" w:rsidR="00BF2160" w:rsidRDefault="00BF2160" w:rsidP="00D57721">
      <w:pPr>
        <w:spacing w:after="0" w:line="240" w:lineRule="auto"/>
        <w:rPr>
          <w:sz w:val="24"/>
          <w:szCs w:val="24"/>
        </w:rPr>
      </w:pPr>
    </w:p>
    <w:p w14:paraId="4DE60C38" w14:textId="65A806A5" w:rsidR="00BF2160" w:rsidRDefault="00BF2160" w:rsidP="00D57721">
      <w:pPr>
        <w:spacing w:after="0" w:line="240" w:lineRule="auto"/>
        <w:rPr>
          <w:sz w:val="24"/>
          <w:szCs w:val="24"/>
        </w:rPr>
      </w:pPr>
      <w:r>
        <w:rPr>
          <w:sz w:val="24"/>
          <w:szCs w:val="24"/>
        </w:rPr>
        <w:t>The following are exceptions based on the nature of the test or the reporting conventions.</w:t>
      </w:r>
    </w:p>
    <w:p w14:paraId="67845335" w14:textId="77777777" w:rsidR="00BF2160" w:rsidRDefault="00BF2160" w:rsidP="00D57721">
      <w:pPr>
        <w:spacing w:after="0" w:line="240" w:lineRule="auto"/>
        <w:rPr>
          <w:sz w:val="24"/>
          <w:szCs w:val="24"/>
        </w:rPr>
      </w:pPr>
    </w:p>
    <w:p w14:paraId="70F16617" w14:textId="6626AC4A" w:rsidR="00BF2160" w:rsidRPr="00193706" w:rsidRDefault="00BF2160" w:rsidP="00193706">
      <w:pPr>
        <w:pStyle w:val="ListParagraph"/>
        <w:numPr>
          <w:ilvl w:val="0"/>
          <w:numId w:val="12"/>
        </w:numPr>
        <w:spacing w:after="0" w:line="240" w:lineRule="auto"/>
        <w:rPr>
          <w:sz w:val="24"/>
          <w:szCs w:val="24"/>
        </w:rPr>
      </w:pPr>
      <w:r w:rsidRPr="00193706">
        <w:rPr>
          <w:sz w:val="24"/>
          <w:szCs w:val="24"/>
        </w:rPr>
        <w:t>Direct reading instruments are to be recorded as observed, but are to be rounded to the demanded reporting number of significant figures.  Example – a pH is read as 7.42 and is rounded for reporting to 7.4.</w:t>
      </w:r>
    </w:p>
    <w:p w14:paraId="1A0116C6" w14:textId="4E5B8EA2" w:rsidR="00BF2160" w:rsidRPr="00193706" w:rsidRDefault="00BF2160" w:rsidP="00193706">
      <w:pPr>
        <w:pStyle w:val="ListParagraph"/>
        <w:numPr>
          <w:ilvl w:val="0"/>
          <w:numId w:val="12"/>
        </w:numPr>
        <w:spacing w:after="0" w:line="240" w:lineRule="auto"/>
        <w:rPr>
          <w:sz w:val="24"/>
          <w:szCs w:val="24"/>
        </w:rPr>
      </w:pPr>
      <w:r w:rsidRPr="00193706">
        <w:rPr>
          <w:sz w:val="24"/>
          <w:szCs w:val="24"/>
        </w:rPr>
        <w:t>BOD tests using glass BOD bottles.  The error in the glass bottle is significant.  Compute all intermediate BOD values to 3 significant figures</w:t>
      </w:r>
      <w:r w:rsidR="00A25787" w:rsidRPr="00193706">
        <w:rPr>
          <w:sz w:val="24"/>
          <w:szCs w:val="24"/>
        </w:rPr>
        <w:t>.  The final average BOD can be rounded to 2 significant figures.  This exception does not apply if using plastic disposable bottles as the error is significantly smaller than the glass bottles.</w:t>
      </w:r>
    </w:p>
    <w:p w14:paraId="11E864D3" w14:textId="6EB94226" w:rsidR="00A25787" w:rsidRPr="00193706" w:rsidRDefault="00A25787" w:rsidP="00193706">
      <w:pPr>
        <w:pStyle w:val="ListParagraph"/>
        <w:numPr>
          <w:ilvl w:val="0"/>
          <w:numId w:val="12"/>
        </w:numPr>
        <w:spacing w:after="0" w:line="240" w:lineRule="auto"/>
        <w:rPr>
          <w:sz w:val="24"/>
          <w:szCs w:val="24"/>
        </w:rPr>
      </w:pPr>
      <w:r w:rsidRPr="00193706">
        <w:rPr>
          <w:sz w:val="24"/>
          <w:szCs w:val="24"/>
        </w:rPr>
        <w:t>PT testing.  Report to three significant figures unless instructed to do otherwise by the vendor provided instruction sheet.</w:t>
      </w:r>
    </w:p>
    <w:p w14:paraId="2636EB4E" w14:textId="2B95D25F" w:rsidR="00A25787" w:rsidRPr="00193706" w:rsidRDefault="00A25787" w:rsidP="00193706">
      <w:pPr>
        <w:pStyle w:val="ListParagraph"/>
        <w:numPr>
          <w:ilvl w:val="0"/>
          <w:numId w:val="12"/>
        </w:numPr>
        <w:spacing w:after="0" w:line="240" w:lineRule="auto"/>
        <w:rPr>
          <w:sz w:val="24"/>
          <w:szCs w:val="24"/>
        </w:rPr>
      </w:pPr>
      <w:r w:rsidRPr="00193706">
        <w:rPr>
          <w:sz w:val="24"/>
          <w:szCs w:val="24"/>
        </w:rPr>
        <w:t xml:space="preserve">Bacterial enumerated values.  When multiplying MPN/100mL or CFU/100mL by any dilution factor, retain the same number of significant figures as the value obtained from the table.  This does not apply to reporting CFU/mL per </w:t>
      </w:r>
      <w:r w:rsidRPr="00193706">
        <w:rPr>
          <w:i/>
          <w:iCs/>
          <w:sz w:val="24"/>
          <w:szCs w:val="24"/>
        </w:rPr>
        <w:t>Standard Methods</w:t>
      </w:r>
      <w:r w:rsidRPr="00193706">
        <w:rPr>
          <w:sz w:val="24"/>
          <w:szCs w:val="24"/>
        </w:rPr>
        <w:t xml:space="preserve">… 9215B.  Section </w:t>
      </w:r>
      <w:r w:rsidR="00193706" w:rsidRPr="00193706">
        <w:rPr>
          <w:sz w:val="24"/>
          <w:szCs w:val="24"/>
        </w:rPr>
        <w:t>5</w:t>
      </w:r>
      <w:r w:rsidRPr="00193706">
        <w:rPr>
          <w:sz w:val="24"/>
          <w:szCs w:val="24"/>
        </w:rPr>
        <w:t xml:space="preserve"> of the method</w:t>
      </w:r>
      <w:r w:rsidR="00193706" w:rsidRPr="00193706">
        <w:rPr>
          <w:sz w:val="24"/>
          <w:szCs w:val="24"/>
        </w:rPr>
        <w:t xml:space="preserve"> refers to 9215A, section 9 for reporting, which requires reporting to 2 significant figures.</w:t>
      </w:r>
    </w:p>
    <w:p w14:paraId="28340628" w14:textId="77777777" w:rsidR="00193706" w:rsidRDefault="00193706" w:rsidP="00D57721">
      <w:pPr>
        <w:spacing w:after="0" w:line="240" w:lineRule="auto"/>
        <w:rPr>
          <w:sz w:val="24"/>
          <w:szCs w:val="24"/>
        </w:rPr>
      </w:pPr>
    </w:p>
    <w:p w14:paraId="547C32D6" w14:textId="6C9EDCB2" w:rsidR="00193706" w:rsidRDefault="00193706" w:rsidP="00B25AC0">
      <w:pPr>
        <w:pStyle w:val="Heading2"/>
      </w:pPr>
      <w:bookmarkStart w:id="9" w:name="_Toc149898303"/>
      <w:r>
        <w:t>Using Excel Spreadsheets as calculators</w:t>
      </w:r>
      <w:bookmarkEnd w:id="9"/>
    </w:p>
    <w:p w14:paraId="0CBA22DA" w14:textId="77777777" w:rsidR="00193706" w:rsidRDefault="00193706" w:rsidP="00D57721">
      <w:pPr>
        <w:spacing w:after="0" w:line="240" w:lineRule="auto"/>
        <w:rPr>
          <w:sz w:val="24"/>
          <w:szCs w:val="24"/>
        </w:rPr>
      </w:pPr>
    </w:p>
    <w:p w14:paraId="7D029998" w14:textId="61DBCFDB" w:rsidR="00193706" w:rsidRDefault="00193706" w:rsidP="00D57721">
      <w:pPr>
        <w:spacing w:after="0" w:line="240" w:lineRule="auto"/>
        <w:rPr>
          <w:sz w:val="24"/>
          <w:szCs w:val="24"/>
        </w:rPr>
      </w:pPr>
      <w:r>
        <w:rPr>
          <w:sz w:val="24"/>
          <w:szCs w:val="24"/>
        </w:rPr>
        <w:t>Excel spreadsheets are used both as calculators (computations performed by the spreadsheet, but values recorded on the worksheet and the spreadsheet is not saved) and as worksheets (computations performed by the spreadsheet and the spreadsheet is saved – no values recorded on the worksheet).</w:t>
      </w:r>
      <w:r w:rsidR="00F63350">
        <w:rPr>
          <w:sz w:val="24"/>
          <w:szCs w:val="24"/>
        </w:rPr>
        <w:t xml:space="preserve">  Excel retains all values at 8 significant figures regardless of what value is </w:t>
      </w:r>
      <w:r w:rsidR="000E2238">
        <w:rPr>
          <w:sz w:val="24"/>
          <w:szCs w:val="24"/>
        </w:rPr>
        <w:t>entered</w:t>
      </w:r>
      <w:r w:rsidR="00F63350">
        <w:rPr>
          <w:sz w:val="24"/>
          <w:szCs w:val="24"/>
        </w:rPr>
        <w:t xml:space="preserve"> in.  Displayed </w:t>
      </w:r>
      <w:r w:rsidR="000E2238">
        <w:rPr>
          <w:sz w:val="24"/>
          <w:szCs w:val="24"/>
        </w:rPr>
        <w:t>results</w:t>
      </w:r>
      <w:r w:rsidR="00F63350">
        <w:rPr>
          <w:sz w:val="24"/>
          <w:szCs w:val="24"/>
        </w:rPr>
        <w:t xml:space="preserve"> may be set to the desired number of significant figures or </w:t>
      </w:r>
      <w:r w:rsidR="00F63350">
        <w:rPr>
          <w:sz w:val="24"/>
          <w:szCs w:val="24"/>
        </w:rPr>
        <w:lastRenderedPageBreak/>
        <w:t xml:space="preserve">decimals, but the value underneath retains 8 significant figures.  </w:t>
      </w:r>
      <w:r w:rsidR="00F63350" w:rsidRPr="00F63350">
        <w:rPr>
          <w:b/>
          <w:bCs/>
          <w:sz w:val="24"/>
          <w:szCs w:val="24"/>
        </w:rPr>
        <w:t>Do Not</w:t>
      </w:r>
      <w:r w:rsidR="00F63350">
        <w:rPr>
          <w:sz w:val="24"/>
          <w:szCs w:val="24"/>
        </w:rPr>
        <w:t xml:space="preserve"> set Excel to </w:t>
      </w:r>
      <w:r w:rsidR="000E2238">
        <w:rPr>
          <w:sz w:val="24"/>
          <w:szCs w:val="24"/>
        </w:rPr>
        <w:t>double precision</w:t>
      </w:r>
      <w:r w:rsidR="00F63350">
        <w:rPr>
          <w:sz w:val="24"/>
          <w:szCs w:val="24"/>
        </w:rPr>
        <w:t xml:space="preserve"> (16 significant figures).</w:t>
      </w:r>
    </w:p>
    <w:p w14:paraId="2FF256FA" w14:textId="77777777" w:rsidR="00F63350" w:rsidRDefault="00F63350" w:rsidP="00D57721">
      <w:pPr>
        <w:spacing w:after="0" w:line="240" w:lineRule="auto"/>
        <w:rPr>
          <w:sz w:val="24"/>
          <w:szCs w:val="24"/>
        </w:rPr>
      </w:pPr>
    </w:p>
    <w:p w14:paraId="2D3EB900" w14:textId="112A2978" w:rsidR="00F63350" w:rsidRDefault="00F63350" w:rsidP="00B25AC0">
      <w:pPr>
        <w:pStyle w:val="Heading2"/>
      </w:pPr>
      <w:bookmarkStart w:id="10" w:name="_Toc149898304"/>
      <w:r>
        <w:t>Using Computer software associated with</w:t>
      </w:r>
      <w:r w:rsidR="00700865">
        <w:t xml:space="preserve"> an analytical </w:t>
      </w:r>
      <w:proofErr w:type="gramStart"/>
      <w:r w:rsidR="00700865">
        <w:t>instrument</w:t>
      </w:r>
      <w:bookmarkEnd w:id="10"/>
      <w:proofErr w:type="gramEnd"/>
    </w:p>
    <w:p w14:paraId="33B6B1E9" w14:textId="77777777" w:rsidR="00700865" w:rsidRDefault="00700865" w:rsidP="00D57721">
      <w:pPr>
        <w:spacing w:after="0" w:line="240" w:lineRule="auto"/>
        <w:rPr>
          <w:sz w:val="24"/>
          <w:szCs w:val="24"/>
        </w:rPr>
      </w:pPr>
    </w:p>
    <w:p w14:paraId="1CF1B0BF" w14:textId="79BDD315" w:rsidR="00700865" w:rsidRPr="00A25787" w:rsidRDefault="00700865" w:rsidP="00D57721">
      <w:pPr>
        <w:spacing w:after="0" w:line="240" w:lineRule="auto"/>
        <w:rPr>
          <w:sz w:val="24"/>
          <w:szCs w:val="24"/>
        </w:rPr>
      </w:pPr>
      <w:r>
        <w:rPr>
          <w:sz w:val="24"/>
          <w:szCs w:val="24"/>
        </w:rPr>
        <w:t xml:space="preserve">When an instrument uses a computer and associated software, then the number of significant figures the software uses is to be retained.  If the software allows or demands that the displayed concentrations have significant figures set, then set them to one more than the reported value.  For </w:t>
      </w:r>
      <w:r w:rsidR="00B25AC0">
        <w:rPr>
          <w:sz w:val="24"/>
          <w:szCs w:val="24"/>
        </w:rPr>
        <w:t>example,</w:t>
      </w:r>
      <w:r>
        <w:rPr>
          <w:sz w:val="24"/>
          <w:szCs w:val="24"/>
        </w:rPr>
        <w:t xml:space="preserve"> if reporting is to 3 significant figures, then have the software display 4 significant figures</w:t>
      </w:r>
      <w:r w:rsidR="00B25AC0">
        <w:rPr>
          <w:sz w:val="24"/>
          <w:szCs w:val="24"/>
        </w:rPr>
        <w:t>.</w:t>
      </w:r>
    </w:p>
    <w:p w14:paraId="41B32F5A" w14:textId="2C3732C9" w:rsidR="00C457BE" w:rsidRDefault="00193706" w:rsidP="004E71B9">
      <w:pPr>
        <w:pStyle w:val="Heading1"/>
      </w:pPr>
      <w:bookmarkStart w:id="11" w:name="_Toc149898305"/>
      <w:r>
        <w:t>Examples</w:t>
      </w:r>
      <w:bookmarkEnd w:id="11"/>
    </w:p>
    <w:p w14:paraId="122C615F" w14:textId="47790751" w:rsidR="004E71B9" w:rsidRDefault="004E71B9" w:rsidP="00C457BE">
      <w:pPr>
        <w:spacing w:after="0" w:line="240" w:lineRule="auto"/>
        <w:rPr>
          <w:sz w:val="24"/>
          <w:szCs w:val="24"/>
        </w:rPr>
      </w:pPr>
    </w:p>
    <w:p w14:paraId="1BDAD1A3" w14:textId="1587FC45" w:rsidR="00193706" w:rsidRPr="00E006FC" w:rsidRDefault="00F63350" w:rsidP="00736E1A">
      <w:pPr>
        <w:pStyle w:val="Heading2"/>
      </w:pPr>
      <w:bookmarkStart w:id="12" w:name="_Toc149898306"/>
      <w:r>
        <w:t>Computation of a sample concentration</w:t>
      </w:r>
      <w:bookmarkEnd w:id="12"/>
    </w:p>
    <w:p w14:paraId="091A772F" w14:textId="4E3B96B2" w:rsidR="00D17F85" w:rsidRDefault="00D17F85" w:rsidP="00C457BE">
      <w:pPr>
        <w:spacing w:after="0" w:line="240" w:lineRule="auto"/>
        <w:rPr>
          <w:sz w:val="24"/>
          <w:szCs w:val="24"/>
        </w:rPr>
      </w:pPr>
    </w:p>
    <w:p w14:paraId="2B877824" w14:textId="4CC78D3F" w:rsidR="00B25AC0" w:rsidRDefault="009D36B8" w:rsidP="00C457BE">
      <w:pPr>
        <w:spacing w:after="0" w:line="240" w:lineRule="auto"/>
        <w:rPr>
          <w:sz w:val="24"/>
          <w:szCs w:val="24"/>
        </w:rPr>
      </w:pPr>
      <w:r>
        <w:rPr>
          <w:sz w:val="24"/>
          <w:szCs w:val="24"/>
        </w:rPr>
        <w:t>The reported value is to have 3 significant figures.  Sample diluted 1 to 5.</w:t>
      </w:r>
    </w:p>
    <w:p w14:paraId="5A6BF0DC" w14:textId="77777777" w:rsidR="009D36B8" w:rsidRDefault="009D36B8" w:rsidP="00C457BE">
      <w:pPr>
        <w:spacing w:after="0" w:line="240" w:lineRule="auto"/>
        <w:rPr>
          <w:sz w:val="24"/>
          <w:szCs w:val="24"/>
        </w:rPr>
      </w:pPr>
    </w:p>
    <w:p w14:paraId="0A9B7B49" w14:textId="20182075" w:rsidR="009D36B8" w:rsidRDefault="009D36B8" w:rsidP="00C457BE">
      <w:pPr>
        <w:spacing w:after="0" w:line="240" w:lineRule="auto"/>
        <w:rPr>
          <w:sz w:val="24"/>
          <w:szCs w:val="24"/>
        </w:rPr>
      </w:pPr>
      <w:r>
        <w:rPr>
          <w:sz w:val="24"/>
          <w:szCs w:val="24"/>
        </w:rPr>
        <w:t xml:space="preserve">Concentration from the calibration curve = 22.34 </w:t>
      </w:r>
      <w:r>
        <w:rPr>
          <w:rFonts w:cstheme="minorHAnsi"/>
          <w:sz w:val="24"/>
          <w:szCs w:val="24"/>
        </w:rPr>
        <w:t>µ</w:t>
      </w:r>
      <w:r>
        <w:rPr>
          <w:sz w:val="24"/>
          <w:szCs w:val="24"/>
        </w:rPr>
        <w:t>g/L.</w:t>
      </w:r>
    </w:p>
    <w:p w14:paraId="029CFA09" w14:textId="77777777" w:rsidR="009D36B8" w:rsidRDefault="009D36B8" w:rsidP="00C457BE">
      <w:pPr>
        <w:spacing w:after="0" w:line="240" w:lineRule="auto"/>
        <w:rPr>
          <w:sz w:val="24"/>
          <w:szCs w:val="24"/>
        </w:rPr>
      </w:pPr>
    </w:p>
    <w:p w14:paraId="5F111A15" w14:textId="7321570C" w:rsidR="00D17F85" w:rsidRDefault="009D36B8" w:rsidP="00736E1A">
      <w:pPr>
        <w:pStyle w:val="Caption"/>
        <w:rPr>
          <w:sz w:val="24"/>
          <w:szCs w:val="24"/>
        </w:rPr>
      </w:pPr>
      <w:bookmarkStart w:id="13" w:name="_Toc149057027"/>
      <w:r>
        <w:t xml:space="preserve">Equation </w:t>
      </w:r>
      <w:fldSimple w:instr=" SEQ Equation \* ARABIC ">
        <w:r w:rsidR="005C0F18">
          <w:rPr>
            <w:noProof/>
          </w:rPr>
          <w:t>1</w:t>
        </w:r>
      </w:fldSimple>
      <w:r>
        <w:t xml:space="preserve"> computation of a concentration by dilution</w:t>
      </w:r>
      <w:bookmarkEnd w:id="13"/>
    </w:p>
    <w:p w14:paraId="443B2891" w14:textId="27C96D00" w:rsidR="009D36B8" w:rsidRPr="009D36B8" w:rsidRDefault="009D36B8" w:rsidP="00C457BE">
      <w:pPr>
        <w:spacing w:after="0" w:line="240" w:lineRule="auto"/>
        <w:rPr>
          <w:rFonts w:eastAsiaTheme="minorEastAsia"/>
          <w:sz w:val="24"/>
          <w:szCs w:val="24"/>
        </w:rPr>
      </w:pPr>
      <m:oMathPara>
        <m:oMath>
          <m:r>
            <w:rPr>
              <w:rFonts w:ascii="Cambria Math" w:hAnsi="Cambria Math"/>
              <w:sz w:val="24"/>
              <w:szCs w:val="24"/>
            </w:rPr>
            <m:t xml:space="preserve">Corrected concentration=22.34 </m:t>
          </m:r>
          <m:f>
            <m:fPr>
              <m:type m:val="skw"/>
              <m:ctrlPr>
                <w:rPr>
                  <w:rFonts w:ascii="Cambria Math" w:hAnsi="Cambria Math"/>
                  <w:i/>
                  <w:sz w:val="24"/>
                  <w:szCs w:val="24"/>
                </w:rPr>
              </m:ctrlPr>
            </m:fPr>
            <m:num>
              <m:r>
                <w:rPr>
                  <w:rFonts w:ascii="Cambria Math" w:hAnsi="Cambria Math"/>
                  <w:sz w:val="24"/>
                  <w:szCs w:val="24"/>
                </w:rPr>
                <m:t>μg</m:t>
              </m:r>
            </m:num>
            <m:den>
              <m:r>
                <w:rPr>
                  <w:rFonts w:ascii="Cambria Math" w:hAnsi="Cambria Math"/>
                  <w:sz w:val="24"/>
                  <w:szCs w:val="24"/>
                </w:rPr>
                <m:t>L</m:t>
              </m:r>
            </m:den>
          </m:f>
          <m:r>
            <w:rPr>
              <w:rFonts w:ascii="Cambria Math" w:hAnsi="Cambria Math"/>
              <w:sz w:val="24"/>
              <w:szCs w:val="24"/>
            </w:rPr>
            <m:t>×5.00000=111.7</m:t>
          </m:r>
          <m:f>
            <m:fPr>
              <m:type m:val="skw"/>
              <m:ctrlPr>
                <w:rPr>
                  <w:rFonts w:ascii="Cambria Math" w:hAnsi="Cambria Math"/>
                  <w:i/>
                  <w:sz w:val="24"/>
                  <w:szCs w:val="24"/>
                </w:rPr>
              </m:ctrlPr>
            </m:fPr>
            <m:num>
              <m:r>
                <w:rPr>
                  <w:rFonts w:ascii="Cambria Math" w:hAnsi="Cambria Math"/>
                  <w:sz w:val="24"/>
                  <w:szCs w:val="24"/>
                </w:rPr>
                <m:t>μg</m:t>
              </m:r>
            </m:num>
            <m:den>
              <m:r>
                <w:rPr>
                  <w:rFonts w:ascii="Cambria Math" w:hAnsi="Cambria Math"/>
                  <w:sz w:val="24"/>
                  <w:szCs w:val="24"/>
                </w:rPr>
                <m:t>L</m:t>
              </m:r>
            </m:den>
          </m:f>
          <m:r>
            <w:rPr>
              <w:rFonts w:ascii="Cambria Math" w:hAnsi="Cambria Math"/>
              <w:sz w:val="24"/>
              <w:szCs w:val="24"/>
            </w:rPr>
            <m:t xml:space="preserve"> </m:t>
          </m:r>
        </m:oMath>
      </m:oMathPara>
    </w:p>
    <w:p w14:paraId="1A061B93" w14:textId="77777777" w:rsidR="009D36B8" w:rsidRDefault="009D36B8" w:rsidP="00C457BE">
      <w:pPr>
        <w:spacing w:after="0" w:line="240" w:lineRule="auto"/>
        <w:rPr>
          <w:rFonts w:eastAsiaTheme="minorEastAsia"/>
          <w:sz w:val="24"/>
          <w:szCs w:val="24"/>
        </w:rPr>
      </w:pPr>
    </w:p>
    <w:p w14:paraId="33D1D208" w14:textId="0DB2D167" w:rsidR="009D36B8" w:rsidRDefault="009D36B8" w:rsidP="00C457BE">
      <w:pPr>
        <w:spacing w:after="0" w:line="240" w:lineRule="auto"/>
        <w:rPr>
          <w:rFonts w:eastAsiaTheme="minorEastAsia"/>
          <w:sz w:val="24"/>
          <w:szCs w:val="24"/>
        </w:rPr>
      </w:pPr>
      <w:r>
        <w:rPr>
          <w:rFonts w:eastAsiaTheme="minorEastAsia"/>
          <w:sz w:val="24"/>
          <w:szCs w:val="24"/>
        </w:rPr>
        <w:t xml:space="preserve">Reported concentration is 112 </w:t>
      </w:r>
      <w:r>
        <w:rPr>
          <w:rFonts w:eastAsiaTheme="minorEastAsia" w:cstheme="minorHAnsi"/>
          <w:sz w:val="24"/>
          <w:szCs w:val="24"/>
        </w:rPr>
        <w:t>µ</w:t>
      </w:r>
      <w:r>
        <w:rPr>
          <w:rFonts w:eastAsiaTheme="minorEastAsia"/>
          <w:sz w:val="24"/>
          <w:szCs w:val="24"/>
        </w:rPr>
        <w:t>g/L.</w:t>
      </w:r>
    </w:p>
    <w:p w14:paraId="6F101154" w14:textId="77777777" w:rsidR="009D36B8" w:rsidRDefault="009D36B8" w:rsidP="00C457BE">
      <w:pPr>
        <w:spacing w:after="0" w:line="240" w:lineRule="auto"/>
        <w:rPr>
          <w:rFonts w:eastAsiaTheme="minorEastAsia"/>
          <w:sz w:val="24"/>
          <w:szCs w:val="24"/>
        </w:rPr>
      </w:pPr>
    </w:p>
    <w:p w14:paraId="7C025CB2" w14:textId="3A1CF29D" w:rsidR="009D36B8" w:rsidRDefault="009D36B8" w:rsidP="00736E1A">
      <w:pPr>
        <w:pStyle w:val="Heading2"/>
      </w:pPr>
      <w:bookmarkStart w:id="14" w:name="_Toc149898307"/>
      <w:r>
        <w:t>Computation of a recovery of a Positive Control (LCS)</w:t>
      </w:r>
      <w:bookmarkEnd w:id="14"/>
    </w:p>
    <w:p w14:paraId="6C84B3F9" w14:textId="77777777" w:rsidR="009D36B8" w:rsidRDefault="009D36B8" w:rsidP="00C457BE">
      <w:pPr>
        <w:spacing w:after="0" w:line="240" w:lineRule="auto"/>
        <w:rPr>
          <w:sz w:val="24"/>
          <w:szCs w:val="24"/>
        </w:rPr>
      </w:pPr>
    </w:p>
    <w:p w14:paraId="1BE2AFEC" w14:textId="63ED79E9" w:rsidR="009D36B8" w:rsidRDefault="009D36B8" w:rsidP="00C457BE">
      <w:pPr>
        <w:spacing w:after="0" w:line="240" w:lineRule="auto"/>
        <w:rPr>
          <w:sz w:val="24"/>
          <w:szCs w:val="24"/>
        </w:rPr>
      </w:pPr>
      <w:r>
        <w:rPr>
          <w:sz w:val="24"/>
          <w:szCs w:val="24"/>
        </w:rPr>
        <w:t xml:space="preserve">The recovery is computed in </w:t>
      </w:r>
      <w:r w:rsidR="000E2238">
        <w:rPr>
          <w:sz w:val="24"/>
          <w:szCs w:val="24"/>
        </w:rPr>
        <w:t>percentage and</w:t>
      </w:r>
      <w:r>
        <w:rPr>
          <w:sz w:val="24"/>
          <w:szCs w:val="24"/>
        </w:rPr>
        <w:t xml:space="preserve"> is to have 3 significant figures.  The target concentration is 1.00000 mg/L.</w:t>
      </w:r>
    </w:p>
    <w:p w14:paraId="27627A51" w14:textId="77777777" w:rsidR="009D36B8" w:rsidRDefault="009D36B8" w:rsidP="00C457BE">
      <w:pPr>
        <w:spacing w:after="0" w:line="240" w:lineRule="auto"/>
        <w:rPr>
          <w:sz w:val="24"/>
          <w:szCs w:val="24"/>
        </w:rPr>
      </w:pPr>
    </w:p>
    <w:p w14:paraId="4DF4A2B2" w14:textId="60F7207C" w:rsidR="009D36B8" w:rsidRDefault="00736E1A" w:rsidP="00C457BE">
      <w:pPr>
        <w:spacing w:after="0" w:line="240" w:lineRule="auto"/>
        <w:rPr>
          <w:sz w:val="24"/>
          <w:szCs w:val="24"/>
        </w:rPr>
      </w:pPr>
      <w:r>
        <w:rPr>
          <w:sz w:val="24"/>
          <w:szCs w:val="24"/>
        </w:rPr>
        <w:t>The c</w:t>
      </w:r>
      <w:r w:rsidR="009D36B8">
        <w:rPr>
          <w:sz w:val="24"/>
          <w:szCs w:val="24"/>
        </w:rPr>
        <w:t>oncentration from the calibration curve = 1.</w:t>
      </w:r>
      <w:r>
        <w:rPr>
          <w:sz w:val="24"/>
          <w:szCs w:val="24"/>
        </w:rPr>
        <w:t>01</w:t>
      </w:r>
      <w:r w:rsidR="009D36B8">
        <w:rPr>
          <w:sz w:val="24"/>
          <w:szCs w:val="24"/>
        </w:rPr>
        <w:t>5 mg/L</w:t>
      </w:r>
    </w:p>
    <w:p w14:paraId="4C2ABB54" w14:textId="77777777" w:rsidR="009D36B8" w:rsidRDefault="009D36B8" w:rsidP="00C457BE">
      <w:pPr>
        <w:spacing w:after="0" w:line="240" w:lineRule="auto"/>
        <w:rPr>
          <w:sz w:val="24"/>
          <w:szCs w:val="24"/>
        </w:rPr>
      </w:pPr>
    </w:p>
    <w:p w14:paraId="1794233E" w14:textId="6D54F7A9" w:rsidR="009D36B8" w:rsidRDefault="009D36B8" w:rsidP="009D36B8">
      <w:pPr>
        <w:pStyle w:val="Caption"/>
      </w:pPr>
      <w:bookmarkStart w:id="15" w:name="_Toc149057028"/>
      <w:r>
        <w:t xml:space="preserve">Equation </w:t>
      </w:r>
      <w:fldSimple w:instr=" SEQ Equation \* ARABIC ">
        <w:r w:rsidR="005C0F18">
          <w:rPr>
            <w:noProof/>
          </w:rPr>
          <w:t>2</w:t>
        </w:r>
      </w:fldSimple>
      <w:r>
        <w:t xml:space="preserve"> computation of a recovery</w:t>
      </w:r>
      <w:bookmarkEnd w:id="15"/>
    </w:p>
    <w:p w14:paraId="170F77C5" w14:textId="5FF8C834" w:rsidR="009D36B8" w:rsidRPr="00736E1A" w:rsidRDefault="00736E1A" w:rsidP="009D36B8">
      <w:pPr>
        <w:rPr>
          <w:rFonts w:eastAsiaTheme="minorEastAsia"/>
        </w:rPr>
      </w:pPr>
      <m:oMathPara>
        <m:oMath>
          <m:r>
            <w:rPr>
              <w:rFonts w:ascii="Cambria Math" w:hAnsi="Cambria Math"/>
            </w:rPr>
            <m:t>%Recovery=100×</m:t>
          </m:r>
          <m:d>
            <m:dPr>
              <m:begChr m:val="["/>
              <m:endChr m:val="]"/>
              <m:ctrlPr>
                <w:rPr>
                  <w:rFonts w:ascii="Cambria Math" w:hAnsi="Cambria Math"/>
                  <w:i/>
                </w:rPr>
              </m:ctrlPr>
            </m:dPr>
            <m:e>
              <m:f>
                <m:fPr>
                  <m:ctrlPr>
                    <w:rPr>
                      <w:rFonts w:ascii="Cambria Math" w:hAnsi="Cambria Math"/>
                      <w:i/>
                    </w:rPr>
                  </m:ctrlPr>
                </m:fPr>
                <m:num>
                  <m:r>
                    <w:rPr>
                      <w:rFonts w:ascii="Cambria Math" w:hAnsi="Cambria Math"/>
                    </w:rPr>
                    <m:t>1.015</m:t>
                  </m:r>
                </m:num>
                <m:den>
                  <m:r>
                    <w:rPr>
                      <w:rFonts w:ascii="Cambria Math" w:hAnsi="Cambria Math"/>
                    </w:rPr>
                    <m:t>1.00000</m:t>
                  </m:r>
                </m:den>
              </m:f>
            </m:e>
          </m:d>
          <m:r>
            <w:rPr>
              <w:rFonts w:ascii="Cambria Math" w:hAnsi="Cambria Math"/>
            </w:rPr>
            <m:t>=101.5%</m:t>
          </m:r>
        </m:oMath>
      </m:oMathPara>
    </w:p>
    <w:p w14:paraId="03E91AA1" w14:textId="108332D9" w:rsidR="00736E1A" w:rsidRPr="005C0F18" w:rsidRDefault="00736E1A" w:rsidP="005C0F18">
      <w:pPr>
        <w:spacing w:after="0" w:line="240" w:lineRule="auto"/>
        <w:rPr>
          <w:rFonts w:eastAsiaTheme="minorEastAsia"/>
          <w:sz w:val="24"/>
          <w:szCs w:val="24"/>
        </w:rPr>
      </w:pPr>
      <w:r w:rsidRPr="005C0F18">
        <w:rPr>
          <w:rFonts w:eastAsiaTheme="minorEastAsia"/>
          <w:sz w:val="24"/>
          <w:szCs w:val="24"/>
        </w:rPr>
        <w:t>The recovery is 102%</w:t>
      </w:r>
    </w:p>
    <w:p w14:paraId="446DBFB2" w14:textId="77777777" w:rsidR="005C0F18" w:rsidRPr="005C0F18" w:rsidRDefault="005C0F18" w:rsidP="005C0F18">
      <w:pPr>
        <w:spacing w:after="0" w:line="240" w:lineRule="auto"/>
        <w:rPr>
          <w:sz w:val="24"/>
          <w:szCs w:val="24"/>
        </w:rPr>
      </w:pPr>
    </w:p>
    <w:p w14:paraId="1A98C81D" w14:textId="4D9ABDBC" w:rsidR="00736E1A" w:rsidRDefault="00736E1A" w:rsidP="005C0F18">
      <w:pPr>
        <w:pStyle w:val="Heading2"/>
      </w:pPr>
      <w:bookmarkStart w:id="16" w:name="_Toc149898308"/>
      <w:r>
        <w:t>Computation of recovery from a spiked sample</w:t>
      </w:r>
      <w:bookmarkEnd w:id="16"/>
    </w:p>
    <w:p w14:paraId="01AA5FA1" w14:textId="77777777" w:rsidR="00736E1A" w:rsidRPr="005C0F18" w:rsidRDefault="00736E1A" w:rsidP="005C0F18">
      <w:pPr>
        <w:spacing w:after="0" w:line="240" w:lineRule="auto"/>
        <w:rPr>
          <w:sz w:val="24"/>
          <w:szCs w:val="24"/>
        </w:rPr>
      </w:pPr>
    </w:p>
    <w:p w14:paraId="68A93DEF" w14:textId="5EF53CB7" w:rsidR="00736E1A" w:rsidRDefault="00736E1A" w:rsidP="005C0F18">
      <w:pPr>
        <w:spacing w:after="0" w:line="240" w:lineRule="auto"/>
        <w:rPr>
          <w:sz w:val="24"/>
          <w:szCs w:val="24"/>
        </w:rPr>
      </w:pPr>
      <w:r w:rsidRPr="005C0F18">
        <w:rPr>
          <w:sz w:val="24"/>
          <w:szCs w:val="24"/>
        </w:rPr>
        <w:lastRenderedPageBreak/>
        <w:t xml:space="preserve">Th recovery is computed in </w:t>
      </w:r>
      <w:r w:rsidR="000E2238" w:rsidRPr="005C0F18">
        <w:rPr>
          <w:sz w:val="24"/>
          <w:szCs w:val="24"/>
        </w:rPr>
        <w:t>percentage</w:t>
      </w:r>
      <w:r w:rsidRPr="005C0F18">
        <w:rPr>
          <w:sz w:val="24"/>
          <w:szCs w:val="24"/>
        </w:rPr>
        <w:t xml:space="preserve"> and is to have 3 significant figures.  The added concentration is 5.00000 mg/L.</w:t>
      </w:r>
    </w:p>
    <w:p w14:paraId="03E44402" w14:textId="77777777" w:rsidR="005C0F18" w:rsidRPr="005C0F18" w:rsidRDefault="005C0F18" w:rsidP="005C0F18">
      <w:pPr>
        <w:spacing w:after="0" w:line="240" w:lineRule="auto"/>
        <w:rPr>
          <w:sz w:val="24"/>
          <w:szCs w:val="24"/>
        </w:rPr>
      </w:pPr>
    </w:p>
    <w:p w14:paraId="21006FB4" w14:textId="7345C857" w:rsidR="00736E1A" w:rsidRDefault="00736E1A" w:rsidP="005C0F18">
      <w:pPr>
        <w:spacing w:after="0" w:line="240" w:lineRule="auto"/>
        <w:rPr>
          <w:sz w:val="24"/>
          <w:szCs w:val="24"/>
        </w:rPr>
      </w:pPr>
      <w:r w:rsidRPr="005C0F18">
        <w:rPr>
          <w:sz w:val="24"/>
          <w:szCs w:val="24"/>
        </w:rPr>
        <w:t>The concentration of the native sample is 3.126 mg/</w:t>
      </w:r>
      <w:proofErr w:type="gramStart"/>
      <w:r w:rsidRPr="005C0F18">
        <w:rPr>
          <w:sz w:val="24"/>
          <w:szCs w:val="24"/>
        </w:rPr>
        <w:t>L</w:t>
      </w:r>
      <w:proofErr w:type="gramEnd"/>
      <w:r w:rsidRPr="005C0F18">
        <w:rPr>
          <w:sz w:val="24"/>
          <w:szCs w:val="24"/>
        </w:rPr>
        <w:t xml:space="preserve"> and the concentration of the spiked sample is 7.995 mg/L.</w:t>
      </w:r>
    </w:p>
    <w:p w14:paraId="2CB106C6" w14:textId="77777777" w:rsidR="005C0F18" w:rsidRDefault="005C0F18" w:rsidP="005C0F18">
      <w:pPr>
        <w:spacing w:after="0" w:line="240" w:lineRule="auto"/>
        <w:rPr>
          <w:sz w:val="24"/>
          <w:szCs w:val="24"/>
        </w:rPr>
      </w:pPr>
    </w:p>
    <w:p w14:paraId="06DB56E3" w14:textId="6E078AE7" w:rsidR="005C0F18" w:rsidRPr="005C0F18" w:rsidRDefault="005C0F18" w:rsidP="005C0F18">
      <w:pPr>
        <w:pStyle w:val="Caption"/>
        <w:rPr>
          <w:sz w:val="24"/>
          <w:szCs w:val="24"/>
        </w:rPr>
      </w:pPr>
      <w:bookmarkStart w:id="17" w:name="_Toc149057029"/>
      <w:r>
        <w:t xml:space="preserve">Equation </w:t>
      </w:r>
      <w:fldSimple w:instr=" SEQ Equation \* ARABIC ">
        <w:r>
          <w:rPr>
            <w:noProof/>
          </w:rPr>
          <w:t>3</w:t>
        </w:r>
      </w:fldSimple>
      <w:r w:rsidR="00E92C85">
        <w:t xml:space="preserve"> </w:t>
      </w:r>
      <w:r>
        <w:t>computation of a spike recovery</w:t>
      </w:r>
      <w:bookmarkEnd w:id="17"/>
    </w:p>
    <w:p w14:paraId="1AACFE5F" w14:textId="4D2E82F2" w:rsidR="00736E1A" w:rsidRDefault="00736E1A" w:rsidP="009D36B8">
      <m:oMathPara>
        <m:oMath>
          <m:r>
            <w:rPr>
              <w:rFonts w:ascii="Cambria Math" w:hAnsi="Cambria Math"/>
            </w:rPr>
            <m:t>%Recovery=100×</m:t>
          </m:r>
          <m:f>
            <m:fPr>
              <m:ctrlPr>
                <w:rPr>
                  <w:rFonts w:ascii="Cambria Math" w:hAnsi="Cambria Math"/>
                  <w:i/>
                </w:rPr>
              </m:ctrlPr>
            </m:fPr>
            <m:num>
              <m:d>
                <m:dPr>
                  <m:ctrlPr>
                    <w:rPr>
                      <w:rFonts w:ascii="Cambria Math" w:hAnsi="Cambria Math"/>
                      <w:i/>
                    </w:rPr>
                  </m:ctrlPr>
                </m:dPr>
                <m:e>
                  <m:r>
                    <w:rPr>
                      <w:rFonts w:ascii="Cambria Math" w:hAnsi="Cambria Math"/>
                    </w:rPr>
                    <m:t>7.995-3.126</m:t>
                  </m:r>
                </m:e>
              </m:d>
            </m:num>
            <m:den>
              <m:r>
                <w:rPr>
                  <w:rFonts w:ascii="Cambria Math" w:hAnsi="Cambria Math"/>
                </w:rPr>
                <m:t>5.00000</m:t>
              </m:r>
            </m:den>
          </m:f>
          <m:r>
            <w:rPr>
              <w:rFonts w:ascii="Cambria Math" w:hAnsi="Cambria Math"/>
            </w:rPr>
            <m:t>=100×</m:t>
          </m:r>
          <m:f>
            <m:fPr>
              <m:ctrlPr>
                <w:rPr>
                  <w:rFonts w:ascii="Cambria Math" w:hAnsi="Cambria Math"/>
                  <w:i/>
                </w:rPr>
              </m:ctrlPr>
            </m:fPr>
            <m:num>
              <m:r>
                <w:rPr>
                  <w:rFonts w:ascii="Cambria Math" w:hAnsi="Cambria Math"/>
                </w:rPr>
                <m:t>4.869</m:t>
              </m:r>
            </m:num>
            <m:den>
              <m:r>
                <w:rPr>
                  <w:rFonts w:ascii="Cambria Math" w:hAnsi="Cambria Math"/>
                </w:rPr>
                <m:t>5.00000</m:t>
              </m:r>
            </m:den>
          </m:f>
          <m:r>
            <w:rPr>
              <w:rFonts w:ascii="Cambria Math" w:hAnsi="Cambria Math"/>
            </w:rPr>
            <m:t>=97.38%</m:t>
          </m:r>
        </m:oMath>
      </m:oMathPara>
    </w:p>
    <w:p w14:paraId="750BA471" w14:textId="3FAFB6BA" w:rsidR="005606FD" w:rsidRPr="005C0F18" w:rsidRDefault="00736E1A" w:rsidP="005C0F18">
      <w:pPr>
        <w:spacing w:after="0" w:line="240" w:lineRule="auto"/>
      </w:pPr>
      <w:r>
        <w:t>The recovery is 97.4%.</w:t>
      </w:r>
    </w:p>
    <w:p w14:paraId="64ABF62D" w14:textId="77777777" w:rsidR="00D17F85" w:rsidRPr="00E006FC" w:rsidRDefault="00D17F85" w:rsidP="005C0F18">
      <w:pPr>
        <w:spacing w:after="0" w:line="240" w:lineRule="auto"/>
        <w:rPr>
          <w:sz w:val="24"/>
          <w:szCs w:val="24"/>
        </w:rPr>
      </w:pPr>
    </w:p>
    <w:p w14:paraId="7C3688D8" w14:textId="0807441E" w:rsidR="00D8348A" w:rsidRDefault="000137CC" w:rsidP="00D17F85">
      <w:pPr>
        <w:pStyle w:val="Heading1"/>
      </w:pPr>
      <w:bookmarkStart w:id="18" w:name="_Toc149898309"/>
      <w:r>
        <w:t>References</w:t>
      </w:r>
      <w:bookmarkEnd w:id="18"/>
    </w:p>
    <w:p w14:paraId="588A13E6" w14:textId="340FF7B0" w:rsidR="000137CC" w:rsidRDefault="000137CC" w:rsidP="00C457BE">
      <w:pPr>
        <w:spacing w:after="0" w:line="240" w:lineRule="auto"/>
      </w:pPr>
    </w:p>
    <w:p w14:paraId="62BFEEFC" w14:textId="77777777" w:rsidR="00AD68D6" w:rsidRPr="008B1449"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639DDE85" w14:textId="3A6E8E60" w:rsidR="00D17F85" w:rsidRDefault="00D17F85" w:rsidP="00C457BE">
      <w:pPr>
        <w:spacing w:after="0" w:line="240" w:lineRule="auto"/>
      </w:pPr>
    </w:p>
    <w:p w14:paraId="24D61471" w14:textId="65415BF3" w:rsidR="000137CC" w:rsidRDefault="000137CC" w:rsidP="00D17F85">
      <w:pPr>
        <w:pStyle w:val="Heading1"/>
      </w:pPr>
      <w:bookmarkStart w:id="19" w:name="_Toc149898310"/>
      <w:r>
        <w:t xml:space="preserve">Definitions and </w:t>
      </w:r>
      <w:r w:rsidR="00D17F85">
        <w:t>Acronyms</w:t>
      </w:r>
      <w:bookmarkEnd w:id="19"/>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20" w:name="_Hlk34990818"/>
      <w:r w:rsidRPr="00E006FC">
        <w:rPr>
          <w:sz w:val="24"/>
          <w:szCs w:val="24"/>
        </w:rPr>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21" w:name="_Toc149898311"/>
      <w:r>
        <w:t>Definitions</w:t>
      </w:r>
      <w:bookmarkEnd w:id="21"/>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22" w:name="_Toc149898312"/>
      <w:r>
        <w:t>Acronyms</w:t>
      </w:r>
      <w:bookmarkEnd w:id="22"/>
    </w:p>
    <w:bookmarkEnd w:id="20"/>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5C3B3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4AD" w14:textId="77777777" w:rsidR="005C3B35" w:rsidRDefault="005C3B35" w:rsidP="00C457BE">
      <w:pPr>
        <w:spacing w:after="0" w:line="240" w:lineRule="auto"/>
      </w:pPr>
      <w:r>
        <w:separator/>
      </w:r>
    </w:p>
  </w:endnote>
  <w:endnote w:type="continuationSeparator" w:id="0">
    <w:p w14:paraId="29E5CD0D" w14:textId="77777777" w:rsidR="005C3B35" w:rsidRDefault="005C3B35"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7CE2B5B4" w:rsidR="00D17F85" w:rsidRDefault="005C0F18">
    <w:pPr>
      <w:pStyle w:val="Footer"/>
    </w:pPr>
    <w:r>
      <w:t xml:space="preserve">Version 1.0 </w:t>
    </w:r>
    <w:r w:rsidR="00D17F85">
      <w:t xml:space="preserve">Effective January </w:t>
    </w:r>
    <w:r>
      <w:t>1, 2024</w:t>
    </w:r>
    <w:r w:rsidR="00D17F85">
      <w:ptab w:relativeTo="margin" w:alignment="center" w:leader="none"/>
    </w:r>
    <w:r w:rsidR="00D17F85">
      <w:ptab w:relativeTo="margin" w:alignment="right" w:leader="none"/>
    </w:r>
    <w:r w:rsidR="00D17F85">
      <w:t xml:space="preserve">Page </w:t>
    </w:r>
    <w:r w:rsidR="00D17F85">
      <w:rPr>
        <w:b/>
        <w:bCs/>
      </w:rPr>
      <w:fldChar w:fldCharType="begin"/>
    </w:r>
    <w:r w:rsidR="00D17F85">
      <w:rPr>
        <w:b/>
        <w:bCs/>
      </w:rPr>
      <w:instrText xml:space="preserve"> PAGE  \* Arabic  \* MERGEFORMAT </w:instrText>
    </w:r>
    <w:r w:rsidR="00D17F85">
      <w:rPr>
        <w:b/>
        <w:bCs/>
      </w:rPr>
      <w:fldChar w:fldCharType="separate"/>
    </w:r>
    <w:r w:rsidR="00D17F85">
      <w:rPr>
        <w:b/>
        <w:bCs/>
        <w:noProof/>
      </w:rPr>
      <w:t>1</w:t>
    </w:r>
    <w:r w:rsidR="00D17F85">
      <w:rPr>
        <w:b/>
        <w:bCs/>
      </w:rPr>
      <w:fldChar w:fldCharType="end"/>
    </w:r>
    <w:r w:rsidR="00D17F85">
      <w:t xml:space="preserve"> of </w:t>
    </w:r>
    <w:r w:rsidR="00D17F85">
      <w:rPr>
        <w:b/>
        <w:bCs/>
      </w:rPr>
      <w:fldChar w:fldCharType="begin"/>
    </w:r>
    <w:r w:rsidR="00D17F85">
      <w:rPr>
        <w:b/>
        <w:bCs/>
      </w:rPr>
      <w:instrText xml:space="preserve"> NUMPAGES  \* Arabic  \* MERGEFORMAT </w:instrText>
    </w:r>
    <w:r w:rsidR="00D17F85">
      <w:rPr>
        <w:b/>
        <w:bCs/>
      </w:rPr>
      <w:fldChar w:fldCharType="separate"/>
    </w:r>
    <w:r w:rsidR="00D17F85">
      <w:rPr>
        <w:b/>
        <w:bCs/>
        <w:noProof/>
      </w:rPr>
      <w:t>2</w:t>
    </w:r>
    <w:r w:rsidR="00D17F85">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089D" w14:textId="77777777" w:rsidR="005C3B35" w:rsidRDefault="005C3B35" w:rsidP="00C457BE">
      <w:pPr>
        <w:spacing w:after="0" w:line="240" w:lineRule="auto"/>
      </w:pPr>
      <w:r>
        <w:separator/>
      </w:r>
    </w:p>
  </w:footnote>
  <w:footnote w:type="continuationSeparator" w:id="0">
    <w:p w14:paraId="3C134BC4" w14:textId="77777777" w:rsidR="005C3B35" w:rsidRDefault="005C3B35"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77777777" w:rsidR="00CC16C5" w:rsidRDefault="00D17F85">
    <w:pPr>
      <w:pStyle w:val="Header"/>
    </w:pPr>
    <w:r>
      <w:ptab w:relativeTo="margin" w:alignment="center" w:leader="none"/>
    </w:r>
    <w:r>
      <w:t>[P/P Title]</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5C0F18">
    <w:pPr>
      <w:pStyle w:val="Heading2"/>
      <w:numPr>
        <w:ilvl w:val="0"/>
        <w:numId w:val="0"/>
      </w:numPr>
      <w:ind w:left="129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76A"/>
    <w:multiLevelType w:val="hybridMultilevel"/>
    <w:tmpl w:val="E0B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753AD"/>
    <w:multiLevelType w:val="hybridMultilevel"/>
    <w:tmpl w:val="D77C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D1B24"/>
    <w:multiLevelType w:val="multilevel"/>
    <w:tmpl w:val="04090025"/>
    <w:lvl w:ilvl="0">
      <w:start w:val="1"/>
      <w:numFmt w:val="decimal"/>
      <w:pStyle w:val="Heading1"/>
      <w:lvlText w:val="%1"/>
      <w:lvlJc w:val="left"/>
      <w:pPr>
        <w:ind w:left="2322" w:hanging="432"/>
      </w:pPr>
    </w:lvl>
    <w:lvl w:ilvl="1">
      <w:start w:val="1"/>
      <w:numFmt w:val="decimal"/>
      <w:pStyle w:val="Heading2"/>
      <w:lvlText w:val="%1.%2"/>
      <w:lvlJc w:val="left"/>
      <w:pPr>
        <w:ind w:left="2466" w:hanging="576"/>
      </w:pPr>
    </w:lvl>
    <w:lvl w:ilvl="2">
      <w:start w:val="1"/>
      <w:numFmt w:val="decimal"/>
      <w:pStyle w:val="Heading3"/>
      <w:lvlText w:val="%1.%2.%3"/>
      <w:lvlJc w:val="left"/>
      <w:pPr>
        <w:ind w:left="2610" w:hanging="720"/>
      </w:pPr>
    </w:lvl>
    <w:lvl w:ilvl="3">
      <w:start w:val="1"/>
      <w:numFmt w:val="decimal"/>
      <w:pStyle w:val="Heading4"/>
      <w:lvlText w:val="%1.%2.%3.%4"/>
      <w:lvlJc w:val="left"/>
      <w:pPr>
        <w:ind w:left="2754" w:hanging="864"/>
      </w:pPr>
    </w:lvl>
    <w:lvl w:ilvl="4">
      <w:start w:val="1"/>
      <w:numFmt w:val="decimal"/>
      <w:pStyle w:val="Heading5"/>
      <w:lvlText w:val="%1.%2.%3.%4.%5"/>
      <w:lvlJc w:val="left"/>
      <w:pPr>
        <w:ind w:left="2898" w:hanging="1008"/>
      </w:pPr>
    </w:lvl>
    <w:lvl w:ilvl="5">
      <w:start w:val="1"/>
      <w:numFmt w:val="decimal"/>
      <w:pStyle w:val="Heading6"/>
      <w:lvlText w:val="%1.%2.%3.%4.%5.%6"/>
      <w:lvlJc w:val="left"/>
      <w:pPr>
        <w:ind w:left="3042" w:hanging="1152"/>
      </w:pPr>
    </w:lvl>
    <w:lvl w:ilvl="6">
      <w:start w:val="1"/>
      <w:numFmt w:val="decimal"/>
      <w:pStyle w:val="Heading7"/>
      <w:lvlText w:val="%1.%2.%3.%4.%5.%6.%7"/>
      <w:lvlJc w:val="left"/>
      <w:pPr>
        <w:ind w:left="3186" w:hanging="1296"/>
      </w:pPr>
    </w:lvl>
    <w:lvl w:ilvl="7">
      <w:start w:val="1"/>
      <w:numFmt w:val="decimal"/>
      <w:pStyle w:val="Heading8"/>
      <w:lvlText w:val="%1.%2.%3.%4.%5.%6.%7.%8"/>
      <w:lvlJc w:val="left"/>
      <w:pPr>
        <w:ind w:left="3330" w:hanging="1440"/>
      </w:pPr>
    </w:lvl>
    <w:lvl w:ilvl="8">
      <w:start w:val="1"/>
      <w:numFmt w:val="decimal"/>
      <w:pStyle w:val="Heading9"/>
      <w:lvlText w:val="%1.%2.%3.%4.%5.%6.%7.%8.%9"/>
      <w:lvlJc w:val="left"/>
      <w:pPr>
        <w:ind w:left="3474" w:hanging="1584"/>
      </w:pPr>
    </w:lvl>
  </w:abstractNum>
  <w:abstractNum w:abstractNumId="6"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F48E8"/>
    <w:multiLevelType w:val="hybridMultilevel"/>
    <w:tmpl w:val="73E8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898900">
    <w:abstractNumId w:val="6"/>
  </w:num>
  <w:num w:numId="2" w16cid:durableId="1596135760">
    <w:abstractNumId w:val="7"/>
  </w:num>
  <w:num w:numId="3" w16cid:durableId="1493639436">
    <w:abstractNumId w:val="1"/>
  </w:num>
  <w:num w:numId="4" w16cid:durableId="1656454566">
    <w:abstractNumId w:val="2"/>
  </w:num>
  <w:num w:numId="5" w16cid:durableId="1087194742">
    <w:abstractNumId w:val="10"/>
  </w:num>
  <w:num w:numId="6" w16cid:durableId="1927152357">
    <w:abstractNumId w:val="8"/>
  </w:num>
  <w:num w:numId="7" w16cid:durableId="374089874">
    <w:abstractNumId w:val="0"/>
  </w:num>
  <w:num w:numId="8" w16cid:durableId="1571889296">
    <w:abstractNumId w:val="11"/>
  </w:num>
  <w:num w:numId="9" w16cid:durableId="1318804776">
    <w:abstractNumId w:val="4"/>
  </w:num>
  <w:num w:numId="10" w16cid:durableId="1760977336">
    <w:abstractNumId w:val="9"/>
  </w:num>
  <w:num w:numId="11" w16cid:durableId="1549301709">
    <w:abstractNumId w:val="5"/>
  </w:num>
  <w:num w:numId="12" w16cid:durableId="1318075323">
    <w:abstractNumId w:val="3"/>
  </w:num>
  <w:num w:numId="13" w16cid:durableId="2022970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0812"/>
    <w:rsid w:val="000122FD"/>
    <w:rsid w:val="000137CC"/>
    <w:rsid w:val="000168B6"/>
    <w:rsid w:val="00020654"/>
    <w:rsid w:val="00022B56"/>
    <w:rsid w:val="00023668"/>
    <w:rsid w:val="00030B22"/>
    <w:rsid w:val="0004017B"/>
    <w:rsid w:val="000654C3"/>
    <w:rsid w:val="000735B8"/>
    <w:rsid w:val="000800B1"/>
    <w:rsid w:val="000B0CFD"/>
    <w:rsid w:val="000B324C"/>
    <w:rsid w:val="000C3B10"/>
    <w:rsid w:val="000E2238"/>
    <w:rsid w:val="000F2FD9"/>
    <w:rsid w:val="000F6FB5"/>
    <w:rsid w:val="001031E2"/>
    <w:rsid w:val="00105247"/>
    <w:rsid w:val="001124A0"/>
    <w:rsid w:val="001133E0"/>
    <w:rsid w:val="0012261B"/>
    <w:rsid w:val="00123588"/>
    <w:rsid w:val="001278E6"/>
    <w:rsid w:val="00135B25"/>
    <w:rsid w:val="001405EF"/>
    <w:rsid w:val="00151405"/>
    <w:rsid w:val="001561B3"/>
    <w:rsid w:val="00157608"/>
    <w:rsid w:val="001657D1"/>
    <w:rsid w:val="0017042D"/>
    <w:rsid w:val="00185270"/>
    <w:rsid w:val="001935F8"/>
    <w:rsid w:val="00193706"/>
    <w:rsid w:val="001A63E6"/>
    <w:rsid w:val="001B5189"/>
    <w:rsid w:val="001C06C2"/>
    <w:rsid w:val="001C656C"/>
    <w:rsid w:val="001F3B75"/>
    <w:rsid w:val="00201EA2"/>
    <w:rsid w:val="00202946"/>
    <w:rsid w:val="00223B88"/>
    <w:rsid w:val="00240E5C"/>
    <w:rsid w:val="00245AB4"/>
    <w:rsid w:val="00262683"/>
    <w:rsid w:val="002A6740"/>
    <w:rsid w:val="002E67B8"/>
    <w:rsid w:val="00300B07"/>
    <w:rsid w:val="00303CF0"/>
    <w:rsid w:val="00316F5D"/>
    <w:rsid w:val="003278FB"/>
    <w:rsid w:val="00356521"/>
    <w:rsid w:val="003569F3"/>
    <w:rsid w:val="003622A6"/>
    <w:rsid w:val="003626F6"/>
    <w:rsid w:val="00365251"/>
    <w:rsid w:val="00386252"/>
    <w:rsid w:val="00387802"/>
    <w:rsid w:val="00393087"/>
    <w:rsid w:val="003A2600"/>
    <w:rsid w:val="003A6441"/>
    <w:rsid w:val="003B6575"/>
    <w:rsid w:val="003C5128"/>
    <w:rsid w:val="003E5CCE"/>
    <w:rsid w:val="003F35E9"/>
    <w:rsid w:val="004044E4"/>
    <w:rsid w:val="00436B8E"/>
    <w:rsid w:val="00450D23"/>
    <w:rsid w:val="004619C8"/>
    <w:rsid w:val="00464F35"/>
    <w:rsid w:val="00466024"/>
    <w:rsid w:val="004712AE"/>
    <w:rsid w:val="004718F8"/>
    <w:rsid w:val="004931FF"/>
    <w:rsid w:val="004B0F1E"/>
    <w:rsid w:val="004B79C1"/>
    <w:rsid w:val="004D530E"/>
    <w:rsid w:val="004E2F6D"/>
    <w:rsid w:val="004E71B9"/>
    <w:rsid w:val="00505B96"/>
    <w:rsid w:val="00513EAB"/>
    <w:rsid w:val="0052629E"/>
    <w:rsid w:val="005325F6"/>
    <w:rsid w:val="005403F0"/>
    <w:rsid w:val="00540988"/>
    <w:rsid w:val="00556FFB"/>
    <w:rsid w:val="005606FD"/>
    <w:rsid w:val="00565460"/>
    <w:rsid w:val="005A1A46"/>
    <w:rsid w:val="005B4C98"/>
    <w:rsid w:val="005B54FF"/>
    <w:rsid w:val="005C03F0"/>
    <w:rsid w:val="005C0F18"/>
    <w:rsid w:val="005C3B35"/>
    <w:rsid w:val="005D6C8D"/>
    <w:rsid w:val="005E0011"/>
    <w:rsid w:val="005F5E21"/>
    <w:rsid w:val="00600083"/>
    <w:rsid w:val="00612B06"/>
    <w:rsid w:val="00624128"/>
    <w:rsid w:val="00630296"/>
    <w:rsid w:val="0063470B"/>
    <w:rsid w:val="0064429C"/>
    <w:rsid w:val="00646197"/>
    <w:rsid w:val="0065111E"/>
    <w:rsid w:val="00656597"/>
    <w:rsid w:val="00662360"/>
    <w:rsid w:val="00676F95"/>
    <w:rsid w:val="00686802"/>
    <w:rsid w:val="0069108C"/>
    <w:rsid w:val="006954C5"/>
    <w:rsid w:val="006B71AA"/>
    <w:rsid w:val="006C7862"/>
    <w:rsid w:val="006D5F11"/>
    <w:rsid w:val="006E5B35"/>
    <w:rsid w:val="00700865"/>
    <w:rsid w:val="007063A2"/>
    <w:rsid w:val="00710693"/>
    <w:rsid w:val="007345AB"/>
    <w:rsid w:val="00736E1A"/>
    <w:rsid w:val="00751651"/>
    <w:rsid w:val="00752BFB"/>
    <w:rsid w:val="00760D3D"/>
    <w:rsid w:val="00762DEC"/>
    <w:rsid w:val="00773AC0"/>
    <w:rsid w:val="00781EA2"/>
    <w:rsid w:val="0078374A"/>
    <w:rsid w:val="00790868"/>
    <w:rsid w:val="007A15DE"/>
    <w:rsid w:val="007D786D"/>
    <w:rsid w:val="007E5F51"/>
    <w:rsid w:val="007E697A"/>
    <w:rsid w:val="00810377"/>
    <w:rsid w:val="0081365E"/>
    <w:rsid w:val="00821AB0"/>
    <w:rsid w:val="00835011"/>
    <w:rsid w:val="00835C80"/>
    <w:rsid w:val="00845347"/>
    <w:rsid w:val="00855582"/>
    <w:rsid w:val="00862BC9"/>
    <w:rsid w:val="00867F92"/>
    <w:rsid w:val="00877C93"/>
    <w:rsid w:val="008B4273"/>
    <w:rsid w:val="008C1776"/>
    <w:rsid w:val="008E6027"/>
    <w:rsid w:val="008F4BFC"/>
    <w:rsid w:val="00913C01"/>
    <w:rsid w:val="00927748"/>
    <w:rsid w:val="00933660"/>
    <w:rsid w:val="00961234"/>
    <w:rsid w:val="009673C8"/>
    <w:rsid w:val="00974EFC"/>
    <w:rsid w:val="00994550"/>
    <w:rsid w:val="009B41B0"/>
    <w:rsid w:val="009B70FA"/>
    <w:rsid w:val="009C4E2A"/>
    <w:rsid w:val="009C76DD"/>
    <w:rsid w:val="009D36B8"/>
    <w:rsid w:val="009D3741"/>
    <w:rsid w:val="009D6E7B"/>
    <w:rsid w:val="009E263C"/>
    <w:rsid w:val="009F0D8D"/>
    <w:rsid w:val="00A0003A"/>
    <w:rsid w:val="00A0061E"/>
    <w:rsid w:val="00A0388B"/>
    <w:rsid w:val="00A2498F"/>
    <w:rsid w:val="00A25787"/>
    <w:rsid w:val="00A30C26"/>
    <w:rsid w:val="00A42279"/>
    <w:rsid w:val="00A77439"/>
    <w:rsid w:val="00A913D4"/>
    <w:rsid w:val="00AB2255"/>
    <w:rsid w:val="00AB25FE"/>
    <w:rsid w:val="00AB59C0"/>
    <w:rsid w:val="00AD4F35"/>
    <w:rsid w:val="00AD68D6"/>
    <w:rsid w:val="00AE1A9C"/>
    <w:rsid w:val="00AE4086"/>
    <w:rsid w:val="00B00CE2"/>
    <w:rsid w:val="00B062DE"/>
    <w:rsid w:val="00B10A5D"/>
    <w:rsid w:val="00B16938"/>
    <w:rsid w:val="00B25AC0"/>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3F57"/>
    <w:rsid w:val="00BE1638"/>
    <w:rsid w:val="00BE21B3"/>
    <w:rsid w:val="00BE7ED8"/>
    <w:rsid w:val="00BF2160"/>
    <w:rsid w:val="00BF709F"/>
    <w:rsid w:val="00BF7988"/>
    <w:rsid w:val="00C2267F"/>
    <w:rsid w:val="00C25189"/>
    <w:rsid w:val="00C457BE"/>
    <w:rsid w:val="00C842C9"/>
    <w:rsid w:val="00C973FE"/>
    <w:rsid w:val="00CA0410"/>
    <w:rsid w:val="00CB299D"/>
    <w:rsid w:val="00CC16C5"/>
    <w:rsid w:val="00CC4917"/>
    <w:rsid w:val="00CD0735"/>
    <w:rsid w:val="00CD4ECD"/>
    <w:rsid w:val="00D07293"/>
    <w:rsid w:val="00D17F85"/>
    <w:rsid w:val="00D23915"/>
    <w:rsid w:val="00D23EA8"/>
    <w:rsid w:val="00D3340E"/>
    <w:rsid w:val="00D3384E"/>
    <w:rsid w:val="00D36F15"/>
    <w:rsid w:val="00D3717C"/>
    <w:rsid w:val="00D442FD"/>
    <w:rsid w:val="00D51183"/>
    <w:rsid w:val="00D57721"/>
    <w:rsid w:val="00D64831"/>
    <w:rsid w:val="00D743FF"/>
    <w:rsid w:val="00D8348A"/>
    <w:rsid w:val="00D953F3"/>
    <w:rsid w:val="00DA0012"/>
    <w:rsid w:val="00DA5AAF"/>
    <w:rsid w:val="00DB1837"/>
    <w:rsid w:val="00DB4B6B"/>
    <w:rsid w:val="00DC08B0"/>
    <w:rsid w:val="00DC471D"/>
    <w:rsid w:val="00DD7218"/>
    <w:rsid w:val="00DE5807"/>
    <w:rsid w:val="00DF2E19"/>
    <w:rsid w:val="00DF7796"/>
    <w:rsid w:val="00E006FC"/>
    <w:rsid w:val="00E072BA"/>
    <w:rsid w:val="00E17C63"/>
    <w:rsid w:val="00E34D8B"/>
    <w:rsid w:val="00E36ABE"/>
    <w:rsid w:val="00E50EA8"/>
    <w:rsid w:val="00E63AEF"/>
    <w:rsid w:val="00E76944"/>
    <w:rsid w:val="00E925AB"/>
    <w:rsid w:val="00E92C85"/>
    <w:rsid w:val="00E93C92"/>
    <w:rsid w:val="00EA3EEA"/>
    <w:rsid w:val="00EB561C"/>
    <w:rsid w:val="00EB59DB"/>
    <w:rsid w:val="00EC5656"/>
    <w:rsid w:val="00ED1DE8"/>
    <w:rsid w:val="00ED54CA"/>
    <w:rsid w:val="00EF543B"/>
    <w:rsid w:val="00F12BF7"/>
    <w:rsid w:val="00F23CCA"/>
    <w:rsid w:val="00F3598F"/>
    <w:rsid w:val="00F409BA"/>
    <w:rsid w:val="00F478A4"/>
    <w:rsid w:val="00F63350"/>
    <w:rsid w:val="00F652EC"/>
    <w:rsid w:val="00F67C15"/>
    <w:rsid w:val="00F735CB"/>
    <w:rsid w:val="00F94E00"/>
    <w:rsid w:val="00F95805"/>
    <w:rsid w:val="00F96049"/>
    <w:rsid w:val="00FA33C2"/>
    <w:rsid w:val="00FA7F84"/>
    <w:rsid w:val="00FB3226"/>
    <w:rsid w:val="00FB45B3"/>
    <w:rsid w:val="00FC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F6"/>
  </w:style>
  <w:style w:type="paragraph" w:styleId="Heading1">
    <w:name w:val="heading 1"/>
    <w:basedOn w:val="Normal"/>
    <w:next w:val="Normal"/>
    <w:link w:val="Heading1Char"/>
    <w:uiPriority w:val="9"/>
    <w:qFormat/>
    <w:rsid w:val="009C4E2A"/>
    <w:pPr>
      <w:keepNext/>
      <w:keepLines/>
      <w:numPr>
        <w:numId w:val="11"/>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E2A"/>
    <w:pPr>
      <w:keepNext/>
      <w:keepLines/>
      <w:numPr>
        <w:ilvl w:val="1"/>
        <w:numId w:val="11"/>
      </w:numPr>
      <w:spacing w:before="200" w:after="0"/>
      <w:ind w:left="129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4E2A"/>
    <w:pPr>
      <w:keepNext/>
      <w:keepLines/>
      <w:numPr>
        <w:ilvl w:val="2"/>
        <w:numId w:val="11"/>
      </w:numPr>
      <w:spacing w:before="200" w:after="0"/>
      <w:ind w:left="21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9C4E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9C4E2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9C4E2A"/>
    <w:pPr>
      <w:tabs>
        <w:tab w:val="left" w:pos="880"/>
        <w:tab w:val="right" w:leader="dot" w:pos="9350"/>
      </w:tabs>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9C4E2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2024-01-23T19:41:00Z</dcterms:created>
  <dcterms:modified xsi:type="dcterms:W3CDTF">2024-01-23T19:41:00Z</dcterms:modified>
</cp:coreProperties>
</file>