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0EE" w:rsidRDefault="009470EE"/>
    <w:p w:rsidR="00971AF0" w:rsidRDefault="00971AF0" w:rsidP="00651A15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RSAI 2021 Legisla</w:t>
      </w:r>
      <w:bookmarkStart w:id="0" w:name="_GoBack"/>
      <w:bookmarkEnd w:id="0"/>
      <w:r>
        <w:rPr>
          <w:b/>
          <w:sz w:val="36"/>
        </w:rPr>
        <w:t>tive Priority:</w:t>
      </w:r>
    </w:p>
    <w:p w:rsidR="00651A15" w:rsidRPr="00971AF0" w:rsidRDefault="00971AF0" w:rsidP="00971AF0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W</w:t>
      </w:r>
      <w:r w:rsidR="003B279E">
        <w:rPr>
          <w:b/>
          <w:sz w:val="36"/>
        </w:rPr>
        <w:t>hole Grade Sharing</w:t>
      </w:r>
      <w:r w:rsidR="001A03AC">
        <w:rPr>
          <w:b/>
          <w:sz w:val="36"/>
        </w:rPr>
        <w:t>/</w:t>
      </w:r>
      <w:r w:rsidR="003B279E">
        <w:rPr>
          <w:b/>
          <w:sz w:val="36"/>
        </w:rPr>
        <w:t>Reorganization</w:t>
      </w:r>
      <w:r w:rsidR="008746E3">
        <w:rPr>
          <w:b/>
          <w:sz w:val="36"/>
        </w:rPr>
        <w:t xml:space="preserve"> Incentives</w:t>
      </w:r>
    </w:p>
    <w:p w:rsidR="000B3D37" w:rsidRPr="00971AF0" w:rsidRDefault="000B3D37" w:rsidP="003B279E">
      <w:pPr>
        <w:widowControl w:val="0"/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FC159B" w:rsidRPr="00971AF0" w:rsidRDefault="003E2492" w:rsidP="003B279E">
      <w:pPr>
        <w:widowControl w:val="0"/>
        <w:spacing w:after="0" w:line="240" w:lineRule="auto"/>
        <w:rPr>
          <w:rFonts w:eastAsia="Calibri" w:cstheme="minorHAnsi"/>
          <w:sz w:val="24"/>
          <w:szCs w:val="24"/>
        </w:rPr>
      </w:pPr>
      <w:r w:rsidRPr="00971AF0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FA45C85" wp14:editId="3F7E3C9F">
            <wp:simplePos x="0" y="0"/>
            <wp:positionH relativeFrom="column">
              <wp:posOffset>1977390</wp:posOffset>
            </wp:positionH>
            <wp:positionV relativeFrom="paragraph">
              <wp:posOffset>1060450</wp:posOffset>
            </wp:positionV>
            <wp:extent cx="4464685" cy="3131820"/>
            <wp:effectExtent l="0" t="0" r="12065" b="11430"/>
            <wp:wrapTight wrapText="bothSides">
              <wp:wrapPolygon edited="0">
                <wp:start x="0" y="0"/>
                <wp:lineTo x="0" y="21547"/>
                <wp:lineTo x="21566" y="21547"/>
                <wp:lineTo x="21566" y="0"/>
                <wp:lineTo x="0" y="0"/>
              </wp:wrapPolygon>
            </wp:wrapTight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A15" w:rsidRPr="00971AF0">
        <w:rPr>
          <w:rFonts w:eastAsia="Calibri" w:cstheme="minorHAnsi"/>
          <w:b/>
          <w:sz w:val="24"/>
          <w:szCs w:val="24"/>
        </w:rPr>
        <w:t>Background: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  <w:r w:rsidR="003B279E" w:rsidRPr="00971AF0">
        <w:rPr>
          <w:rFonts w:eastAsia="Calibri" w:cstheme="minorHAnsi"/>
          <w:sz w:val="24"/>
          <w:szCs w:val="24"/>
        </w:rPr>
        <w:t>Whole Grade Sharing and Reorganization Incentives are currently available to school districts through the budge</w:t>
      </w:r>
      <w:r w:rsidR="000E686E" w:rsidRPr="00971AF0">
        <w:rPr>
          <w:rFonts w:eastAsia="Calibri" w:cstheme="minorHAnsi"/>
          <w:sz w:val="24"/>
          <w:szCs w:val="24"/>
        </w:rPr>
        <w:t>t year beginning July 1, 20</w:t>
      </w:r>
      <w:r w:rsidRPr="00971AF0">
        <w:rPr>
          <w:rFonts w:eastAsia="Calibri" w:cstheme="minorHAnsi"/>
          <w:sz w:val="24"/>
          <w:szCs w:val="24"/>
        </w:rPr>
        <w:t>24 (HF 566 enacted in the 2019 Session extended for five years</w:t>
      </w:r>
      <w:r w:rsidR="00F90CC4" w:rsidRPr="00971AF0">
        <w:rPr>
          <w:rFonts w:eastAsia="Calibri" w:cstheme="minorHAnsi"/>
          <w:sz w:val="24"/>
          <w:szCs w:val="24"/>
        </w:rPr>
        <w:t>) and Operational Sharing Incentives are available through the 2024-25 school year (</w:t>
      </w:r>
      <w:r w:rsidR="00F1560F" w:rsidRPr="00971AF0">
        <w:rPr>
          <w:rFonts w:eastAsia="Calibri" w:cstheme="minorHAnsi"/>
          <w:sz w:val="24"/>
          <w:szCs w:val="24"/>
        </w:rPr>
        <w:t>HF 633 enacted in the 2018 Session extended Operational Sharing Incentives through FY 2024-25</w:t>
      </w:r>
      <w:r w:rsidR="00971AF0">
        <w:rPr>
          <w:rFonts w:eastAsia="Calibri" w:cstheme="minorHAnsi"/>
          <w:sz w:val="24"/>
          <w:szCs w:val="24"/>
        </w:rPr>
        <w:t>).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  <w:r w:rsidR="00F1560F" w:rsidRPr="00971AF0">
        <w:rPr>
          <w:rFonts w:eastAsia="Calibri" w:cstheme="minorHAnsi"/>
          <w:sz w:val="24"/>
          <w:szCs w:val="24"/>
        </w:rPr>
        <w:t>Whole Grade sharing i</w:t>
      </w:r>
      <w:r w:rsidR="003B279E" w:rsidRPr="00971AF0">
        <w:rPr>
          <w:rFonts w:eastAsia="Calibri" w:cstheme="minorHAnsi"/>
          <w:sz w:val="24"/>
          <w:szCs w:val="24"/>
        </w:rPr>
        <w:t xml:space="preserve">ncentives provide </w:t>
      </w:r>
      <w:r w:rsidR="001A03AC" w:rsidRPr="00971AF0">
        <w:rPr>
          <w:rFonts w:eastAsia="Calibri" w:cstheme="minorHAnsi"/>
          <w:sz w:val="24"/>
          <w:szCs w:val="24"/>
        </w:rPr>
        <w:t>an impetus</w:t>
      </w:r>
      <w:r w:rsidR="003B279E" w:rsidRPr="00971AF0">
        <w:rPr>
          <w:rFonts w:eastAsia="Calibri" w:cstheme="minorHAnsi"/>
          <w:sz w:val="24"/>
          <w:szCs w:val="24"/>
        </w:rPr>
        <w:t xml:space="preserve"> for districts to </w:t>
      </w:r>
      <w:r w:rsidR="001A03AC" w:rsidRPr="00971AF0">
        <w:rPr>
          <w:rFonts w:eastAsia="Calibri" w:cstheme="minorHAnsi"/>
          <w:sz w:val="24"/>
          <w:szCs w:val="24"/>
        </w:rPr>
        <w:t>deliver</w:t>
      </w:r>
      <w:r w:rsidR="003B279E" w:rsidRPr="00971AF0">
        <w:rPr>
          <w:rFonts w:eastAsia="Calibri" w:cstheme="minorHAnsi"/>
          <w:sz w:val="24"/>
          <w:szCs w:val="24"/>
        </w:rPr>
        <w:t xml:space="preserve"> greater educational opportunities for students, either one-way, which </w:t>
      </w:r>
      <w:r w:rsidR="0012127D" w:rsidRPr="00971AF0">
        <w:rPr>
          <w:rFonts w:eastAsia="Calibri" w:cstheme="minorHAnsi"/>
          <w:sz w:val="24"/>
          <w:szCs w:val="24"/>
        </w:rPr>
        <w:t>4</w:t>
      </w:r>
      <w:r w:rsidR="004815C0" w:rsidRPr="00971AF0">
        <w:rPr>
          <w:rFonts w:eastAsia="Calibri" w:cstheme="minorHAnsi"/>
          <w:sz w:val="24"/>
          <w:szCs w:val="24"/>
        </w:rPr>
        <w:t>1</w:t>
      </w:r>
      <w:r w:rsidR="003B279E" w:rsidRPr="00971AF0">
        <w:rPr>
          <w:rFonts w:eastAsia="Calibri" w:cstheme="minorHAnsi"/>
          <w:sz w:val="24"/>
          <w:szCs w:val="24"/>
        </w:rPr>
        <w:t xml:space="preserve"> districts </w:t>
      </w:r>
      <w:r w:rsidR="0012127D" w:rsidRPr="00971AF0">
        <w:rPr>
          <w:rFonts w:eastAsia="Calibri" w:cstheme="minorHAnsi"/>
          <w:sz w:val="24"/>
          <w:szCs w:val="24"/>
        </w:rPr>
        <w:t>are using in the 2019-20</w:t>
      </w:r>
      <w:r w:rsidR="003B279E" w:rsidRPr="00971AF0">
        <w:rPr>
          <w:rFonts w:eastAsia="Calibri" w:cstheme="minorHAnsi"/>
          <w:sz w:val="24"/>
          <w:szCs w:val="24"/>
        </w:rPr>
        <w:t xml:space="preserve"> school year</w:t>
      </w:r>
      <w:r w:rsidR="0012127D" w:rsidRPr="00971AF0">
        <w:rPr>
          <w:rFonts w:eastAsia="Calibri" w:cstheme="minorHAnsi"/>
          <w:sz w:val="24"/>
          <w:szCs w:val="24"/>
        </w:rPr>
        <w:t xml:space="preserve"> or with two-way agreements, in which 14 districts are engaged</w:t>
      </w:r>
      <w:r w:rsidR="003B279E" w:rsidRPr="00971AF0">
        <w:rPr>
          <w:rFonts w:eastAsia="Calibri" w:cstheme="minorHAnsi"/>
          <w:sz w:val="24"/>
          <w:szCs w:val="24"/>
        </w:rPr>
        <w:t>.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  <w:r w:rsidR="0012127D" w:rsidRPr="00971AF0">
        <w:rPr>
          <w:rFonts w:eastAsia="Calibri" w:cstheme="minorHAnsi"/>
          <w:sz w:val="24"/>
          <w:szCs w:val="24"/>
        </w:rPr>
        <w:t>Three districts that previously participated in whole grade sharing were reorganized effective July 1, 2019, lowering the total number of school districts in Iowa to 327.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  <w:r w:rsidR="00D4382E" w:rsidRPr="00971AF0">
        <w:rPr>
          <w:rFonts w:eastAsia="Calibri" w:cstheme="minorHAnsi"/>
          <w:sz w:val="24"/>
          <w:szCs w:val="24"/>
        </w:rPr>
        <w:t xml:space="preserve">In the </w:t>
      </w:r>
      <w:r w:rsidR="00971AF0">
        <w:rPr>
          <w:rFonts w:eastAsia="Calibri" w:cstheme="minorHAnsi"/>
          <w:sz w:val="24"/>
          <w:szCs w:val="24"/>
        </w:rPr>
        <w:t>20</w:t>
      </w:r>
      <w:r w:rsidR="004815C0" w:rsidRPr="00971AF0">
        <w:rPr>
          <w:rFonts w:eastAsia="Calibri" w:cstheme="minorHAnsi"/>
          <w:sz w:val="24"/>
          <w:szCs w:val="24"/>
        </w:rPr>
        <w:t>20-21</w:t>
      </w:r>
      <w:r w:rsidR="00D4382E" w:rsidRPr="00971AF0">
        <w:rPr>
          <w:rFonts w:eastAsia="Calibri" w:cstheme="minorHAnsi"/>
          <w:sz w:val="24"/>
          <w:szCs w:val="24"/>
        </w:rPr>
        <w:t xml:space="preserve"> school year, </w:t>
      </w:r>
      <w:r w:rsidR="004815C0" w:rsidRPr="00971AF0">
        <w:rPr>
          <w:rFonts w:eastAsia="Calibri" w:cstheme="minorHAnsi"/>
          <w:sz w:val="24"/>
          <w:szCs w:val="24"/>
        </w:rPr>
        <w:t>257</w:t>
      </w:r>
      <w:r w:rsidR="00D4382E" w:rsidRPr="00971AF0">
        <w:rPr>
          <w:rFonts w:eastAsia="Calibri" w:cstheme="minorHAnsi"/>
          <w:sz w:val="24"/>
          <w:szCs w:val="24"/>
        </w:rPr>
        <w:t xml:space="preserve"> districts </w:t>
      </w:r>
      <w:r w:rsidR="0012127D" w:rsidRPr="00971AF0">
        <w:rPr>
          <w:rFonts w:eastAsia="Calibri" w:cstheme="minorHAnsi"/>
          <w:sz w:val="24"/>
          <w:szCs w:val="24"/>
        </w:rPr>
        <w:t xml:space="preserve">also </w:t>
      </w:r>
      <w:r w:rsidR="00D4382E" w:rsidRPr="00971AF0">
        <w:rPr>
          <w:rFonts w:eastAsia="Calibri" w:cstheme="minorHAnsi"/>
          <w:sz w:val="24"/>
          <w:szCs w:val="24"/>
        </w:rPr>
        <w:t>received operational sharing supplementary weighting.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  <w:r w:rsidR="00D4382E" w:rsidRPr="00971AF0">
        <w:rPr>
          <w:rFonts w:eastAsia="Calibri" w:cstheme="minorHAnsi"/>
          <w:sz w:val="24"/>
          <w:szCs w:val="24"/>
        </w:rPr>
        <w:t xml:space="preserve">Of those, </w:t>
      </w:r>
      <w:r w:rsidR="004815C0" w:rsidRPr="00971AF0">
        <w:rPr>
          <w:rFonts w:eastAsia="Calibri" w:cstheme="minorHAnsi"/>
          <w:sz w:val="24"/>
          <w:szCs w:val="24"/>
        </w:rPr>
        <w:t>103</w:t>
      </w:r>
      <w:r w:rsidR="00D4382E" w:rsidRPr="00971AF0">
        <w:rPr>
          <w:rFonts w:eastAsia="Calibri" w:cstheme="minorHAnsi"/>
          <w:sz w:val="24"/>
          <w:szCs w:val="24"/>
        </w:rPr>
        <w:t xml:space="preserve"> districts qualified for the full 21 student weighting, or $</w:t>
      </w:r>
      <w:r w:rsidR="00F90CC4" w:rsidRPr="00971AF0">
        <w:rPr>
          <w:rFonts w:eastAsia="Calibri" w:cstheme="minorHAnsi"/>
          <w:sz w:val="24"/>
          <w:szCs w:val="24"/>
        </w:rPr>
        <w:t>148,008</w:t>
      </w:r>
      <w:r w:rsidR="00D4382E" w:rsidRPr="00971AF0">
        <w:rPr>
          <w:rFonts w:eastAsia="Calibri" w:cstheme="minorHAnsi"/>
          <w:sz w:val="24"/>
          <w:szCs w:val="24"/>
        </w:rPr>
        <w:t>.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</w:p>
    <w:p w:rsidR="003B279E" w:rsidRPr="00971AF0" w:rsidRDefault="003B279E" w:rsidP="003B279E">
      <w:pPr>
        <w:widowControl w:val="0"/>
        <w:spacing w:after="0" w:line="240" w:lineRule="auto"/>
        <w:rPr>
          <w:rFonts w:eastAsia="Calibri" w:cstheme="minorHAnsi"/>
          <w:sz w:val="24"/>
          <w:szCs w:val="24"/>
        </w:rPr>
      </w:pPr>
    </w:p>
    <w:p w:rsidR="003B279E" w:rsidRPr="00971AF0" w:rsidRDefault="003B279E" w:rsidP="003B279E">
      <w:pPr>
        <w:widowControl w:val="0"/>
        <w:spacing w:after="0" w:line="240" w:lineRule="auto"/>
        <w:rPr>
          <w:rFonts w:eastAsia="Calibri" w:cstheme="minorHAnsi"/>
          <w:sz w:val="24"/>
          <w:szCs w:val="24"/>
        </w:rPr>
      </w:pPr>
      <w:r w:rsidRPr="00971AF0">
        <w:rPr>
          <w:rFonts w:eastAsia="Calibri" w:cstheme="minorHAnsi"/>
          <w:sz w:val="24"/>
          <w:szCs w:val="24"/>
        </w:rPr>
        <w:t>Historically</w:t>
      </w:r>
      <w:r w:rsidR="001A03AC" w:rsidRPr="00971AF0">
        <w:rPr>
          <w:rFonts w:eastAsia="Calibri" w:cstheme="minorHAnsi"/>
          <w:sz w:val="24"/>
          <w:szCs w:val="24"/>
        </w:rPr>
        <w:t xml:space="preserve">, these incentives have helped </w:t>
      </w:r>
      <w:r w:rsidRPr="00971AF0">
        <w:rPr>
          <w:rFonts w:eastAsia="Calibri" w:cstheme="minorHAnsi"/>
          <w:sz w:val="24"/>
          <w:szCs w:val="24"/>
        </w:rPr>
        <w:t>ease the financial burden of sharing</w:t>
      </w:r>
      <w:r w:rsidR="000E686E" w:rsidRPr="00971AF0">
        <w:rPr>
          <w:rFonts w:eastAsia="Calibri" w:cstheme="minorHAnsi"/>
          <w:sz w:val="24"/>
          <w:szCs w:val="24"/>
        </w:rPr>
        <w:t>. They</w:t>
      </w:r>
      <w:r w:rsidRPr="00971AF0">
        <w:rPr>
          <w:rFonts w:eastAsia="Calibri" w:cstheme="minorHAnsi"/>
          <w:sz w:val="24"/>
          <w:szCs w:val="24"/>
        </w:rPr>
        <w:t xml:space="preserve"> sometimes, but not always</w:t>
      </w:r>
      <w:r w:rsidR="000E686E" w:rsidRPr="00971AF0">
        <w:rPr>
          <w:rFonts w:eastAsia="Calibri" w:cstheme="minorHAnsi"/>
          <w:sz w:val="24"/>
          <w:szCs w:val="24"/>
        </w:rPr>
        <w:t>,</w:t>
      </w:r>
      <w:r w:rsidRPr="00971AF0">
        <w:rPr>
          <w:rFonts w:eastAsia="Calibri" w:cstheme="minorHAnsi"/>
          <w:sz w:val="24"/>
          <w:szCs w:val="24"/>
        </w:rPr>
        <w:t xml:space="preserve"> lead to reorganization.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  <w:r w:rsidR="00D4382E" w:rsidRPr="00971AF0">
        <w:rPr>
          <w:rFonts w:eastAsia="Calibri" w:cstheme="minorHAnsi"/>
          <w:sz w:val="24"/>
          <w:szCs w:val="24"/>
        </w:rPr>
        <w:t>S</w:t>
      </w:r>
      <w:r w:rsidRPr="00971AF0">
        <w:rPr>
          <w:rFonts w:eastAsia="Calibri" w:cstheme="minorHAnsi"/>
          <w:sz w:val="24"/>
          <w:szCs w:val="24"/>
        </w:rPr>
        <w:t>chool districts have experienced significant reorganization in Iowa, which originally had over 4,</w:t>
      </w:r>
      <w:r w:rsidR="001A03AC" w:rsidRPr="00971AF0">
        <w:rPr>
          <w:rFonts w:eastAsia="Calibri" w:cstheme="minorHAnsi"/>
          <w:sz w:val="24"/>
          <w:szCs w:val="24"/>
        </w:rPr>
        <w:t>6</w:t>
      </w:r>
      <w:r w:rsidRPr="00971AF0">
        <w:rPr>
          <w:rFonts w:eastAsia="Calibri" w:cstheme="minorHAnsi"/>
          <w:sz w:val="24"/>
          <w:szCs w:val="24"/>
        </w:rPr>
        <w:t xml:space="preserve">00 school districts </w:t>
      </w:r>
      <w:r w:rsidR="001A03AC" w:rsidRPr="00971AF0">
        <w:rPr>
          <w:rFonts w:eastAsia="Calibri" w:cstheme="minorHAnsi"/>
          <w:sz w:val="24"/>
          <w:szCs w:val="24"/>
        </w:rPr>
        <w:t>decades ago</w:t>
      </w:r>
      <w:r w:rsidRPr="00971AF0">
        <w:rPr>
          <w:rFonts w:eastAsia="Calibri" w:cstheme="minorHAnsi"/>
          <w:sz w:val="24"/>
          <w:szCs w:val="24"/>
        </w:rPr>
        <w:t>, now with 3</w:t>
      </w:r>
      <w:r w:rsidR="000E686E" w:rsidRPr="00971AF0">
        <w:rPr>
          <w:rFonts w:eastAsia="Calibri" w:cstheme="minorHAnsi"/>
          <w:sz w:val="24"/>
          <w:szCs w:val="24"/>
        </w:rPr>
        <w:t>27</w:t>
      </w:r>
      <w:r w:rsidRPr="00971AF0">
        <w:rPr>
          <w:rFonts w:eastAsia="Calibri" w:cstheme="minorHAnsi"/>
          <w:sz w:val="24"/>
          <w:szCs w:val="24"/>
        </w:rPr>
        <w:t xml:space="preserve"> in the </w:t>
      </w:r>
      <w:r w:rsidR="00F90CC4" w:rsidRPr="00971AF0">
        <w:rPr>
          <w:rFonts w:eastAsia="Calibri" w:cstheme="minorHAnsi"/>
          <w:sz w:val="24"/>
          <w:szCs w:val="24"/>
        </w:rPr>
        <w:t>2020-21</w:t>
      </w:r>
      <w:r w:rsidRPr="00971AF0">
        <w:rPr>
          <w:rFonts w:eastAsia="Calibri" w:cstheme="minorHAnsi"/>
          <w:sz w:val="24"/>
          <w:szCs w:val="24"/>
        </w:rPr>
        <w:t xml:space="preserve"> school year. </w:t>
      </w:r>
      <w:r w:rsidR="00D4382E" w:rsidRPr="00971AF0">
        <w:rPr>
          <w:rFonts w:eastAsia="Calibri" w:cstheme="minorHAnsi"/>
          <w:sz w:val="24"/>
          <w:szCs w:val="24"/>
        </w:rPr>
        <w:t xml:space="preserve">Continued low SSA increases contribute to financial pressures leading to both sharing and reorganization necessity for rural schools. </w:t>
      </w:r>
    </w:p>
    <w:p w:rsidR="003B279E" w:rsidRPr="00971AF0" w:rsidRDefault="003B279E" w:rsidP="00F60716">
      <w:pPr>
        <w:widowControl w:val="0"/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2A5125" w:rsidRPr="00971AF0" w:rsidRDefault="00F00114" w:rsidP="00F60716">
      <w:pPr>
        <w:widowControl w:val="0"/>
        <w:spacing w:after="0" w:line="240" w:lineRule="auto"/>
        <w:rPr>
          <w:rFonts w:eastAsia="Calibri" w:cstheme="minorHAnsi"/>
          <w:sz w:val="24"/>
          <w:szCs w:val="24"/>
        </w:rPr>
      </w:pPr>
      <w:r w:rsidRPr="00971AF0">
        <w:rPr>
          <w:rFonts w:eastAsia="Calibri" w:cstheme="minorHAnsi"/>
          <w:b/>
          <w:sz w:val="24"/>
          <w:szCs w:val="24"/>
        </w:rPr>
        <w:t>Curren</w:t>
      </w:r>
      <w:r w:rsidR="002A5125" w:rsidRPr="00971AF0">
        <w:rPr>
          <w:rFonts w:eastAsia="Calibri" w:cstheme="minorHAnsi"/>
          <w:b/>
          <w:sz w:val="24"/>
          <w:szCs w:val="24"/>
        </w:rPr>
        <w:t>t Reality: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</w:p>
    <w:p w:rsidR="00971AF0" w:rsidRDefault="00CE6D0E" w:rsidP="00F90CC4">
      <w:pPr>
        <w:pStyle w:val="ListParagraph"/>
        <w:widowControl w:val="0"/>
        <w:numPr>
          <w:ilvl w:val="0"/>
          <w:numId w:val="6"/>
        </w:numPr>
        <w:spacing w:after="240" w:line="240" w:lineRule="auto"/>
        <w:contextualSpacing w:val="0"/>
        <w:rPr>
          <w:rFonts w:cstheme="minorHAnsi"/>
          <w:sz w:val="24"/>
          <w:szCs w:val="24"/>
        </w:rPr>
        <w:sectPr w:rsidR="00971AF0" w:rsidSect="00971AF0">
          <w:headerReference w:type="default" r:id="rId8"/>
          <w:footerReference w:type="default" r:id="rId9"/>
          <w:pgSz w:w="12240" w:h="15840" w:code="1"/>
          <w:pgMar w:top="1267" w:right="1080" w:bottom="720" w:left="1080" w:header="720" w:footer="504" w:gutter="0"/>
          <w:cols w:space="720"/>
          <w:docGrid w:linePitch="360"/>
        </w:sectPr>
      </w:pPr>
      <w:r w:rsidRPr="00971AF0">
        <w:rPr>
          <w:rFonts w:eastAsia="Calibri" w:cstheme="minorHAnsi"/>
          <w:b/>
          <w:sz w:val="24"/>
          <w:szCs w:val="24"/>
        </w:rPr>
        <w:t xml:space="preserve">Operational </w:t>
      </w:r>
      <w:r w:rsidR="002F30ED" w:rsidRPr="00971AF0">
        <w:rPr>
          <w:rFonts w:eastAsia="Calibri" w:cstheme="minorHAnsi"/>
          <w:b/>
          <w:sz w:val="24"/>
          <w:szCs w:val="24"/>
        </w:rPr>
        <w:t xml:space="preserve">Sharing </w:t>
      </w:r>
      <w:r w:rsidRPr="00971AF0">
        <w:rPr>
          <w:rFonts w:eastAsia="Calibri" w:cstheme="minorHAnsi"/>
          <w:b/>
          <w:sz w:val="24"/>
          <w:szCs w:val="24"/>
        </w:rPr>
        <w:t>In</w:t>
      </w:r>
      <w:r w:rsidR="002F30ED" w:rsidRPr="00971AF0">
        <w:rPr>
          <w:rFonts w:eastAsia="Calibri" w:cstheme="minorHAnsi"/>
          <w:b/>
          <w:sz w:val="24"/>
          <w:szCs w:val="24"/>
        </w:rPr>
        <w:t>centives</w:t>
      </w:r>
      <w:r w:rsidR="002F30ED" w:rsidRPr="00971AF0">
        <w:rPr>
          <w:rFonts w:eastAsia="Calibri" w:cstheme="minorHAnsi"/>
          <w:sz w:val="24"/>
          <w:szCs w:val="24"/>
        </w:rPr>
        <w:t xml:space="preserve"> create the capacity for districts to discuss efficiencies that may not otherwise be politically viable. The</w:t>
      </w:r>
      <w:r w:rsidR="001A03AC" w:rsidRPr="00971AF0">
        <w:rPr>
          <w:rFonts w:eastAsia="Calibri" w:cstheme="minorHAnsi"/>
          <w:sz w:val="24"/>
          <w:szCs w:val="24"/>
        </w:rPr>
        <w:t>se</w:t>
      </w:r>
      <w:r w:rsidR="002F30ED" w:rsidRPr="00971AF0">
        <w:rPr>
          <w:rFonts w:eastAsia="Calibri" w:cstheme="minorHAnsi"/>
          <w:sz w:val="24"/>
          <w:szCs w:val="24"/>
        </w:rPr>
        <w:t xml:space="preserve"> incentives promote good working relationships with neighboring districts and help smaller districts continue to meet accreditation demands with limited general fund resources</w:t>
      </w:r>
      <w:r w:rsidR="001A03AC" w:rsidRPr="00971AF0">
        <w:rPr>
          <w:rFonts w:eastAsia="Calibri" w:cstheme="minorHAnsi"/>
          <w:sz w:val="24"/>
          <w:szCs w:val="24"/>
        </w:rPr>
        <w:t xml:space="preserve"> while giving students access to more program offerings</w:t>
      </w:r>
      <w:r w:rsidR="002F30ED" w:rsidRPr="00971AF0">
        <w:rPr>
          <w:rFonts w:eastAsia="Calibri" w:cstheme="minorHAnsi"/>
          <w:sz w:val="24"/>
          <w:szCs w:val="24"/>
        </w:rPr>
        <w:t>.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  <w:r w:rsidR="000E0BA1" w:rsidRPr="00971AF0">
        <w:rPr>
          <w:rFonts w:eastAsia="Calibri" w:cstheme="minorHAnsi"/>
          <w:sz w:val="24"/>
          <w:szCs w:val="24"/>
        </w:rPr>
        <w:t xml:space="preserve">Sharing also allows expertise </w:t>
      </w:r>
      <w:r w:rsidR="001A03AC" w:rsidRPr="00971AF0">
        <w:rPr>
          <w:rFonts w:eastAsia="Calibri" w:cstheme="minorHAnsi"/>
          <w:sz w:val="24"/>
          <w:szCs w:val="24"/>
        </w:rPr>
        <w:t xml:space="preserve">and facilities </w:t>
      </w:r>
      <w:r w:rsidR="000E0BA1" w:rsidRPr="00971AF0">
        <w:rPr>
          <w:rFonts w:eastAsia="Calibri" w:cstheme="minorHAnsi"/>
          <w:sz w:val="24"/>
          <w:szCs w:val="24"/>
        </w:rPr>
        <w:t xml:space="preserve">to be concentrated </w:t>
      </w:r>
      <w:r w:rsidR="001A03AC" w:rsidRPr="00971AF0">
        <w:rPr>
          <w:rFonts w:eastAsia="Calibri" w:cstheme="minorHAnsi"/>
          <w:sz w:val="24"/>
          <w:szCs w:val="24"/>
        </w:rPr>
        <w:t>in neighboring districts</w:t>
      </w:r>
      <w:r w:rsidR="000E0BA1" w:rsidRPr="00971AF0">
        <w:rPr>
          <w:rFonts w:eastAsia="Calibri" w:cstheme="minorHAnsi"/>
          <w:sz w:val="24"/>
          <w:szCs w:val="24"/>
        </w:rPr>
        <w:t>.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  <w:r w:rsidRPr="00971AF0">
        <w:rPr>
          <w:rFonts w:eastAsia="Calibri" w:cstheme="minorHAnsi"/>
          <w:sz w:val="24"/>
          <w:szCs w:val="24"/>
        </w:rPr>
        <w:t>In 2017, the legislature extended these incentives through June 30, 2024, added a social worker position to qualify for operational sharing.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  <w:r w:rsidR="00D4382E" w:rsidRPr="00971AF0">
        <w:rPr>
          <w:rFonts w:eastAsia="Calibri" w:cstheme="minorHAnsi"/>
          <w:sz w:val="24"/>
          <w:szCs w:val="24"/>
        </w:rPr>
        <w:t>Rural school leaders will continue to stress the importance of these incentives as that sunset draws closer.</w:t>
      </w:r>
      <w:r w:rsidR="00D4382E" w:rsidRPr="00971AF0">
        <w:rPr>
          <w:rFonts w:cstheme="minorHAnsi"/>
          <w:sz w:val="24"/>
          <w:szCs w:val="24"/>
        </w:rPr>
        <w:t xml:space="preserve"> </w:t>
      </w:r>
    </w:p>
    <w:p w:rsidR="00EA46A5" w:rsidRPr="00971AF0" w:rsidRDefault="001A03AC" w:rsidP="00F90CC4">
      <w:pPr>
        <w:pStyle w:val="ListParagraph"/>
        <w:widowControl w:val="0"/>
        <w:numPr>
          <w:ilvl w:val="0"/>
          <w:numId w:val="6"/>
        </w:numPr>
        <w:spacing w:after="240" w:line="240" w:lineRule="auto"/>
        <w:contextualSpacing w:val="0"/>
        <w:rPr>
          <w:rFonts w:eastAsia="Calibri" w:cstheme="minorHAnsi"/>
          <w:sz w:val="24"/>
          <w:szCs w:val="24"/>
        </w:rPr>
      </w:pPr>
      <w:r w:rsidRPr="00971AF0">
        <w:rPr>
          <w:rFonts w:eastAsia="Calibri" w:cstheme="minorHAnsi"/>
          <w:b/>
          <w:sz w:val="24"/>
          <w:szCs w:val="24"/>
        </w:rPr>
        <w:lastRenderedPageBreak/>
        <w:t>WGS</w:t>
      </w:r>
      <w:r w:rsidRPr="00971AF0">
        <w:rPr>
          <w:rFonts w:eastAsia="Calibri" w:cstheme="minorHAnsi"/>
          <w:sz w:val="24"/>
          <w:szCs w:val="24"/>
        </w:rPr>
        <w:t xml:space="preserve"> between districts may save on staff costs</w:t>
      </w:r>
      <w:r w:rsidR="00D4382E" w:rsidRPr="00971AF0">
        <w:rPr>
          <w:rFonts w:eastAsia="Calibri" w:cstheme="minorHAnsi"/>
          <w:sz w:val="24"/>
          <w:szCs w:val="24"/>
        </w:rPr>
        <w:t xml:space="preserve">, </w:t>
      </w:r>
      <w:r w:rsidRPr="00971AF0">
        <w:rPr>
          <w:rFonts w:eastAsia="Calibri" w:cstheme="minorHAnsi"/>
          <w:sz w:val="24"/>
          <w:szCs w:val="24"/>
        </w:rPr>
        <w:t>typically increases transportation costs</w:t>
      </w:r>
      <w:r w:rsidR="00D4382E" w:rsidRPr="00971AF0">
        <w:rPr>
          <w:rFonts w:eastAsia="Calibri" w:cstheme="minorHAnsi"/>
          <w:sz w:val="24"/>
          <w:szCs w:val="24"/>
        </w:rPr>
        <w:t>, but most importantly, provides additional opportunities for students</w:t>
      </w:r>
      <w:r w:rsidRPr="00971AF0">
        <w:rPr>
          <w:rFonts w:eastAsia="Calibri" w:cstheme="minorHAnsi"/>
          <w:sz w:val="24"/>
          <w:szCs w:val="24"/>
        </w:rPr>
        <w:t>.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  <w:r w:rsidRPr="00971AF0">
        <w:rPr>
          <w:rFonts w:eastAsia="Calibri" w:cstheme="minorHAnsi"/>
          <w:sz w:val="24"/>
          <w:szCs w:val="24"/>
        </w:rPr>
        <w:t>The incentives help to get students to the programs they need to be successful</w:t>
      </w:r>
      <w:r w:rsidR="00FC6D8E" w:rsidRPr="00971AF0">
        <w:rPr>
          <w:rFonts w:eastAsia="Calibri" w:cstheme="minorHAnsi"/>
          <w:sz w:val="24"/>
          <w:szCs w:val="24"/>
        </w:rPr>
        <w:t>.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  <w:r w:rsidRPr="00971AF0">
        <w:rPr>
          <w:rFonts w:eastAsia="Calibri" w:cstheme="minorHAnsi"/>
          <w:sz w:val="24"/>
          <w:szCs w:val="24"/>
        </w:rPr>
        <w:t>The reorganization incentives timeline encourages school boards to work together in a timely fashion to provide what’s best for students</w:t>
      </w:r>
      <w:r w:rsidR="00EA46A5" w:rsidRPr="00971AF0">
        <w:rPr>
          <w:rFonts w:eastAsia="Calibri" w:cstheme="minorHAnsi"/>
          <w:sz w:val="24"/>
          <w:szCs w:val="24"/>
        </w:rPr>
        <w:t>, but harmonious reorganization can take many years</w:t>
      </w:r>
      <w:r w:rsidRPr="00971AF0">
        <w:rPr>
          <w:rFonts w:eastAsia="Calibri" w:cstheme="minorHAnsi"/>
          <w:sz w:val="24"/>
          <w:szCs w:val="24"/>
        </w:rPr>
        <w:t xml:space="preserve">. </w:t>
      </w:r>
    </w:p>
    <w:p w:rsidR="00FC6D8E" w:rsidRPr="00971AF0" w:rsidRDefault="00EA46A5" w:rsidP="00F90CC4">
      <w:pPr>
        <w:pStyle w:val="ListParagraph"/>
        <w:widowControl w:val="0"/>
        <w:numPr>
          <w:ilvl w:val="0"/>
          <w:numId w:val="6"/>
        </w:numPr>
        <w:spacing w:after="240" w:line="240" w:lineRule="auto"/>
        <w:contextualSpacing w:val="0"/>
        <w:rPr>
          <w:rFonts w:eastAsia="Calibri" w:cstheme="minorHAnsi"/>
          <w:sz w:val="24"/>
          <w:szCs w:val="24"/>
        </w:rPr>
      </w:pPr>
      <w:r w:rsidRPr="00971AF0">
        <w:rPr>
          <w:rFonts w:eastAsia="Calibri" w:cstheme="minorHAnsi"/>
          <w:sz w:val="24"/>
          <w:szCs w:val="24"/>
        </w:rPr>
        <w:t xml:space="preserve">Without </w:t>
      </w:r>
      <w:r w:rsidR="001A03AC" w:rsidRPr="00971AF0">
        <w:rPr>
          <w:rFonts w:eastAsia="Calibri" w:cstheme="minorHAnsi"/>
          <w:sz w:val="24"/>
          <w:szCs w:val="24"/>
        </w:rPr>
        <w:t xml:space="preserve">the incentives after reorganization, since transportation costs </w:t>
      </w:r>
      <w:r w:rsidR="00D4382E" w:rsidRPr="00971AF0">
        <w:rPr>
          <w:rFonts w:eastAsia="Calibri" w:cstheme="minorHAnsi"/>
          <w:sz w:val="24"/>
          <w:szCs w:val="24"/>
        </w:rPr>
        <w:t xml:space="preserve">and staff savings </w:t>
      </w:r>
      <w:r w:rsidR="001A03AC" w:rsidRPr="00971AF0">
        <w:rPr>
          <w:rFonts w:eastAsia="Calibri" w:cstheme="minorHAnsi"/>
          <w:sz w:val="24"/>
          <w:szCs w:val="24"/>
        </w:rPr>
        <w:t>have already been incurred through WGS, additional efficiencies are not as significant</w:t>
      </w:r>
      <w:r w:rsidRPr="00971AF0">
        <w:rPr>
          <w:rFonts w:eastAsia="Calibri" w:cstheme="minorHAnsi"/>
          <w:sz w:val="24"/>
          <w:szCs w:val="24"/>
        </w:rPr>
        <w:t>.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  <w:r w:rsidRPr="00971AF0">
        <w:rPr>
          <w:rFonts w:eastAsia="Calibri" w:cstheme="minorHAnsi"/>
          <w:sz w:val="24"/>
          <w:szCs w:val="24"/>
        </w:rPr>
        <w:t>This hurdle can create</w:t>
      </w:r>
      <w:r w:rsidR="001A03AC" w:rsidRPr="00971AF0">
        <w:rPr>
          <w:rFonts w:eastAsia="Calibri" w:cstheme="minorHAnsi"/>
          <w:sz w:val="24"/>
          <w:szCs w:val="24"/>
        </w:rPr>
        <w:t xml:space="preserve"> a barrier to reorganization </w:t>
      </w:r>
      <w:r w:rsidRPr="00971AF0">
        <w:rPr>
          <w:rFonts w:eastAsia="Calibri" w:cstheme="minorHAnsi"/>
          <w:sz w:val="24"/>
          <w:szCs w:val="24"/>
        </w:rPr>
        <w:t>absent</w:t>
      </w:r>
      <w:r w:rsidR="001A03AC" w:rsidRPr="00971AF0">
        <w:rPr>
          <w:rFonts w:eastAsia="Calibri" w:cstheme="minorHAnsi"/>
          <w:sz w:val="24"/>
          <w:szCs w:val="24"/>
        </w:rPr>
        <w:t xml:space="preserve"> the incentive.</w:t>
      </w:r>
    </w:p>
    <w:p w:rsidR="00D4382E" w:rsidRPr="00971AF0" w:rsidRDefault="001A03AC" w:rsidP="00F90CC4">
      <w:pPr>
        <w:pStyle w:val="ListParagraph"/>
        <w:widowControl w:val="0"/>
        <w:numPr>
          <w:ilvl w:val="0"/>
          <w:numId w:val="6"/>
        </w:numPr>
        <w:spacing w:after="240" w:line="240" w:lineRule="auto"/>
        <w:contextualSpacing w:val="0"/>
        <w:rPr>
          <w:rFonts w:eastAsia="Times New Roman" w:cstheme="minorHAnsi"/>
          <w:color w:val="000000"/>
          <w:sz w:val="24"/>
          <w:szCs w:val="24"/>
        </w:rPr>
      </w:pPr>
      <w:r w:rsidRPr="00971AF0">
        <w:rPr>
          <w:rFonts w:eastAsia="Calibri" w:cstheme="minorHAnsi"/>
          <w:sz w:val="24"/>
          <w:szCs w:val="24"/>
        </w:rPr>
        <w:t>Property tax rate differences can be significant between neighboring districts.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  <w:r w:rsidRPr="00971AF0">
        <w:rPr>
          <w:rFonts w:eastAsia="Calibri" w:cstheme="minorHAnsi"/>
          <w:sz w:val="24"/>
          <w:szCs w:val="24"/>
        </w:rPr>
        <w:t xml:space="preserve">Three years of property tax incentive following reorganization helps ease that transitional impact on </w:t>
      </w:r>
      <w:r w:rsidR="00905B0C" w:rsidRPr="00971AF0">
        <w:rPr>
          <w:rFonts w:eastAsia="Calibri" w:cstheme="minorHAnsi"/>
          <w:sz w:val="24"/>
          <w:szCs w:val="24"/>
        </w:rPr>
        <w:t>taxpayers.</w:t>
      </w:r>
    </w:p>
    <w:p w:rsidR="00EA46A5" w:rsidRPr="00971AF0" w:rsidRDefault="001A03AC" w:rsidP="00F90C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 w:line="240" w:lineRule="auto"/>
        <w:rPr>
          <w:rFonts w:eastAsia="Times New Roman" w:cstheme="minorHAnsi"/>
          <w:color w:val="000000"/>
          <w:sz w:val="24"/>
          <w:szCs w:val="24"/>
        </w:rPr>
      </w:pPr>
      <w:r w:rsidRPr="00971AF0">
        <w:rPr>
          <w:rFonts w:eastAsia="Times New Roman" w:cstheme="minorHAnsi"/>
          <w:b/>
          <w:bCs/>
          <w:color w:val="000000"/>
          <w:sz w:val="24"/>
          <w:szCs w:val="24"/>
        </w:rPr>
        <w:t>Sharing Incentives and Efficiencies:</w:t>
      </w:r>
      <w:r w:rsidR="00971AF0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D4382E" w:rsidRPr="00971AF0">
        <w:rPr>
          <w:rFonts w:eastAsia="Times New Roman" w:cstheme="minorHAnsi"/>
          <w:bCs/>
          <w:color w:val="000000"/>
          <w:sz w:val="24"/>
          <w:szCs w:val="24"/>
        </w:rPr>
        <w:t>RSAI supports extension of sharing and efficiency incentives.</w:t>
      </w:r>
      <w:r w:rsidR="00D4382E" w:rsidRPr="00971AF0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D4382E" w:rsidRPr="00971AF0">
        <w:rPr>
          <w:rFonts w:eastAsia="Times New Roman" w:cstheme="minorHAnsi"/>
          <w:color w:val="000000"/>
          <w:sz w:val="24"/>
          <w:szCs w:val="24"/>
        </w:rPr>
        <w:t>Rural students benefit from opportunities to achieve efficiencies, share capacity to operate, and redirect res</w:t>
      </w:r>
      <w:r w:rsidR="00C627A5" w:rsidRPr="00971AF0">
        <w:rPr>
          <w:rFonts w:eastAsia="Times New Roman" w:cstheme="minorHAnsi"/>
          <w:color w:val="000000"/>
          <w:sz w:val="24"/>
          <w:szCs w:val="24"/>
        </w:rPr>
        <w:t>ources to educational programs.</w:t>
      </w:r>
      <w:r w:rsidR="00F90CC4" w:rsidRPr="00971AF0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D4382E" w:rsidRPr="00971AF0">
        <w:rPr>
          <w:rFonts w:eastAsia="Times New Roman" w:cstheme="minorHAnsi"/>
          <w:color w:val="000000"/>
          <w:sz w:val="24"/>
          <w:szCs w:val="24"/>
        </w:rPr>
        <w:t xml:space="preserve">Whole Grade Sharing, Reorganization, and Operational Sharing Incentives should be extended and expanded. </w:t>
      </w:r>
    </w:p>
    <w:p w:rsidR="00F1560F" w:rsidRPr="00971AF0" w:rsidRDefault="00F1560F" w:rsidP="001A03AC">
      <w:pPr>
        <w:widowControl w:val="0"/>
        <w:spacing w:after="48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F1560F" w:rsidRPr="00971AF0" w:rsidRDefault="00F1560F" w:rsidP="001A03AC">
      <w:pPr>
        <w:widowControl w:val="0"/>
        <w:spacing w:after="480" w:line="240" w:lineRule="auto"/>
        <w:rPr>
          <w:rFonts w:eastAsia="Times New Roman" w:cstheme="minorHAnsi"/>
          <w:color w:val="000000"/>
          <w:sz w:val="24"/>
          <w:szCs w:val="24"/>
        </w:rPr>
      </w:pPr>
      <w:r w:rsidRPr="00971AF0">
        <w:rPr>
          <w:rFonts w:eastAsia="Times New Roman" w:cstheme="minorHAnsi"/>
          <w:b/>
          <w:color w:val="000000"/>
          <w:sz w:val="24"/>
          <w:szCs w:val="24"/>
        </w:rPr>
        <w:t xml:space="preserve">Find out more: </w:t>
      </w:r>
      <w:r w:rsidRPr="00971AF0">
        <w:rPr>
          <w:rFonts w:eastAsia="Times New Roman" w:cstheme="minorHAnsi"/>
          <w:b/>
          <w:color w:val="000000"/>
          <w:sz w:val="24"/>
          <w:szCs w:val="24"/>
        </w:rPr>
        <w:br/>
      </w:r>
      <w:r w:rsidRPr="00971AF0">
        <w:rPr>
          <w:rFonts w:eastAsia="Times New Roman" w:cstheme="minorHAnsi"/>
          <w:color w:val="000000"/>
          <w:sz w:val="24"/>
          <w:szCs w:val="24"/>
        </w:rPr>
        <w:t xml:space="preserve">DE’s Whole Grade Sharing Handbook, Sept. 2020, explaining funding, enrollment operations, negotiated agreements and other critical procedures for districts to follow is posted on DE’s web site: </w:t>
      </w:r>
      <w:hyperlink r:id="rId10" w:history="1">
        <w:r w:rsidRPr="00971AF0">
          <w:rPr>
            <w:rStyle w:val="Hyperlink"/>
            <w:rFonts w:eastAsia="Times New Roman" w:cstheme="minorHAnsi"/>
            <w:sz w:val="24"/>
            <w:szCs w:val="24"/>
          </w:rPr>
          <w:t>https://educateiowa.gov/sites/files/ed/documents/Whole%20Grade%20Sharing%20Handbook-%202020.pdf</w:t>
        </w:r>
      </w:hyperlink>
    </w:p>
    <w:p w:rsidR="00F1560F" w:rsidRPr="00971AF0" w:rsidRDefault="00F1560F" w:rsidP="001A03AC">
      <w:pPr>
        <w:widowControl w:val="0"/>
        <w:spacing w:after="480" w:line="240" w:lineRule="auto"/>
        <w:rPr>
          <w:rFonts w:eastAsia="Calibri" w:cstheme="minorHAnsi"/>
          <w:sz w:val="24"/>
          <w:szCs w:val="24"/>
        </w:rPr>
      </w:pPr>
    </w:p>
    <w:sectPr w:rsidR="00F1560F" w:rsidRPr="00971AF0" w:rsidSect="00971AF0">
      <w:headerReference w:type="default" r:id="rId11"/>
      <w:pgSz w:w="12240" w:h="15840" w:code="1"/>
      <w:pgMar w:top="1267" w:right="1080" w:bottom="720" w:left="108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7A1" w:rsidRDefault="007927A1" w:rsidP="00636F64">
      <w:pPr>
        <w:spacing w:after="0" w:line="240" w:lineRule="auto"/>
      </w:pPr>
      <w:r>
        <w:separator/>
      </w:r>
    </w:p>
  </w:endnote>
  <w:endnote w:type="continuationSeparator" w:id="0">
    <w:p w:rsidR="007927A1" w:rsidRDefault="007927A1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097924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1AF0" w:rsidRPr="00971AF0" w:rsidRDefault="00971AF0" w:rsidP="00971AF0">
        <w:pPr>
          <w:pStyle w:val="Footer"/>
          <w:jc w:val="center"/>
          <w:rPr>
            <w:sz w:val="20"/>
            <w:szCs w:val="20"/>
          </w:rPr>
        </w:pPr>
        <w:r w:rsidRPr="00414BD6">
          <w:rPr>
            <w:sz w:val="20"/>
            <w:szCs w:val="20"/>
          </w:rPr>
          <w:t>RSAI | 1201 63</w:t>
        </w:r>
        <w:r w:rsidRPr="00414BD6">
          <w:rPr>
            <w:sz w:val="20"/>
            <w:szCs w:val="20"/>
            <w:vertAlign w:val="superscript"/>
          </w:rPr>
          <w:t>rd</w:t>
        </w:r>
        <w:r w:rsidRPr="00414BD6">
          <w:rPr>
            <w:sz w:val="20"/>
            <w:szCs w:val="20"/>
          </w:rPr>
          <w:t xml:space="preserve"> Street, Des Moines, IA 50311 | (515) 251-5970 | </w:t>
        </w:r>
        <w:hyperlink r:id="rId1" w:history="1">
          <w:r w:rsidRPr="00414BD6">
            <w:rPr>
              <w:rStyle w:val="Hyperlink"/>
              <w:sz w:val="20"/>
              <w:szCs w:val="20"/>
            </w:rPr>
            <w:t>www.rsaia.org</w:t>
          </w:r>
        </w:hyperlink>
        <w:r w:rsidRPr="00414BD6">
          <w:rPr>
            <w:sz w:val="20"/>
            <w:szCs w:val="20"/>
          </w:rPr>
          <w:br/>
          <w:t xml:space="preserve">Margaret Buckton, Professional Advocate, </w:t>
        </w:r>
        <w:hyperlink r:id="rId2" w:history="1">
          <w:r w:rsidRPr="00414BD6">
            <w:rPr>
              <w:rStyle w:val="Hyperlink"/>
              <w:sz w:val="20"/>
              <w:szCs w:val="20"/>
            </w:rPr>
            <w:t>margaret.buckton@rsaia.org</w:t>
          </w:r>
        </w:hyperlink>
        <w:r w:rsidRPr="00414BD6">
          <w:rPr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7A1" w:rsidRDefault="007927A1" w:rsidP="00636F64">
      <w:pPr>
        <w:spacing w:after="0" w:line="240" w:lineRule="auto"/>
      </w:pPr>
      <w:r>
        <w:separator/>
      </w:r>
    </w:p>
  </w:footnote>
  <w:footnote w:type="continuationSeparator" w:id="0">
    <w:p w:rsidR="007927A1" w:rsidRDefault="007927A1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F64" w:rsidRDefault="00636F64" w:rsidP="00636F64">
    <w:r>
      <w:rPr>
        <w:noProof/>
      </w:rPr>
      <w:drawing>
        <wp:anchor distT="0" distB="0" distL="114300" distR="114300" simplePos="0" relativeHeight="251659264" behindDoc="1" locked="0" layoutInCell="1" allowOverlap="1" wp14:anchorId="1C8DA356" wp14:editId="00BFD870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DEEB05" wp14:editId="34EB10B6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36F64" w:rsidRPr="00F754DF" w:rsidRDefault="00636F64" w:rsidP="00636F64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DEEB05" id="Rectangle 5" o:spid="_x0000_s1026" style="position:absolute;margin-left:395.6pt;margin-top:-16.5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" fillcolor="#e36c0a [2409]" stroked="f" strokeweight="2pt">
              <v:fill opacity="38036f"/>
              <v:textbox>
                <w:txbxContent>
                  <w:p w:rsidR="00636F64" w:rsidRPr="00F754DF" w:rsidRDefault="00636F64" w:rsidP="00636F64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ECD8A7" wp14:editId="714063E5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9FC4CF" id="Rectangle 4" o:spid="_x0000_s1026" style="position:absolute;margin-left:167.15pt;margin-top:-16.55pt;width:72.8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hekgIAAIQ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45313E" wp14:editId="4F7EE479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F63A07" id="Rectangle 3" o:spid="_x0000_s1026" style="position:absolute;margin-left:85.25pt;margin-top:-18.2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" fillcolor="#c0000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0FE4B3" wp14:editId="46C592B3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36F64" w:rsidRDefault="00636F64" w:rsidP="00636F6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FE4B3" id="Rectangle 2" o:spid="_x0000_s1027" style="position:absolute;margin-left:4.95pt;margin-top:-19.05pt;width:72.8pt;height:6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" fillcolor="#92d050" stroked="f" strokeweight="2pt">
              <v:textbox>
                <w:txbxContent>
                  <w:p w:rsidR="00636F64" w:rsidRDefault="00636F64" w:rsidP="00636F6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636F64" w:rsidRDefault="00636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AF0" w:rsidRPr="00C11EA4" w:rsidRDefault="00971AF0" w:rsidP="00971AF0">
    <w:pPr>
      <w:pStyle w:val="Header"/>
      <w:tabs>
        <w:tab w:val="clear" w:pos="9360"/>
        <w:tab w:val="right" w:pos="9900"/>
      </w:tabs>
      <w:rPr>
        <w:i/>
        <w:sz w:val="20"/>
        <w:szCs w:val="20"/>
      </w:rPr>
    </w:pPr>
    <w:r w:rsidRPr="00C11EA4">
      <w:rPr>
        <w:i/>
        <w:sz w:val="20"/>
        <w:szCs w:val="20"/>
      </w:rPr>
      <w:t>RSAI</w:t>
    </w:r>
    <w:r>
      <w:rPr>
        <w:i/>
        <w:sz w:val="20"/>
        <w:szCs w:val="20"/>
      </w:rPr>
      <w:t xml:space="preserve"> 2021 Legislative Priority:</w:t>
    </w:r>
    <w:r>
      <w:rPr>
        <w:i/>
        <w:sz w:val="20"/>
        <w:szCs w:val="20"/>
      </w:rPr>
      <w:tab/>
    </w:r>
    <w:r w:rsidRPr="00C11EA4">
      <w:rPr>
        <w:i/>
        <w:sz w:val="20"/>
        <w:szCs w:val="20"/>
      </w:rPr>
      <w:tab/>
      <w:t>Page</w:t>
    </w:r>
    <w:r>
      <w:rPr>
        <w:i/>
        <w:sz w:val="20"/>
        <w:szCs w:val="20"/>
      </w:rPr>
      <w:t xml:space="preserve"> </w:t>
    </w:r>
    <w:r w:rsidRPr="00C11EA4">
      <w:rPr>
        <w:i/>
        <w:sz w:val="20"/>
        <w:szCs w:val="20"/>
      </w:rPr>
      <w:t xml:space="preserve"> </w:t>
    </w:r>
    <w:sdt>
      <w:sdtPr>
        <w:rPr>
          <w:i/>
          <w:sz w:val="20"/>
          <w:szCs w:val="20"/>
        </w:rPr>
        <w:id w:val="-124934758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C11EA4">
          <w:rPr>
            <w:i/>
            <w:sz w:val="20"/>
            <w:szCs w:val="20"/>
          </w:rPr>
          <w:fldChar w:fldCharType="begin"/>
        </w:r>
        <w:r w:rsidRPr="00C11EA4">
          <w:rPr>
            <w:i/>
            <w:sz w:val="20"/>
            <w:szCs w:val="20"/>
          </w:rPr>
          <w:instrText xml:space="preserve"> PAGE   \* MERGEFORMAT </w:instrText>
        </w:r>
        <w:r w:rsidRPr="00C11EA4">
          <w:rPr>
            <w:i/>
            <w:sz w:val="20"/>
            <w:szCs w:val="20"/>
          </w:rPr>
          <w:fldChar w:fldCharType="separate"/>
        </w:r>
        <w:r>
          <w:rPr>
            <w:i/>
            <w:noProof/>
            <w:sz w:val="20"/>
            <w:szCs w:val="20"/>
          </w:rPr>
          <w:t>2</w:t>
        </w:r>
        <w:r w:rsidRPr="00C11EA4">
          <w:rPr>
            <w:i/>
            <w:noProof/>
            <w:sz w:val="20"/>
            <w:szCs w:val="20"/>
          </w:rPr>
          <w:fldChar w:fldCharType="end"/>
        </w:r>
        <w:r>
          <w:rPr>
            <w:i/>
            <w:noProof/>
            <w:sz w:val="20"/>
            <w:szCs w:val="20"/>
          </w:rPr>
          <w:br/>
        </w:r>
        <w:r>
          <w:rPr>
            <w:i/>
            <w:sz w:val="20"/>
            <w:szCs w:val="20"/>
          </w:rPr>
          <w:t>Whole Grade Sharing/Reorganization Incentives</w:t>
        </w:r>
      </w:sdtContent>
    </w:sdt>
  </w:p>
  <w:p w:rsidR="00971AF0" w:rsidRDefault="00971A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BAB"/>
    <w:multiLevelType w:val="hybridMultilevel"/>
    <w:tmpl w:val="83DE7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5E1"/>
    <w:multiLevelType w:val="hybridMultilevel"/>
    <w:tmpl w:val="6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A12EC"/>
    <w:multiLevelType w:val="hybridMultilevel"/>
    <w:tmpl w:val="3CFC0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A6F2A"/>
    <w:multiLevelType w:val="hybridMultilevel"/>
    <w:tmpl w:val="C5608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FB5331"/>
    <w:multiLevelType w:val="hybridMultilevel"/>
    <w:tmpl w:val="2C4CB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F0649"/>
    <w:multiLevelType w:val="hybridMultilevel"/>
    <w:tmpl w:val="C6C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B1614"/>
    <w:multiLevelType w:val="hybridMultilevel"/>
    <w:tmpl w:val="528E7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yNrcwNDU3MzI0MTVV0lEKTi0uzszPAykwrAUAXFwJsCwAAAA="/>
  </w:docVars>
  <w:rsids>
    <w:rsidRoot w:val="00636F64"/>
    <w:rsid w:val="0000123E"/>
    <w:rsid w:val="00002A88"/>
    <w:rsid w:val="00005015"/>
    <w:rsid w:val="00014532"/>
    <w:rsid w:val="0002090F"/>
    <w:rsid w:val="0002093B"/>
    <w:rsid w:val="00024DDD"/>
    <w:rsid w:val="00027E5E"/>
    <w:rsid w:val="00032CD7"/>
    <w:rsid w:val="00035ABD"/>
    <w:rsid w:val="0003753F"/>
    <w:rsid w:val="000425CA"/>
    <w:rsid w:val="000445D4"/>
    <w:rsid w:val="0005379B"/>
    <w:rsid w:val="00055926"/>
    <w:rsid w:val="00056991"/>
    <w:rsid w:val="00061C17"/>
    <w:rsid w:val="0006224E"/>
    <w:rsid w:val="0008079F"/>
    <w:rsid w:val="00082E61"/>
    <w:rsid w:val="00084388"/>
    <w:rsid w:val="000A6FD3"/>
    <w:rsid w:val="000B3D37"/>
    <w:rsid w:val="000C1879"/>
    <w:rsid w:val="000C58C0"/>
    <w:rsid w:val="000C617F"/>
    <w:rsid w:val="000D48D2"/>
    <w:rsid w:val="000E0BA1"/>
    <w:rsid w:val="000E2481"/>
    <w:rsid w:val="000E4013"/>
    <w:rsid w:val="000E686E"/>
    <w:rsid w:val="001022AC"/>
    <w:rsid w:val="001026E8"/>
    <w:rsid w:val="001068E1"/>
    <w:rsid w:val="00107444"/>
    <w:rsid w:val="00114832"/>
    <w:rsid w:val="00117E4D"/>
    <w:rsid w:val="0012127D"/>
    <w:rsid w:val="00126079"/>
    <w:rsid w:val="00127DBD"/>
    <w:rsid w:val="001346A0"/>
    <w:rsid w:val="001357A4"/>
    <w:rsid w:val="00141C99"/>
    <w:rsid w:val="0014231C"/>
    <w:rsid w:val="00145BCC"/>
    <w:rsid w:val="00147FF0"/>
    <w:rsid w:val="001503AF"/>
    <w:rsid w:val="001644DF"/>
    <w:rsid w:val="0016712D"/>
    <w:rsid w:val="0017186B"/>
    <w:rsid w:val="00187146"/>
    <w:rsid w:val="001A03AC"/>
    <w:rsid w:val="001B46E2"/>
    <w:rsid w:val="001D16B9"/>
    <w:rsid w:val="001D2879"/>
    <w:rsid w:val="001D3510"/>
    <w:rsid w:val="001D6A34"/>
    <w:rsid w:val="001E0A5C"/>
    <w:rsid w:val="001F4A3D"/>
    <w:rsid w:val="0020306B"/>
    <w:rsid w:val="00231104"/>
    <w:rsid w:val="00232298"/>
    <w:rsid w:val="0023343D"/>
    <w:rsid w:val="00256E48"/>
    <w:rsid w:val="00256EA4"/>
    <w:rsid w:val="00271073"/>
    <w:rsid w:val="002764DB"/>
    <w:rsid w:val="00282ADF"/>
    <w:rsid w:val="00290F1D"/>
    <w:rsid w:val="002925CA"/>
    <w:rsid w:val="00295CD0"/>
    <w:rsid w:val="002A305A"/>
    <w:rsid w:val="002A5125"/>
    <w:rsid w:val="002C17FA"/>
    <w:rsid w:val="002C1AC8"/>
    <w:rsid w:val="002C7044"/>
    <w:rsid w:val="002D0F2B"/>
    <w:rsid w:val="002D2BD2"/>
    <w:rsid w:val="002D3D46"/>
    <w:rsid w:val="002D43B3"/>
    <w:rsid w:val="002E304C"/>
    <w:rsid w:val="002F30ED"/>
    <w:rsid w:val="0030077D"/>
    <w:rsid w:val="00301F15"/>
    <w:rsid w:val="003107B3"/>
    <w:rsid w:val="00311CE6"/>
    <w:rsid w:val="00316CFF"/>
    <w:rsid w:val="00322B0A"/>
    <w:rsid w:val="0034576D"/>
    <w:rsid w:val="00354382"/>
    <w:rsid w:val="00361A1E"/>
    <w:rsid w:val="003640C6"/>
    <w:rsid w:val="00382EE6"/>
    <w:rsid w:val="00390B9F"/>
    <w:rsid w:val="003924BE"/>
    <w:rsid w:val="00394B76"/>
    <w:rsid w:val="003A32A9"/>
    <w:rsid w:val="003A35B2"/>
    <w:rsid w:val="003A5D3F"/>
    <w:rsid w:val="003B279E"/>
    <w:rsid w:val="003B29EE"/>
    <w:rsid w:val="003B58BF"/>
    <w:rsid w:val="003C35FE"/>
    <w:rsid w:val="003C71F2"/>
    <w:rsid w:val="003E0459"/>
    <w:rsid w:val="003E2492"/>
    <w:rsid w:val="003E68B2"/>
    <w:rsid w:val="003F0098"/>
    <w:rsid w:val="003F20F0"/>
    <w:rsid w:val="003F3273"/>
    <w:rsid w:val="00416B4C"/>
    <w:rsid w:val="00416D91"/>
    <w:rsid w:val="00420F80"/>
    <w:rsid w:val="004815C0"/>
    <w:rsid w:val="00496686"/>
    <w:rsid w:val="004A1675"/>
    <w:rsid w:val="004A6E17"/>
    <w:rsid w:val="004B787E"/>
    <w:rsid w:val="004C1220"/>
    <w:rsid w:val="004C254D"/>
    <w:rsid w:val="004C558E"/>
    <w:rsid w:val="004C770E"/>
    <w:rsid w:val="004D377D"/>
    <w:rsid w:val="004E3F90"/>
    <w:rsid w:val="004F0328"/>
    <w:rsid w:val="004F0E0F"/>
    <w:rsid w:val="004F2923"/>
    <w:rsid w:val="00500ACB"/>
    <w:rsid w:val="00511508"/>
    <w:rsid w:val="00513FBC"/>
    <w:rsid w:val="00516B4F"/>
    <w:rsid w:val="00527BA5"/>
    <w:rsid w:val="0053222E"/>
    <w:rsid w:val="00540BF8"/>
    <w:rsid w:val="00547F26"/>
    <w:rsid w:val="00552D8E"/>
    <w:rsid w:val="00554CF5"/>
    <w:rsid w:val="0056309F"/>
    <w:rsid w:val="005637F7"/>
    <w:rsid w:val="00585C8E"/>
    <w:rsid w:val="00587800"/>
    <w:rsid w:val="00597130"/>
    <w:rsid w:val="005A069E"/>
    <w:rsid w:val="005A584A"/>
    <w:rsid w:val="005B6429"/>
    <w:rsid w:val="005C0800"/>
    <w:rsid w:val="005C2199"/>
    <w:rsid w:val="005C6EE0"/>
    <w:rsid w:val="005D1953"/>
    <w:rsid w:val="005D44AC"/>
    <w:rsid w:val="005E1478"/>
    <w:rsid w:val="005E4650"/>
    <w:rsid w:val="005E4EA2"/>
    <w:rsid w:val="005E6B19"/>
    <w:rsid w:val="00614EF5"/>
    <w:rsid w:val="00615F2C"/>
    <w:rsid w:val="006231D1"/>
    <w:rsid w:val="00636F64"/>
    <w:rsid w:val="00642932"/>
    <w:rsid w:val="006455E4"/>
    <w:rsid w:val="00646CF2"/>
    <w:rsid w:val="006518E5"/>
    <w:rsid w:val="00651A15"/>
    <w:rsid w:val="00654155"/>
    <w:rsid w:val="006548C1"/>
    <w:rsid w:val="0065733F"/>
    <w:rsid w:val="00661BE4"/>
    <w:rsid w:val="00664725"/>
    <w:rsid w:val="006668E7"/>
    <w:rsid w:val="00670A11"/>
    <w:rsid w:val="00671AC7"/>
    <w:rsid w:val="00673DE2"/>
    <w:rsid w:val="00675090"/>
    <w:rsid w:val="00682FE2"/>
    <w:rsid w:val="00683073"/>
    <w:rsid w:val="006875AB"/>
    <w:rsid w:val="006A6E66"/>
    <w:rsid w:val="006A7DD0"/>
    <w:rsid w:val="006B6BA4"/>
    <w:rsid w:val="006C6201"/>
    <w:rsid w:val="006D63CE"/>
    <w:rsid w:val="007004E2"/>
    <w:rsid w:val="007126E9"/>
    <w:rsid w:val="0073097D"/>
    <w:rsid w:val="007535F1"/>
    <w:rsid w:val="0075465F"/>
    <w:rsid w:val="0075723A"/>
    <w:rsid w:val="00764D14"/>
    <w:rsid w:val="00771052"/>
    <w:rsid w:val="00772FAD"/>
    <w:rsid w:val="0077341D"/>
    <w:rsid w:val="007927A1"/>
    <w:rsid w:val="0079462F"/>
    <w:rsid w:val="007A1844"/>
    <w:rsid w:val="007A544C"/>
    <w:rsid w:val="007A66E6"/>
    <w:rsid w:val="007B08CF"/>
    <w:rsid w:val="007B1B7E"/>
    <w:rsid w:val="007B4587"/>
    <w:rsid w:val="007B6D42"/>
    <w:rsid w:val="007C47EA"/>
    <w:rsid w:val="007D5DA7"/>
    <w:rsid w:val="007E25D9"/>
    <w:rsid w:val="007F2E42"/>
    <w:rsid w:val="007F43AF"/>
    <w:rsid w:val="007F50D7"/>
    <w:rsid w:val="00805C61"/>
    <w:rsid w:val="00807746"/>
    <w:rsid w:val="00814254"/>
    <w:rsid w:val="00815DCB"/>
    <w:rsid w:val="008225DB"/>
    <w:rsid w:val="008248A6"/>
    <w:rsid w:val="00831694"/>
    <w:rsid w:val="008350E5"/>
    <w:rsid w:val="00843769"/>
    <w:rsid w:val="00850C39"/>
    <w:rsid w:val="00854BD5"/>
    <w:rsid w:val="00855DF1"/>
    <w:rsid w:val="00857545"/>
    <w:rsid w:val="00861DAA"/>
    <w:rsid w:val="008627D7"/>
    <w:rsid w:val="008746E3"/>
    <w:rsid w:val="00876B0A"/>
    <w:rsid w:val="00895D8F"/>
    <w:rsid w:val="008A2A31"/>
    <w:rsid w:val="008B4AA4"/>
    <w:rsid w:val="008C403A"/>
    <w:rsid w:val="008E72A4"/>
    <w:rsid w:val="008F3693"/>
    <w:rsid w:val="00900395"/>
    <w:rsid w:val="00905B0C"/>
    <w:rsid w:val="00912BE2"/>
    <w:rsid w:val="0091430F"/>
    <w:rsid w:val="009155FA"/>
    <w:rsid w:val="009412DC"/>
    <w:rsid w:val="00946764"/>
    <w:rsid w:val="009470EE"/>
    <w:rsid w:val="00950492"/>
    <w:rsid w:val="009508DB"/>
    <w:rsid w:val="00953651"/>
    <w:rsid w:val="00971AF0"/>
    <w:rsid w:val="0097360F"/>
    <w:rsid w:val="009763F7"/>
    <w:rsid w:val="0097794D"/>
    <w:rsid w:val="009806F4"/>
    <w:rsid w:val="0099425E"/>
    <w:rsid w:val="00994D7C"/>
    <w:rsid w:val="009973A0"/>
    <w:rsid w:val="009B059F"/>
    <w:rsid w:val="009B0931"/>
    <w:rsid w:val="009B1DAF"/>
    <w:rsid w:val="009C62AE"/>
    <w:rsid w:val="009D3B70"/>
    <w:rsid w:val="009D5A28"/>
    <w:rsid w:val="009F209C"/>
    <w:rsid w:val="009F222C"/>
    <w:rsid w:val="009F7218"/>
    <w:rsid w:val="00A023B6"/>
    <w:rsid w:val="00A0277B"/>
    <w:rsid w:val="00A02B44"/>
    <w:rsid w:val="00A06E74"/>
    <w:rsid w:val="00A073C5"/>
    <w:rsid w:val="00A17D3B"/>
    <w:rsid w:val="00A233B8"/>
    <w:rsid w:val="00A24CB0"/>
    <w:rsid w:val="00A26874"/>
    <w:rsid w:val="00A26C53"/>
    <w:rsid w:val="00A37FA4"/>
    <w:rsid w:val="00A449CE"/>
    <w:rsid w:val="00A45D41"/>
    <w:rsid w:val="00A5581E"/>
    <w:rsid w:val="00A630BC"/>
    <w:rsid w:val="00A64BD3"/>
    <w:rsid w:val="00A66A0E"/>
    <w:rsid w:val="00A67AB0"/>
    <w:rsid w:val="00A70E26"/>
    <w:rsid w:val="00A73A8F"/>
    <w:rsid w:val="00A741FD"/>
    <w:rsid w:val="00A92EFF"/>
    <w:rsid w:val="00AB00C7"/>
    <w:rsid w:val="00AB3D72"/>
    <w:rsid w:val="00AB69A5"/>
    <w:rsid w:val="00AD5A52"/>
    <w:rsid w:val="00AD6787"/>
    <w:rsid w:val="00AE2330"/>
    <w:rsid w:val="00AE45F6"/>
    <w:rsid w:val="00AE489C"/>
    <w:rsid w:val="00AF53F6"/>
    <w:rsid w:val="00B06294"/>
    <w:rsid w:val="00B10D12"/>
    <w:rsid w:val="00B12727"/>
    <w:rsid w:val="00B33B1B"/>
    <w:rsid w:val="00B41697"/>
    <w:rsid w:val="00B41F4B"/>
    <w:rsid w:val="00B42148"/>
    <w:rsid w:val="00B52F96"/>
    <w:rsid w:val="00B57830"/>
    <w:rsid w:val="00B604F8"/>
    <w:rsid w:val="00B7440E"/>
    <w:rsid w:val="00B74A45"/>
    <w:rsid w:val="00B77BA6"/>
    <w:rsid w:val="00B803E8"/>
    <w:rsid w:val="00B82969"/>
    <w:rsid w:val="00BA345E"/>
    <w:rsid w:val="00BA3619"/>
    <w:rsid w:val="00BC1CB1"/>
    <w:rsid w:val="00BD2B4A"/>
    <w:rsid w:val="00BD5DC3"/>
    <w:rsid w:val="00BE5E78"/>
    <w:rsid w:val="00BF5E23"/>
    <w:rsid w:val="00C01A78"/>
    <w:rsid w:val="00C0630A"/>
    <w:rsid w:val="00C06B5E"/>
    <w:rsid w:val="00C07371"/>
    <w:rsid w:val="00C07744"/>
    <w:rsid w:val="00C10325"/>
    <w:rsid w:val="00C17B49"/>
    <w:rsid w:val="00C4474C"/>
    <w:rsid w:val="00C46112"/>
    <w:rsid w:val="00C51228"/>
    <w:rsid w:val="00C62335"/>
    <w:rsid w:val="00C627A5"/>
    <w:rsid w:val="00C63F9C"/>
    <w:rsid w:val="00C7113C"/>
    <w:rsid w:val="00C81B1E"/>
    <w:rsid w:val="00C927E7"/>
    <w:rsid w:val="00C96790"/>
    <w:rsid w:val="00CA68C8"/>
    <w:rsid w:val="00CC1987"/>
    <w:rsid w:val="00CC2CBF"/>
    <w:rsid w:val="00CD677A"/>
    <w:rsid w:val="00CE04E6"/>
    <w:rsid w:val="00CE6D0E"/>
    <w:rsid w:val="00CE7951"/>
    <w:rsid w:val="00D20D41"/>
    <w:rsid w:val="00D23F70"/>
    <w:rsid w:val="00D34B7D"/>
    <w:rsid w:val="00D375F8"/>
    <w:rsid w:val="00D4382E"/>
    <w:rsid w:val="00D46008"/>
    <w:rsid w:val="00D47AA9"/>
    <w:rsid w:val="00D558AC"/>
    <w:rsid w:val="00D67DBB"/>
    <w:rsid w:val="00D77EC5"/>
    <w:rsid w:val="00D84846"/>
    <w:rsid w:val="00D86A3C"/>
    <w:rsid w:val="00D9379A"/>
    <w:rsid w:val="00DA1EAA"/>
    <w:rsid w:val="00DD08EC"/>
    <w:rsid w:val="00DD335F"/>
    <w:rsid w:val="00DE4D9F"/>
    <w:rsid w:val="00DE6EE9"/>
    <w:rsid w:val="00DF0DD8"/>
    <w:rsid w:val="00E00707"/>
    <w:rsid w:val="00E0448B"/>
    <w:rsid w:val="00E07A45"/>
    <w:rsid w:val="00E1125C"/>
    <w:rsid w:val="00E310A1"/>
    <w:rsid w:val="00E40FED"/>
    <w:rsid w:val="00E67A71"/>
    <w:rsid w:val="00E7538C"/>
    <w:rsid w:val="00E92AE9"/>
    <w:rsid w:val="00E94834"/>
    <w:rsid w:val="00E964DB"/>
    <w:rsid w:val="00EA41DB"/>
    <w:rsid w:val="00EA46A5"/>
    <w:rsid w:val="00EB56C7"/>
    <w:rsid w:val="00ED3E07"/>
    <w:rsid w:val="00EE6C8B"/>
    <w:rsid w:val="00EE6E23"/>
    <w:rsid w:val="00EF63E1"/>
    <w:rsid w:val="00EF6752"/>
    <w:rsid w:val="00F00114"/>
    <w:rsid w:val="00F11C6E"/>
    <w:rsid w:val="00F15488"/>
    <w:rsid w:val="00F1560F"/>
    <w:rsid w:val="00F15692"/>
    <w:rsid w:val="00F157C0"/>
    <w:rsid w:val="00F1656A"/>
    <w:rsid w:val="00F2485B"/>
    <w:rsid w:val="00F31C7A"/>
    <w:rsid w:val="00F323FC"/>
    <w:rsid w:val="00F36E9A"/>
    <w:rsid w:val="00F4265E"/>
    <w:rsid w:val="00F45500"/>
    <w:rsid w:val="00F52E42"/>
    <w:rsid w:val="00F57339"/>
    <w:rsid w:val="00F5754A"/>
    <w:rsid w:val="00F60716"/>
    <w:rsid w:val="00F61C63"/>
    <w:rsid w:val="00F75588"/>
    <w:rsid w:val="00F77EF9"/>
    <w:rsid w:val="00F83DE2"/>
    <w:rsid w:val="00F90CC4"/>
    <w:rsid w:val="00F921BF"/>
    <w:rsid w:val="00F92784"/>
    <w:rsid w:val="00FA0785"/>
    <w:rsid w:val="00FA089F"/>
    <w:rsid w:val="00FA4C7F"/>
    <w:rsid w:val="00FA4DC6"/>
    <w:rsid w:val="00FA6915"/>
    <w:rsid w:val="00FB283B"/>
    <w:rsid w:val="00FC159B"/>
    <w:rsid w:val="00FC55E8"/>
    <w:rsid w:val="00FC6B8D"/>
    <w:rsid w:val="00FC6D8E"/>
    <w:rsid w:val="00FE6D20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A2E50"/>
  <w15:docId w15:val="{9F002C4C-6C5E-4579-BEC2-A7947FED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34"/>
    <w:qFormat/>
    <w:rsid w:val="009F2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6991"/>
    <w:rPr>
      <w:b/>
      <w:bCs/>
    </w:rPr>
  </w:style>
  <w:style w:type="character" w:styleId="Hyperlink">
    <w:name w:val="Hyperlink"/>
    <w:basedOn w:val="DefaultParagraphFont"/>
    <w:uiPriority w:val="99"/>
    <w:unhideWhenUsed/>
    <w:rsid w:val="0005699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32CD7"/>
    <w:rPr>
      <w:i/>
      <w:iCs/>
    </w:rPr>
  </w:style>
  <w:style w:type="character" w:customStyle="1" w:styleId="apple-converted-space">
    <w:name w:val="apple-converted-space"/>
    <w:basedOn w:val="DefaultParagraphFont"/>
    <w:rsid w:val="00032CD7"/>
  </w:style>
  <w:style w:type="character" w:styleId="FollowedHyperlink">
    <w:name w:val="FollowedHyperlink"/>
    <w:basedOn w:val="DefaultParagraphFont"/>
    <w:uiPriority w:val="99"/>
    <w:semiHidden/>
    <w:unhideWhenUsed/>
    <w:rsid w:val="00F83D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educateiowa.gov/sites/files/ed/documents/Whole%20Grade%20Sharing%20Handbook-%202020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garet.buckton@rsaia.org" TargetMode="External"/><Relationship Id="rId1" Type="http://schemas.openxmlformats.org/officeDocument/2006/relationships/hyperlink" Target="http://www.rsa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Margaret\Desktop\ISFIS\sharing%20and%20reorg\chart%20of%20number%20of%20Iowa%20School%20Distric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Number of Iowa Public School Districts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1949-50 to 2019-20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57D3-4AFC-BC37-26323A2009B0}"/>
                </c:ext>
              </c:extLst>
            </c:dLbl>
            <c:dLbl>
              <c:idx val="1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57D3-4AFC-BC37-26323A2009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Sheet1!$A$2:$A$20</c:f>
              <c:strCache>
                <c:ptCount val="19"/>
                <c:pt idx="0">
                  <c:v>1949-50</c:v>
                </c:pt>
                <c:pt idx="1">
                  <c:v>1954-55</c:v>
                </c:pt>
                <c:pt idx="2">
                  <c:v>1959-60</c:v>
                </c:pt>
                <c:pt idx="3">
                  <c:v>1964-65</c:v>
                </c:pt>
                <c:pt idx="4">
                  <c:v>1969-70</c:v>
                </c:pt>
                <c:pt idx="5">
                  <c:v>1974-75</c:v>
                </c:pt>
                <c:pt idx="6">
                  <c:v>1979-80</c:v>
                </c:pt>
                <c:pt idx="7">
                  <c:v>1984-85</c:v>
                </c:pt>
                <c:pt idx="8">
                  <c:v>1989-90</c:v>
                </c:pt>
                <c:pt idx="9">
                  <c:v>1994-95</c:v>
                </c:pt>
                <c:pt idx="10">
                  <c:v>1999-2000</c:v>
                </c:pt>
                <c:pt idx="11">
                  <c:v>2004-05</c:v>
                </c:pt>
                <c:pt idx="12">
                  <c:v>2009-10</c:v>
                </c:pt>
                <c:pt idx="13">
                  <c:v>2014-15</c:v>
                </c:pt>
                <c:pt idx="14">
                  <c:v>2015-16</c:v>
                </c:pt>
                <c:pt idx="15">
                  <c:v>2016-17</c:v>
                </c:pt>
                <c:pt idx="16">
                  <c:v>2018-19</c:v>
                </c:pt>
                <c:pt idx="17">
                  <c:v>2019-20</c:v>
                </c:pt>
                <c:pt idx="18">
                  <c:v>2020-21</c:v>
                </c:pt>
              </c:strCache>
            </c:strRef>
          </c:cat>
          <c:val>
            <c:numRef>
              <c:f>Sheet1!$B$2:$B$20</c:f>
              <c:numCache>
                <c:formatCode>_(* #,##0_);_(* \(#,##0\);_(* "-"??_);_(@_)</c:formatCode>
                <c:ptCount val="19"/>
                <c:pt idx="0">
                  <c:v>4652</c:v>
                </c:pt>
                <c:pt idx="1">
                  <c:v>4142</c:v>
                </c:pt>
                <c:pt idx="2">
                  <c:v>1575</c:v>
                </c:pt>
                <c:pt idx="3">
                  <c:v>1056</c:v>
                </c:pt>
                <c:pt idx="4">
                  <c:v>453</c:v>
                </c:pt>
                <c:pt idx="5">
                  <c:v>449</c:v>
                </c:pt>
                <c:pt idx="6">
                  <c:v>443</c:v>
                </c:pt>
                <c:pt idx="7">
                  <c:v>437</c:v>
                </c:pt>
                <c:pt idx="8">
                  <c:v>430</c:v>
                </c:pt>
                <c:pt idx="9">
                  <c:v>384</c:v>
                </c:pt>
                <c:pt idx="10">
                  <c:v>374</c:v>
                </c:pt>
                <c:pt idx="11">
                  <c:v>367</c:v>
                </c:pt>
                <c:pt idx="12">
                  <c:v>361</c:v>
                </c:pt>
                <c:pt idx="13">
                  <c:v>338</c:v>
                </c:pt>
                <c:pt idx="14">
                  <c:v>336</c:v>
                </c:pt>
                <c:pt idx="15">
                  <c:v>333</c:v>
                </c:pt>
                <c:pt idx="16">
                  <c:v>330</c:v>
                </c:pt>
                <c:pt idx="17">
                  <c:v>327</c:v>
                </c:pt>
                <c:pt idx="18">
                  <c:v>327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D3-4AFC-BC37-26323A2009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4985440"/>
        <c:axId val="404981176"/>
      </c:barChart>
      <c:catAx>
        <c:axId val="404985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4981176"/>
        <c:crosses val="autoZero"/>
        <c:auto val="1"/>
        <c:lblAlgn val="ctr"/>
        <c:lblOffset val="100"/>
        <c:noMultiLvlLbl val="0"/>
      </c:catAx>
      <c:valAx>
        <c:axId val="404981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4985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0.79644</cdr:x>
      <cdr:y>0.03289</cdr:y>
    </cdr:from>
    <cdr:to>
      <cdr:x>0.96574</cdr:x>
      <cdr:y>0.14402</cdr:y>
    </cdr:to>
    <cdr:pic>
      <cdr:nvPicPr>
        <cdr:cNvPr id="2" name="Picture 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606290" y="123128"/>
          <a:ext cx="979170" cy="415987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Jen</cp:lastModifiedBy>
  <cp:revision>3</cp:revision>
  <cp:lastPrinted>2016-10-31T21:17:00Z</cp:lastPrinted>
  <dcterms:created xsi:type="dcterms:W3CDTF">2020-11-30T19:25:00Z</dcterms:created>
  <dcterms:modified xsi:type="dcterms:W3CDTF">2020-11-30T19:29:00Z</dcterms:modified>
</cp:coreProperties>
</file>