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9060"/>
      </w:tblGrid>
      <w:tr w:rsidR="00977982" w:rsidRPr="00977982" w14:paraId="536397D5" w14:textId="77777777" w:rsidTr="00977982">
        <w:trPr>
          <w:jc w:val="center"/>
        </w:trPr>
        <w:tc>
          <w:tcPr>
            <w:tcW w:w="0" w:type="auto"/>
            <w:tcMar>
              <w:top w:w="15" w:type="dxa"/>
              <w:left w:w="15" w:type="dxa"/>
              <w:bottom w:w="15" w:type="dxa"/>
              <w:right w:w="15" w:type="dxa"/>
            </w:tcMar>
            <w:vAlign w:val="center"/>
            <w:hideMark/>
          </w:tcPr>
          <w:tbl>
            <w:tblPr>
              <w:tblW w:w="9000" w:type="dxa"/>
              <w:jc w:val="center"/>
              <w:tblCellMar>
                <w:left w:w="0" w:type="dxa"/>
                <w:right w:w="0" w:type="dxa"/>
              </w:tblCellMar>
              <w:tblLook w:val="04A0" w:firstRow="1" w:lastRow="0" w:firstColumn="1" w:lastColumn="0" w:noHBand="0" w:noVBand="1"/>
            </w:tblPr>
            <w:tblGrid>
              <w:gridCol w:w="9030"/>
            </w:tblGrid>
            <w:tr w:rsidR="00977982" w:rsidRPr="00977982" w14:paraId="245F9BED"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30"/>
                  </w:tblGrid>
                  <w:tr w:rsidR="00977982" w:rsidRPr="00977982" w14:paraId="7E095222" w14:textId="77777777">
                    <w:tc>
                      <w:tcPr>
                        <w:tcW w:w="9000" w:type="dxa"/>
                        <w:tcMar>
                          <w:top w:w="15" w:type="dxa"/>
                          <w:left w:w="15" w:type="dxa"/>
                          <w:bottom w:w="15" w:type="dxa"/>
                          <w:right w:w="15" w:type="dxa"/>
                        </w:tcMar>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977982" w:rsidRPr="00977982" w14:paraId="26D1A150"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977982" w:rsidRPr="00977982" w14:paraId="66207F8F" w14:textId="77777777">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977982" w:rsidRPr="00977982" w14:paraId="3772937B" w14:textId="77777777">
                                      <w:tc>
                                        <w:tcPr>
                                          <w:tcW w:w="0" w:type="auto"/>
                                          <w:tcMar>
                                            <w:top w:w="720" w:type="dxa"/>
                                            <w:left w:w="720" w:type="dxa"/>
                                            <w:bottom w:w="240" w:type="dxa"/>
                                            <w:right w:w="720" w:type="dxa"/>
                                          </w:tcMar>
                                          <w:hideMark/>
                                        </w:tcPr>
                                        <w:p w14:paraId="34BFA6E6" w14:textId="77777777" w:rsidR="00977982" w:rsidRPr="00977982" w:rsidRDefault="00977982" w:rsidP="00977982">
                                          <w:pPr>
                                            <w:spacing w:after="0" w:line="293" w:lineRule="atLeast"/>
                                            <w:jc w:val="center"/>
                                            <w:rPr>
                                              <w:rFonts w:ascii="Helvetica" w:eastAsia="Times New Roman" w:hAnsi="Helvetica" w:cs="Helvetica"/>
                                              <w:sz w:val="24"/>
                                              <w:szCs w:val="24"/>
                                            </w:rPr>
                                          </w:pPr>
                                        </w:p>
                                      </w:tc>
                                    </w:tr>
                                  </w:tbl>
                                  <w:p w14:paraId="4190ABED" w14:textId="77777777" w:rsidR="00977982" w:rsidRPr="00977982" w:rsidRDefault="00977982" w:rsidP="00977982">
                                    <w:pPr>
                                      <w:spacing w:after="0" w:line="240" w:lineRule="auto"/>
                                      <w:rPr>
                                        <w:rFonts w:ascii="Helvetica" w:eastAsia="Times New Roman" w:hAnsi="Helvetica" w:cs="Helvetica"/>
                                        <w:sz w:val="24"/>
                                        <w:szCs w:val="24"/>
                                      </w:rPr>
                                    </w:pPr>
                                  </w:p>
                                </w:tc>
                              </w:tr>
                              <w:tr w:rsidR="00977982" w:rsidRPr="00977982" w14:paraId="111C50A1" w14:textId="77777777">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977982" w:rsidRPr="00977982" w14:paraId="7C444F7B" w14:textId="77777777">
                                      <w:tc>
                                        <w:tcPr>
                                          <w:tcW w:w="0" w:type="auto"/>
                                          <w:tcMar>
                                            <w:top w:w="0" w:type="dxa"/>
                                            <w:left w:w="240" w:type="dxa"/>
                                            <w:bottom w:w="0" w:type="dxa"/>
                                            <w:right w:w="240" w:type="dxa"/>
                                          </w:tcMar>
                                          <w:hideMark/>
                                        </w:tcPr>
                                        <w:p w14:paraId="07CA7056" w14:textId="77777777" w:rsidR="00977982" w:rsidRPr="00977982" w:rsidRDefault="00977982" w:rsidP="00977982">
                                          <w:pPr>
                                            <w:spacing w:before="100" w:beforeAutospacing="1" w:after="240" w:line="648" w:lineRule="atLeast"/>
                                            <w:jc w:val="center"/>
                                            <w:outlineLvl w:val="0"/>
                                            <w:rPr>
                                              <w:rFonts w:ascii="Calibri" w:eastAsia="Times New Roman" w:hAnsi="Calibri" w:cs="Calibri"/>
                                              <w:b/>
                                              <w:bCs/>
                                              <w:kern w:val="36"/>
                                              <w:sz w:val="48"/>
                                              <w:szCs w:val="48"/>
                                            </w:rPr>
                                          </w:pPr>
                                          <w:r w:rsidRPr="00977982">
                                            <w:rPr>
                                              <w:rFonts w:ascii="Arial" w:eastAsia="Times New Roman" w:hAnsi="Arial" w:cs="Arial"/>
                                              <w:b/>
                                              <w:bCs/>
                                              <w:color w:val="21314D"/>
                                              <w:kern w:val="36"/>
                                              <w:sz w:val="48"/>
                                              <w:szCs w:val="48"/>
                                            </w:rPr>
                                            <w:t>Coronavirus Response Package Includes Funding for Homelessness &amp; Housing</w:t>
                                          </w:r>
                                        </w:p>
                                      </w:tc>
                                    </w:tr>
                                  </w:tbl>
                                  <w:p w14:paraId="63AA2362" w14:textId="77777777" w:rsidR="00977982" w:rsidRPr="00977982" w:rsidRDefault="00977982" w:rsidP="00977982">
                                    <w:pPr>
                                      <w:spacing w:after="0" w:line="240" w:lineRule="auto"/>
                                      <w:rPr>
                                        <w:rFonts w:ascii="Helvetica" w:eastAsia="Times New Roman" w:hAnsi="Helvetica" w:cs="Helvetica"/>
                                        <w:sz w:val="24"/>
                                        <w:szCs w:val="24"/>
                                      </w:rPr>
                                    </w:pPr>
                                  </w:p>
                                </w:tc>
                              </w:tr>
                              <w:tr w:rsidR="00977982" w:rsidRPr="00977982" w14:paraId="03461D04" w14:textId="77777777">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977982" w:rsidRPr="00977982" w14:paraId="2B9A4BF8" w14:textId="77777777">
                                      <w:tc>
                                        <w:tcPr>
                                          <w:tcW w:w="0" w:type="auto"/>
                                          <w:tcMar>
                                            <w:top w:w="240" w:type="dxa"/>
                                            <w:left w:w="240" w:type="dxa"/>
                                            <w:bottom w:w="120" w:type="dxa"/>
                                            <w:right w:w="240" w:type="dxa"/>
                                          </w:tcMar>
                                          <w:hideMark/>
                                        </w:tcPr>
                                        <w:p w14:paraId="064DE4CB" w14:textId="77777777" w:rsidR="00977982" w:rsidRPr="00977982" w:rsidRDefault="00977982" w:rsidP="00977982">
                                          <w:pPr>
                                            <w:spacing w:before="100" w:beforeAutospacing="1" w:after="180" w:line="293" w:lineRule="atLeast"/>
                                            <w:rPr>
                                              <w:rFonts w:ascii="Helvetica" w:eastAsia="Times New Roman" w:hAnsi="Helvetica" w:cs="Helvetica"/>
                                              <w:sz w:val="24"/>
                                              <w:szCs w:val="24"/>
                                            </w:rPr>
                                          </w:pPr>
                                          <w:r w:rsidRPr="00977982">
                                            <w:rPr>
                                              <w:rFonts w:ascii="Arial" w:eastAsia="Times New Roman" w:hAnsi="Arial" w:cs="Arial"/>
                                              <w:color w:val="434343"/>
                                              <w:sz w:val="21"/>
                                              <w:szCs w:val="21"/>
                                            </w:rPr>
                                            <w:t>After long days of advocacy and negotiation, Congress has reached a bipartisan agreement on a $2 trillion direct spending bill to respond to the coronavirus pandemic. The Senate passed the bill on Tuesday; now it goes to the House for approval and then to the president’s desk for his signature as soon as possible.</w:t>
                                          </w:r>
                                        </w:p>
                                        <w:p w14:paraId="754EEAFA" w14:textId="77777777" w:rsidR="00977982" w:rsidRPr="00977982" w:rsidRDefault="00977982" w:rsidP="00977982">
                                          <w:pPr>
                                            <w:spacing w:before="100" w:beforeAutospacing="1" w:after="240" w:line="486" w:lineRule="atLeast"/>
                                            <w:outlineLvl w:val="1"/>
                                            <w:rPr>
                                              <w:rFonts w:ascii="Calibri" w:eastAsia="Times New Roman" w:hAnsi="Calibri" w:cs="Calibri"/>
                                              <w:b/>
                                              <w:bCs/>
                                              <w:sz w:val="36"/>
                                              <w:szCs w:val="36"/>
                                            </w:rPr>
                                          </w:pPr>
                                          <w:r w:rsidRPr="00977982">
                                            <w:rPr>
                                              <w:rFonts w:ascii="Arial" w:eastAsia="Times New Roman" w:hAnsi="Arial" w:cs="Arial"/>
                                              <w:b/>
                                              <w:bCs/>
                                              <w:color w:val="F3A340"/>
                                              <w:sz w:val="36"/>
                                              <w:szCs w:val="36"/>
                                            </w:rPr>
                                            <w:t>Thank you for your advocacy: it worked!</w:t>
                                          </w:r>
                                        </w:p>
                                        <w:p w14:paraId="6F99719A" w14:textId="77777777" w:rsidR="00977982" w:rsidRPr="00977982" w:rsidRDefault="00977982" w:rsidP="00977982">
                                          <w:pPr>
                                            <w:spacing w:before="100" w:beforeAutospacing="1" w:after="180" w:line="293" w:lineRule="atLeast"/>
                                            <w:rPr>
                                              <w:rFonts w:ascii="Helvetica" w:eastAsia="Times New Roman" w:hAnsi="Helvetica" w:cs="Helvetica"/>
                                              <w:sz w:val="24"/>
                                              <w:szCs w:val="24"/>
                                            </w:rPr>
                                          </w:pPr>
                                          <w:r w:rsidRPr="00977982">
                                            <w:rPr>
                                              <w:rFonts w:ascii="Arial" w:eastAsia="Times New Roman" w:hAnsi="Arial" w:cs="Arial"/>
                                              <w:color w:val="434343"/>
                                              <w:sz w:val="21"/>
                                              <w:szCs w:val="21"/>
                                            </w:rPr>
                                            <w:t>Overall, the bill provides </w:t>
                                          </w:r>
                                          <w:r w:rsidRPr="00977982">
                                            <w:rPr>
                                              <w:rFonts w:ascii="Arial" w:eastAsia="Times New Roman" w:hAnsi="Arial" w:cs="Arial"/>
                                              <w:b/>
                                              <w:bCs/>
                                              <w:color w:val="434343"/>
                                              <w:sz w:val="21"/>
                                              <w:szCs w:val="21"/>
                                            </w:rPr>
                                            <w:t>more than $12 billion in funding for HUD programs</w:t>
                                          </w:r>
                                          <w:r w:rsidRPr="00977982">
                                            <w:rPr>
                                              <w:rFonts w:ascii="Arial" w:eastAsia="Times New Roman" w:hAnsi="Arial" w:cs="Arial"/>
                                              <w:color w:val="434343"/>
                                              <w:sz w:val="21"/>
                                              <w:szCs w:val="21"/>
                                            </w:rPr>
                                            <w:t>, including:</w:t>
                                          </w:r>
                                        </w:p>
                                        <w:p w14:paraId="6CA819A7" w14:textId="77777777" w:rsidR="00977982" w:rsidRPr="00977982" w:rsidRDefault="00977982" w:rsidP="00977982">
                                          <w:pPr>
                                            <w:spacing w:after="0" w:line="293" w:lineRule="atLeast"/>
                                            <w:ind w:left="240"/>
                                            <w:rPr>
                                              <w:rFonts w:ascii="Helvetica" w:eastAsia="Times New Roman" w:hAnsi="Helvetica" w:cs="Helvetica"/>
                                              <w:sz w:val="24"/>
                                              <w:szCs w:val="24"/>
                                            </w:rPr>
                                          </w:pPr>
                                          <w:r w:rsidRPr="00977982">
                                            <w:rPr>
                                              <w:rFonts w:ascii="Symbol" w:eastAsia="Times New Roman" w:hAnsi="Symbol" w:cs="Helvetica"/>
                                              <w:color w:val="434343"/>
                                              <w:sz w:val="20"/>
                                              <w:szCs w:val="20"/>
                                            </w:rPr>
                                            <w:t></w:t>
                                          </w:r>
                                          <w:r w:rsidRPr="00977982">
                                            <w:rPr>
                                              <w:rFonts w:ascii="Times New Roman" w:eastAsia="Times New Roman" w:hAnsi="Times New Roman" w:cs="Times New Roman"/>
                                              <w:color w:val="434343"/>
                                              <w:sz w:val="14"/>
                                              <w:szCs w:val="14"/>
                                            </w:rPr>
                                            <w:t>         </w:t>
                                          </w:r>
                                          <w:r w:rsidRPr="00977982">
                                            <w:rPr>
                                              <w:rFonts w:ascii="Arial" w:eastAsia="Times New Roman" w:hAnsi="Arial" w:cs="Arial"/>
                                              <w:color w:val="434343"/>
                                              <w:sz w:val="21"/>
                                              <w:szCs w:val="21"/>
                                            </w:rPr>
                                            <w:t>$4 billion for Emergency Solutions Grants for homelessness assistance</w:t>
                                          </w:r>
                                        </w:p>
                                        <w:p w14:paraId="07ED0D7D" w14:textId="77777777" w:rsidR="00977982" w:rsidRPr="00977982" w:rsidRDefault="00977982" w:rsidP="00977982">
                                          <w:pPr>
                                            <w:spacing w:after="0" w:line="293" w:lineRule="atLeast"/>
                                            <w:ind w:left="240"/>
                                            <w:rPr>
                                              <w:rFonts w:ascii="Helvetica" w:eastAsia="Times New Roman" w:hAnsi="Helvetica" w:cs="Helvetica"/>
                                              <w:sz w:val="24"/>
                                              <w:szCs w:val="24"/>
                                            </w:rPr>
                                          </w:pPr>
                                          <w:r w:rsidRPr="00977982">
                                            <w:rPr>
                                              <w:rFonts w:ascii="Symbol" w:eastAsia="Times New Roman" w:hAnsi="Symbol" w:cs="Helvetica"/>
                                              <w:color w:val="434343"/>
                                              <w:sz w:val="20"/>
                                              <w:szCs w:val="20"/>
                                            </w:rPr>
                                            <w:t></w:t>
                                          </w:r>
                                          <w:r w:rsidRPr="00977982">
                                            <w:rPr>
                                              <w:rFonts w:ascii="Times New Roman" w:eastAsia="Times New Roman" w:hAnsi="Times New Roman" w:cs="Times New Roman"/>
                                              <w:color w:val="434343"/>
                                              <w:sz w:val="14"/>
                                              <w:szCs w:val="14"/>
                                            </w:rPr>
                                            <w:t>         </w:t>
                                          </w:r>
                                          <w:r w:rsidRPr="00977982">
                                            <w:rPr>
                                              <w:rFonts w:ascii="Arial" w:eastAsia="Times New Roman" w:hAnsi="Arial" w:cs="Arial"/>
                                              <w:color w:val="434343"/>
                                              <w:sz w:val="21"/>
                                              <w:szCs w:val="21"/>
                                            </w:rPr>
                                            <w:t>$5 billion in Community Development Block Grants</w:t>
                                          </w:r>
                                        </w:p>
                                        <w:p w14:paraId="2C2B2497" w14:textId="77777777" w:rsidR="00977982" w:rsidRPr="00977982" w:rsidRDefault="00977982" w:rsidP="00977982">
                                          <w:pPr>
                                            <w:spacing w:after="0" w:line="293" w:lineRule="atLeast"/>
                                            <w:ind w:left="240"/>
                                            <w:rPr>
                                              <w:rFonts w:ascii="Helvetica" w:eastAsia="Times New Roman" w:hAnsi="Helvetica" w:cs="Helvetica"/>
                                              <w:sz w:val="24"/>
                                              <w:szCs w:val="24"/>
                                            </w:rPr>
                                          </w:pPr>
                                          <w:r w:rsidRPr="00977982">
                                            <w:rPr>
                                              <w:rFonts w:ascii="Symbol" w:eastAsia="Times New Roman" w:hAnsi="Symbol" w:cs="Helvetica"/>
                                              <w:color w:val="434343"/>
                                              <w:sz w:val="20"/>
                                              <w:szCs w:val="20"/>
                                            </w:rPr>
                                            <w:t></w:t>
                                          </w:r>
                                          <w:r w:rsidRPr="00977982">
                                            <w:rPr>
                                              <w:rFonts w:ascii="Times New Roman" w:eastAsia="Times New Roman" w:hAnsi="Times New Roman" w:cs="Times New Roman"/>
                                              <w:color w:val="434343"/>
                                              <w:sz w:val="14"/>
                                              <w:szCs w:val="14"/>
                                            </w:rPr>
                                            <w:t>         </w:t>
                                          </w:r>
                                          <w:r w:rsidRPr="00977982">
                                            <w:rPr>
                                              <w:rFonts w:ascii="Arial" w:eastAsia="Times New Roman" w:hAnsi="Arial" w:cs="Arial"/>
                                              <w:color w:val="434343"/>
                                              <w:sz w:val="21"/>
                                              <w:szCs w:val="21"/>
                                            </w:rPr>
                                            <w:t>$1.25 billion for the Housing Choice Voucher program</w:t>
                                          </w:r>
                                        </w:p>
                                        <w:p w14:paraId="0E2786D5" w14:textId="77777777" w:rsidR="00977982" w:rsidRPr="00977982" w:rsidRDefault="00977982" w:rsidP="00977982">
                                          <w:pPr>
                                            <w:spacing w:after="0" w:line="293" w:lineRule="atLeast"/>
                                            <w:ind w:left="240"/>
                                            <w:rPr>
                                              <w:rFonts w:ascii="Helvetica" w:eastAsia="Times New Roman" w:hAnsi="Helvetica" w:cs="Helvetica"/>
                                              <w:sz w:val="24"/>
                                              <w:szCs w:val="24"/>
                                            </w:rPr>
                                          </w:pPr>
                                          <w:r w:rsidRPr="00977982">
                                            <w:rPr>
                                              <w:rFonts w:ascii="Symbol" w:eastAsia="Times New Roman" w:hAnsi="Symbol" w:cs="Helvetica"/>
                                              <w:color w:val="434343"/>
                                              <w:sz w:val="20"/>
                                              <w:szCs w:val="20"/>
                                            </w:rPr>
                                            <w:t></w:t>
                                          </w:r>
                                          <w:r w:rsidRPr="00977982">
                                            <w:rPr>
                                              <w:rFonts w:ascii="Times New Roman" w:eastAsia="Times New Roman" w:hAnsi="Times New Roman" w:cs="Times New Roman"/>
                                              <w:color w:val="434343"/>
                                              <w:sz w:val="14"/>
                                              <w:szCs w:val="14"/>
                                            </w:rPr>
                                            <w:t>         </w:t>
                                          </w:r>
                                          <w:r w:rsidRPr="00977982">
                                            <w:rPr>
                                              <w:rFonts w:ascii="Arial" w:eastAsia="Times New Roman" w:hAnsi="Arial" w:cs="Arial"/>
                                              <w:color w:val="434343"/>
                                              <w:sz w:val="21"/>
                                              <w:szCs w:val="21"/>
                                            </w:rPr>
                                            <w:t>$1 billion for project based rental assistance</w:t>
                                          </w:r>
                                        </w:p>
                                        <w:p w14:paraId="1D6C41EB" w14:textId="77777777" w:rsidR="00977982" w:rsidRPr="00977982" w:rsidRDefault="00977982" w:rsidP="00977982">
                                          <w:pPr>
                                            <w:spacing w:after="0" w:line="293" w:lineRule="atLeast"/>
                                            <w:ind w:left="240"/>
                                            <w:rPr>
                                              <w:rFonts w:ascii="Helvetica" w:eastAsia="Times New Roman" w:hAnsi="Helvetica" w:cs="Helvetica"/>
                                              <w:sz w:val="24"/>
                                              <w:szCs w:val="24"/>
                                            </w:rPr>
                                          </w:pPr>
                                          <w:r w:rsidRPr="00977982">
                                            <w:rPr>
                                              <w:rFonts w:ascii="Symbol" w:eastAsia="Times New Roman" w:hAnsi="Symbol" w:cs="Helvetica"/>
                                              <w:color w:val="434343"/>
                                              <w:sz w:val="20"/>
                                              <w:szCs w:val="20"/>
                                            </w:rPr>
                                            <w:t></w:t>
                                          </w:r>
                                          <w:r w:rsidRPr="00977982">
                                            <w:rPr>
                                              <w:rFonts w:ascii="Times New Roman" w:eastAsia="Times New Roman" w:hAnsi="Times New Roman" w:cs="Times New Roman"/>
                                              <w:color w:val="434343"/>
                                              <w:sz w:val="14"/>
                                              <w:szCs w:val="14"/>
                                            </w:rPr>
                                            <w:t>         </w:t>
                                          </w:r>
                                          <w:r w:rsidRPr="00977982">
                                            <w:rPr>
                                              <w:rFonts w:ascii="Arial" w:eastAsia="Times New Roman" w:hAnsi="Arial" w:cs="Arial"/>
                                              <w:color w:val="434343"/>
                                              <w:sz w:val="21"/>
                                              <w:szCs w:val="21"/>
                                            </w:rPr>
                                            <w:t>$685 million for public housing</w:t>
                                          </w:r>
                                        </w:p>
                                        <w:p w14:paraId="5D29921C" w14:textId="77777777" w:rsidR="00977982" w:rsidRPr="00977982" w:rsidRDefault="00977982" w:rsidP="00977982">
                                          <w:pPr>
                                            <w:spacing w:after="0" w:line="293" w:lineRule="atLeast"/>
                                            <w:ind w:left="240"/>
                                            <w:rPr>
                                              <w:rFonts w:ascii="Helvetica" w:eastAsia="Times New Roman" w:hAnsi="Helvetica" w:cs="Helvetica"/>
                                              <w:sz w:val="24"/>
                                              <w:szCs w:val="24"/>
                                            </w:rPr>
                                          </w:pPr>
                                          <w:r w:rsidRPr="00977982">
                                            <w:rPr>
                                              <w:rFonts w:ascii="Symbol" w:eastAsia="Times New Roman" w:hAnsi="Symbol" w:cs="Helvetica"/>
                                              <w:color w:val="434343"/>
                                              <w:sz w:val="20"/>
                                              <w:szCs w:val="20"/>
                                            </w:rPr>
                                            <w:t></w:t>
                                          </w:r>
                                          <w:r w:rsidRPr="00977982">
                                            <w:rPr>
                                              <w:rFonts w:ascii="Times New Roman" w:eastAsia="Times New Roman" w:hAnsi="Times New Roman" w:cs="Times New Roman"/>
                                              <w:color w:val="434343"/>
                                              <w:sz w:val="14"/>
                                              <w:szCs w:val="14"/>
                                            </w:rPr>
                                            <w:t>         </w:t>
                                          </w:r>
                                          <w:r w:rsidRPr="00977982">
                                            <w:rPr>
                                              <w:rFonts w:ascii="Arial" w:eastAsia="Times New Roman" w:hAnsi="Arial" w:cs="Arial"/>
                                              <w:color w:val="434343"/>
                                              <w:sz w:val="21"/>
                                              <w:szCs w:val="21"/>
                                            </w:rPr>
                                            <w:t>$300 million for tribal nations, and more</w:t>
                                          </w:r>
                                        </w:p>
                                        <w:p w14:paraId="1ED72FCA" w14:textId="77777777" w:rsidR="00977982" w:rsidRPr="00977982" w:rsidRDefault="00977982" w:rsidP="00977982">
                                          <w:pPr>
                                            <w:spacing w:before="100" w:beforeAutospacing="1" w:after="180" w:line="293" w:lineRule="atLeast"/>
                                            <w:rPr>
                                              <w:rFonts w:ascii="Helvetica" w:eastAsia="Times New Roman" w:hAnsi="Helvetica" w:cs="Helvetica"/>
                                              <w:sz w:val="24"/>
                                              <w:szCs w:val="24"/>
                                            </w:rPr>
                                          </w:pPr>
                                          <w:r w:rsidRPr="00977982">
                                            <w:rPr>
                                              <w:rFonts w:ascii="Arial" w:eastAsia="Times New Roman" w:hAnsi="Arial" w:cs="Arial"/>
                                              <w:color w:val="434343"/>
                                              <w:sz w:val="21"/>
                                              <w:szCs w:val="21"/>
                                            </w:rPr>
                                            <w:t>The bill also institutes a much-needed temporary moratorium on evictions and foreclosures for homeowners and renters in federally subsidized apartments and homes with federally backed mortgages.</w:t>
                                          </w:r>
                                        </w:p>
                                        <w:p w14:paraId="40511646" w14:textId="77777777" w:rsidR="00977982" w:rsidRPr="00977982" w:rsidRDefault="00977982" w:rsidP="00977982">
                                          <w:pPr>
                                            <w:spacing w:before="100" w:beforeAutospacing="1" w:after="180" w:line="293" w:lineRule="atLeast"/>
                                            <w:rPr>
                                              <w:rFonts w:ascii="Helvetica" w:eastAsia="Times New Roman" w:hAnsi="Helvetica" w:cs="Helvetica"/>
                                              <w:sz w:val="24"/>
                                              <w:szCs w:val="24"/>
                                            </w:rPr>
                                          </w:pPr>
                                          <w:r w:rsidRPr="00977982">
                                            <w:rPr>
                                              <w:rFonts w:ascii="Arial" w:eastAsia="Times New Roman" w:hAnsi="Arial" w:cs="Arial"/>
                                              <w:color w:val="434343"/>
                                              <w:sz w:val="21"/>
                                              <w:szCs w:val="21"/>
                                            </w:rPr>
                                            <w:t>Our partners at the National Low Income Housing Coalition (NLIHC) have a </w:t>
                                          </w:r>
                                          <w:hyperlink r:id="rId4" w:tgtFrame="_blank" w:history="1">
                                            <w:r w:rsidRPr="00977982">
                                              <w:rPr>
                                                <w:rFonts w:ascii="Arial" w:eastAsia="Times New Roman" w:hAnsi="Arial" w:cs="Arial"/>
                                                <w:color w:val="1D91D8"/>
                                                <w:sz w:val="21"/>
                                                <w:szCs w:val="21"/>
                                                <w:u w:val="single"/>
                                              </w:rPr>
                                              <w:t>full analysis</w:t>
                                            </w:r>
                                          </w:hyperlink>
                                          <w:r w:rsidRPr="00977982">
                                            <w:rPr>
                                              <w:rFonts w:ascii="Arial" w:eastAsia="Times New Roman" w:hAnsi="Arial" w:cs="Arial"/>
                                              <w:color w:val="434343"/>
                                              <w:sz w:val="21"/>
                                              <w:szCs w:val="21"/>
                                            </w:rPr>
                                            <w:t> and </w:t>
                                          </w:r>
                                          <w:hyperlink r:id="rId5" w:tgtFrame="_blank" w:history="1">
                                            <w:r w:rsidRPr="00977982">
                                              <w:rPr>
                                                <w:rFonts w:ascii="Arial" w:eastAsia="Times New Roman" w:hAnsi="Arial" w:cs="Arial"/>
                                                <w:color w:val="1D91D8"/>
                                                <w:sz w:val="21"/>
                                                <w:szCs w:val="21"/>
                                                <w:u w:val="single"/>
                                              </w:rPr>
                                              <w:t>chart</w:t>
                                            </w:r>
                                          </w:hyperlink>
                                          <w:r w:rsidRPr="00977982">
                                            <w:rPr>
                                              <w:rFonts w:ascii="Arial" w:eastAsia="Times New Roman" w:hAnsi="Arial" w:cs="Arial"/>
                                              <w:color w:val="434343"/>
                                              <w:sz w:val="21"/>
                                              <w:szCs w:val="21"/>
                                            </w:rPr>
                                            <w:t> with more details.</w:t>
                                          </w:r>
                                        </w:p>
                                        <w:p w14:paraId="01D0569F" w14:textId="77777777" w:rsidR="00977982" w:rsidRPr="00977982" w:rsidRDefault="00977982" w:rsidP="00977982">
                                          <w:pPr>
                                            <w:spacing w:before="100" w:beforeAutospacing="1" w:after="180" w:line="293" w:lineRule="atLeast"/>
                                            <w:rPr>
                                              <w:rFonts w:ascii="Helvetica" w:eastAsia="Times New Roman" w:hAnsi="Helvetica" w:cs="Helvetica"/>
                                              <w:sz w:val="24"/>
                                              <w:szCs w:val="24"/>
                                            </w:rPr>
                                          </w:pPr>
                                          <w:r w:rsidRPr="00977982">
                                            <w:rPr>
                                              <w:rFonts w:ascii="Arial" w:eastAsia="Times New Roman" w:hAnsi="Arial" w:cs="Arial"/>
                                              <w:color w:val="434343"/>
                                              <w:sz w:val="21"/>
                                              <w:szCs w:val="21"/>
                                            </w:rPr>
                                            <w:t>This achievement wouldn’t have been possible without the dedicated and effective advocacy of supporters, allies, and partners across the country. </w:t>
                                          </w:r>
                                          <w:r w:rsidRPr="00977982">
                                            <w:rPr>
                                              <w:rFonts w:ascii="Arial" w:eastAsia="Times New Roman" w:hAnsi="Arial" w:cs="Arial"/>
                                              <w:b/>
                                              <w:bCs/>
                                              <w:color w:val="434343"/>
                                              <w:sz w:val="21"/>
                                              <w:szCs w:val="21"/>
                                            </w:rPr>
                                            <w:t>Our thanks to everyone who spoke up to call on Congress to meet the needs of people facing homelessness and housing instability during this public health crisis.</w:t>
                                          </w:r>
                                        </w:p>
                                        <w:p w14:paraId="46DF99A1" w14:textId="77777777" w:rsidR="00C822FA" w:rsidRDefault="00C822FA" w:rsidP="00977982">
                                          <w:pPr>
                                            <w:spacing w:before="100" w:beforeAutospacing="1" w:after="240" w:line="486" w:lineRule="atLeast"/>
                                            <w:outlineLvl w:val="1"/>
                                            <w:rPr>
                                              <w:rFonts w:ascii="Arial" w:eastAsia="Times New Roman" w:hAnsi="Arial" w:cs="Arial"/>
                                              <w:b/>
                                              <w:bCs/>
                                              <w:color w:val="F3A340"/>
                                              <w:sz w:val="36"/>
                                              <w:szCs w:val="36"/>
                                            </w:rPr>
                                          </w:pPr>
                                        </w:p>
                                        <w:p w14:paraId="3097C769" w14:textId="0948BF4D" w:rsidR="00977982" w:rsidRPr="00977982" w:rsidRDefault="00977982" w:rsidP="00977982">
                                          <w:pPr>
                                            <w:spacing w:before="100" w:beforeAutospacing="1" w:after="240" w:line="486" w:lineRule="atLeast"/>
                                            <w:outlineLvl w:val="1"/>
                                            <w:rPr>
                                              <w:rFonts w:ascii="Calibri" w:eastAsia="Times New Roman" w:hAnsi="Calibri" w:cs="Calibri"/>
                                              <w:b/>
                                              <w:bCs/>
                                              <w:sz w:val="36"/>
                                              <w:szCs w:val="36"/>
                                            </w:rPr>
                                          </w:pPr>
                                          <w:r w:rsidRPr="00977982">
                                            <w:rPr>
                                              <w:rFonts w:ascii="Arial" w:eastAsia="Times New Roman" w:hAnsi="Arial" w:cs="Arial"/>
                                              <w:b/>
                                              <w:bCs/>
                                              <w:color w:val="F3A340"/>
                                              <w:sz w:val="36"/>
                                              <w:szCs w:val="36"/>
                                            </w:rPr>
                                            <w:lastRenderedPageBreak/>
                                            <w:t>What comes next?</w:t>
                                          </w:r>
                                        </w:p>
                                        <w:p w14:paraId="49C9E315" w14:textId="77777777" w:rsidR="00977982" w:rsidRPr="00977982" w:rsidRDefault="00977982" w:rsidP="00977982">
                                          <w:pPr>
                                            <w:spacing w:before="100" w:beforeAutospacing="1" w:after="180" w:line="293" w:lineRule="atLeast"/>
                                            <w:rPr>
                                              <w:rFonts w:ascii="Helvetica" w:eastAsia="Times New Roman" w:hAnsi="Helvetica" w:cs="Helvetica"/>
                                              <w:sz w:val="24"/>
                                              <w:szCs w:val="24"/>
                                            </w:rPr>
                                          </w:pPr>
                                          <w:r w:rsidRPr="00977982">
                                            <w:rPr>
                                              <w:rFonts w:ascii="Arial" w:eastAsia="Times New Roman" w:hAnsi="Arial" w:cs="Arial"/>
                                              <w:color w:val="434343"/>
                                              <w:sz w:val="21"/>
                                              <w:szCs w:val="21"/>
                                            </w:rPr>
                                            <w:t>We have a lot more work ahead of us as this crisis unfolds. Housing Action Illinois will continue to work with our partners in NLIHC's Disaster Housing Recovery Coalition, as well as with stakeholders in Illinois, to urge HUD to get these new resources to communities in need as quickly and effectively as possible.</w:t>
                                          </w:r>
                                        </w:p>
                                        <w:p w14:paraId="61198899" w14:textId="77777777" w:rsidR="00977982" w:rsidRPr="00977982" w:rsidRDefault="00977982" w:rsidP="00977982">
                                          <w:pPr>
                                            <w:spacing w:before="100" w:beforeAutospacing="1" w:after="180" w:line="293" w:lineRule="atLeast"/>
                                            <w:rPr>
                                              <w:rFonts w:ascii="Helvetica" w:eastAsia="Times New Roman" w:hAnsi="Helvetica" w:cs="Helvetica"/>
                                              <w:sz w:val="24"/>
                                              <w:szCs w:val="24"/>
                                            </w:rPr>
                                          </w:pPr>
                                          <w:r w:rsidRPr="00977982">
                                            <w:rPr>
                                              <w:rFonts w:ascii="Arial" w:eastAsia="Times New Roman" w:hAnsi="Arial" w:cs="Arial"/>
                                              <w:color w:val="434343"/>
                                              <w:sz w:val="21"/>
                                              <w:szCs w:val="21"/>
                                            </w:rPr>
                                            <w:t>To help us in that work, NLIHC has released a new, interactive </w:t>
                                          </w:r>
                                          <w:hyperlink r:id="rId6" w:tgtFrame="_blank" w:history="1">
                                            <w:r w:rsidRPr="00977982">
                                              <w:rPr>
                                                <w:rFonts w:ascii="Arial" w:eastAsia="Times New Roman" w:hAnsi="Arial" w:cs="Arial"/>
                                                <w:color w:val="1D91D8"/>
                                                <w:sz w:val="21"/>
                                                <w:szCs w:val="21"/>
                                                <w:u w:val="single"/>
                                              </w:rPr>
                                              <w:t>Housing Instability and COVID-19 Map</w:t>
                                            </w:r>
                                          </w:hyperlink>
                                          <w:r w:rsidRPr="00977982">
                                            <w:rPr>
                                              <w:rFonts w:ascii="Arial" w:eastAsia="Times New Roman" w:hAnsi="Arial" w:cs="Arial"/>
                                              <w:color w:val="434343"/>
                                              <w:sz w:val="21"/>
                                              <w:szCs w:val="21"/>
                                            </w:rPr>
                                            <w:t>. The map shows for each U.S. county the number of renters who are experiencing or at risk of housing instability, including extremely low-income renters who are severely housing cost-burdened or living in overcrowded conditions, the number of people experiencing homelessness in the Continuum of Care to which each county belongs, and which counties have confirmed COVID-19 cases.</w:t>
                                          </w:r>
                                        </w:p>
                                      </w:tc>
                                    </w:tr>
                                  </w:tbl>
                                  <w:p w14:paraId="596142A2" w14:textId="77777777" w:rsidR="00977982" w:rsidRPr="00977982" w:rsidRDefault="00977982" w:rsidP="00977982">
                                    <w:pPr>
                                      <w:spacing w:after="0" w:line="240" w:lineRule="auto"/>
                                      <w:rPr>
                                        <w:rFonts w:ascii="Helvetica" w:eastAsia="Times New Roman" w:hAnsi="Helvetica" w:cs="Helvetica"/>
                                        <w:sz w:val="24"/>
                                        <w:szCs w:val="24"/>
                                      </w:rPr>
                                    </w:pPr>
                                  </w:p>
                                </w:tc>
                              </w:tr>
                              <w:tr w:rsidR="00977982" w:rsidRPr="00977982" w14:paraId="632A0175" w14:textId="77777777">
                                <w:tc>
                                  <w:tcPr>
                                    <w:tcW w:w="0" w:type="auto"/>
                                    <w:hideMark/>
                                  </w:tcPr>
                                  <w:p w14:paraId="33D3E5F7" w14:textId="77777777" w:rsidR="00977982" w:rsidRPr="00977982" w:rsidRDefault="00977982" w:rsidP="00977982">
                                    <w:pPr>
                                      <w:spacing w:after="0" w:line="240" w:lineRule="auto"/>
                                      <w:rPr>
                                        <w:rFonts w:ascii="Times New Roman" w:eastAsia="Times New Roman" w:hAnsi="Times New Roman" w:cs="Times New Roman"/>
                                        <w:sz w:val="20"/>
                                        <w:szCs w:val="20"/>
                                      </w:rPr>
                                    </w:pPr>
                                  </w:p>
                                </w:tc>
                              </w:tr>
                              <w:tr w:rsidR="00977982" w:rsidRPr="00977982" w14:paraId="3957E692" w14:textId="77777777">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977982" w:rsidRPr="00977982" w14:paraId="18D9DCF1" w14:textId="77777777">
                                      <w:tc>
                                        <w:tcPr>
                                          <w:tcW w:w="0" w:type="auto"/>
                                          <w:tcMar>
                                            <w:top w:w="240" w:type="dxa"/>
                                            <w:left w:w="240" w:type="dxa"/>
                                            <w:bottom w:w="120" w:type="dxa"/>
                                            <w:right w:w="240" w:type="dxa"/>
                                          </w:tcMar>
                                          <w:hideMark/>
                                        </w:tcPr>
                                        <w:p w14:paraId="5D86D658" w14:textId="77777777" w:rsidR="00977982" w:rsidRPr="00977982" w:rsidRDefault="00977982" w:rsidP="00977982">
                                          <w:pPr>
                                            <w:spacing w:before="100" w:beforeAutospacing="1" w:after="180" w:line="293" w:lineRule="atLeast"/>
                                            <w:rPr>
                                              <w:rFonts w:ascii="Helvetica" w:eastAsia="Times New Roman" w:hAnsi="Helvetica" w:cs="Helvetica"/>
                                              <w:sz w:val="24"/>
                                              <w:szCs w:val="24"/>
                                            </w:rPr>
                                          </w:pPr>
                                          <w:r w:rsidRPr="00977982">
                                            <w:rPr>
                                              <w:rFonts w:ascii="Arial" w:eastAsia="Times New Roman" w:hAnsi="Arial" w:cs="Arial"/>
                                              <w:color w:val="434343"/>
                                              <w:sz w:val="21"/>
                                              <w:szCs w:val="21"/>
                                            </w:rPr>
                                            <w:t>We will continue to push for additional federal resources and policies needed to keep people experiencing homelessness safe and healthy and to ensure that low-income renters are stably housed.</w:t>
                                          </w:r>
                                        </w:p>
                                      </w:tc>
                                    </w:tr>
                                  </w:tbl>
                                  <w:p w14:paraId="78FDBD66" w14:textId="77777777" w:rsidR="00977982" w:rsidRPr="00977982" w:rsidRDefault="00977982" w:rsidP="00977982">
                                    <w:pPr>
                                      <w:spacing w:after="0" w:line="240" w:lineRule="auto"/>
                                      <w:rPr>
                                        <w:rFonts w:ascii="Helvetica" w:eastAsia="Times New Roman" w:hAnsi="Helvetica" w:cs="Helvetica"/>
                                        <w:sz w:val="24"/>
                                        <w:szCs w:val="24"/>
                                      </w:rPr>
                                    </w:pPr>
                                  </w:p>
                                </w:tc>
                              </w:tr>
                              <w:tr w:rsidR="00977982" w:rsidRPr="00977982" w14:paraId="662876F6" w14:textId="77777777">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977982" w:rsidRPr="00977982" w14:paraId="2014D5A0" w14:textId="77777777">
                                      <w:tc>
                                        <w:tcPr>
                                          <w:tcW w:w="0" w:type="auto"/>
                                          <w:tcMar>
                                            <w:top w:w="240" w:type="dxa"/>
                                            <w:left w:w="240" w:type="dxa"/>
                                            <w:bottom w:w="240" w:type="dxa"/>
                                            <w:right w:w="240" w:type="dxa"/>
                                          </w:tcMar>
                                          <w:hideMark/>
                                        </w:tcPr>
                                        <w:p w14:paraId="7C3533E5" w14:textId="77777777" w:rsidR="00977982" w:rsidRPr="00977982" w:rsidRDefault="00977982" w:rsidP="00977982">
                                          <w:pPr>
                                            <w:spacing w:after="0" w:line="293" w:lineRule="atLeast"/>
                                            <w:rPr>
                                              <w:rFonts w:ascii="Helvetica" w:eastAsia="Times New Roman" w:hAnsi="Helvetica" w:cs="Helvetica"/>
                                              <w:sz w:val="24"/>
                                              <w:szCs w:val="24"/>
                                            </w:rPr>
                                          </w:pPr>
                                          <w:r w:rsidRPr="00977982">
                                            <w:rPr>
                                              <w:rFonts w:ascii="Arial" w:eastAsia="Times New Roman" w:hAnsi="Arial" w:cs="Arial"/>
                                              <w:color w:val="434343"/>
                                              <w:sz w:val="2"/>
                                              <w:szCs w:val="2"/>
                                            </w:rPr>
                                            <w:t> </w:t>
                                          </w:r>
                                        </w:p>
                                      </w:tc>
                                    </w:tr>
                                  </w:tbl>
                                  <w:p w14:paraId="5A54114C" w14:textId="77777777" w:rsidR="00977982" w:rsidRPr="00977982" w:rsidRDefault="00977982" w:rsidP="00977982">
                                    <w:pPr>
                                      <w:spacing w:after="0" w:line="240" w:lineRule="auto"/>
                                      <w:rPr>
                                        <w:rFonts w:ascii="Helvetica" w:eastAsia="Times New Roman" w:hAnsi="Helvetica" w:cs="Helvetica"/>
                                        <w:sz w:val="24"/>
                                        <w:szCs w:val="24"/>
                                      </w:rPr>
                                    </w:pPr>
                                  </w:p>
                                </w:tc>
                              </w:tr>
                              <w:tr w:rsidR="00977982" w:rsidRPr="00977982" w14:paraId="6CF3FA48" w14:textId="77777777">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977982" w:rsidRPr="00977982" w14:paraId="7CE31BE7" w14:textId="77777777">
                                      <w:tc>
                                        <w:tcPr>
                                          <w:tcW w:w="0" w:type="auto"/>
                                          <w:hideMark/>
                                        </w:tcPr>
                                        <w:p w14:paraId="396899DA" w14:textId="77777777" w:rsidR="00977982" w:rsidRPr="00977982" w:rsidRDefault="00977982" w:rsidP="00977982">
                                          <w:pPr>
                                            <w:spacing w:after="0" w:line="293" w:lineRule="atLeast"/>
                                            <w:rPr>
                                              <w:rFonts w:ascii="Helvetica" w:eastAsia="Times New Roman" w:hAnsi="Helvetica" w:cs="Helvetica"/>
                                              <w:sz w:val="24"/>
                                              <w:szCs w:val="24"/>
                                            </w:rPr>
                                          </w:pPr>
                                          <w:r w:rsidRPr="00977982">
                                            <w:rPr>
                                              <w:rFonts w:ascii="Arial" w:eastAsia="Times New Roman" w:hAnsi="Arial" w:cs="Arial"/>
                                              <w:color w:val="434343"/>
                                              <w:sz w:val="21"/>
                                              <w:szCs w:val="21"/>
                                            </w:rPr>
                                            <w:t> </w:t>
                                          </w:r>
                                        </w:p>
                                      </w:tc>
                                    </w:tr>
                                  </w:tbl>
                                  <w:p w14:paraId="2FB279B6" w14:textId="77777777" w:rsidR="00977982" w:rsidRPr="00977982" w:rsidRDefault="00977982" w:rsidP="00977982">
                                    <w:pPr>
                                      <w:spacing w:after="0" w:line="240" w:lineRule="auto"/>
                                      <w:rPr>
                                        <w:rFonts w:ascii="Helvetica" w:eastAsia="Times New Roman" w:hAnsi="Helvetica" w:cs="Helvetica"/>
                                        <w:sz w:val="24"/>
                                        <w:szCs w:val="24"/>
                                      </w:rPr>
                                    </w:pPr>
                                  </w:p>
                                </w:tc>
                              </w:tr>
                            </w:tbl>
                            <w:p w14:paraId="66D57AB7" w14:textId="77777777" w:rsidR="00977982" w:rsidRPr="00977982" w:rsidRDefault="00977982" w:rsidP="00977982">
                              <w:pPr>
                                <w:spacing w:after="0" w:line="240" w:lineRule="auto"/>
                                <w:rPr>
                                  <w:rFonts w:ascii="Helvetica" w:eastAsia="Times New Roman" w:hAnsi="Helvetica" w:cs="Helvetica"/>
                                  <w:sz w:val="24"/>
                                  <w:szCs w:val="24"/>
                                </w:rPr>
                              </w:pPr>
                            </w:p>
                          </w:tc>
                        </w:tr>
                      </w:tbl>
                      <w:p w14:paraId="532643F1" w14:textId="77777777" w:rsidR="00977982" w:rsidRPr="00977982" w:rsidRDefault="00977982" w:rsidP="00977982">
                        <w:pPr>
                          <w:spacing w:after="0" w:line="240" w:lineRule="auto"/>
                          <w:rPr>
                            <w:rFonts w:ascii="Helvetica" w:eastAsia="Times New Roman" w:hAnsi="Helvetica" w:cs="Helvetica"/>
                            <w:sz w:val="24"/>
                            <w:szCs w:val="24"/>
                          </w:rPr>
                        </w:pPr>
                      </w:p>
                    </w:tc>
                  </w:tr>
                </w:tbl>
                <w:p w14:paraId="46A0DD89" w14:textId="77777777" w:rsidR="00977982" w:rsidRPr="00977982" w:rsidRDefault="00977982" w:rsidP="00977982">
                  <w:pPr>
                    <w:spacing w:after="0" w:line="240" w:lineRule="auto"/>
                    <w:rPr>
                      <w:rFonts w:ascii="Helvetica" w:eastAsia="Times New Roman" w:hAnsi="Helvetica" w:cs="Helvetica"/>
                      <w:sz w:val="24"/>
                      <w:szCs w:val="24"/>
                    </w:rPr>
                  </w:pPr>
                </w:p>
              </w:tc>
            </w:tr>
            <w:tr w:rsidR="00977982" w:rsidRPr="00977982" w14:paraId="5A2F7028"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30"/>
                  </w:tblGrid>
                  <w:tr w:rsidR="00977982" w:rsidRPr="00977982" w14:paraId="25590C86" w14:textId="77777777">
                    <w:tc>
                      <w:tcPr>
                        <w:tcW w:w="9000" w:type="dxa"/>
                        <w:tcMar>
                          <w:top w:w="15" w:type="dxa"/>
                          <w:left w:w="15" w:type="dxa"/>
                          <w:bottom w:w="15" w:type="dxa"/>
                          <w:right w:w="15" w:type="dxa"/>
                        </w:tcMar>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977982" w:rsidRPr="00977982" w14:paraId="7D9BBE29"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977982" w:rsidRPr="00977982" w14:paraId="1C19FB1D" w14:textId="77777777">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977982" w:rsidRPr="00977982" w14:paraId="756C7735" w14:textId="77777777">
                                      <w:tc>
                                        <w:tcPr>
                                          <w:tcW w:w="0" w:type="auto"/>
                                          <w:tcMar>
                                            <w:top w:w="240" w:type="dxa"/>
                                            <w:left w:w="480" w:type="dxa"/>
                                            <w:bottom w:w="120" w:type="dxa"/>
                                            <w:right w:w="480" w:type="dxa"/>
                                          </w:tcMar>
                                          <w:hideMark/>
                                        </w:tcPr>
                                        <w:p w14:paraId="02ED8DB2" w14:textId="77777777" w:rsidR="00977982" w:rsidRPr="00977982" w:rsidRDefault="00977982" w:rsidP="00977982">
                                          <w:pPr>
                                            <w:spacing w:before="100" w:beforeAutospacing="1" w:after="240" w:line="648" w:lineRule="atLeast"/>
                                            <w:jc w:val="center"/>
                                            <w:outlineLvl w:val="0"/>
                                            <w:rPr>
                                              <w:rFonts w:ascii="Calibri" w:eastAsia="Times New Roman" w:hAnsi="Calibri" w:cs="Calibri"/>
                                              <w:b/>
                                              <w:bCs/>
                                              <w:kern w:val="36"/>
                                              <w:sz w:val="48"/>
                                              <w:szCs w:val="48"/>
                                            </w:rPr>
                                          </w:pPr>
                                          <w:r w:rsidRPr="00977982">
                                            <w:rPr>
                                              <w:rFonts w:ascii="Arial" w:eastAsia="Times New Roman" w:hAnsi="Arial" w:cs="Arial"/>
                                              <w:b/>
                                              <w:bCs/>
                                              <w:color w:val="21314D"/>
                                              <w:kern w:val="36"/>
                                              <w:sz w:val="48"/>
                                              <w:szCs w:val="48"/>
                                            </w:rPr>
                                            <w:lastRenderedPageBreak/>
                                            <w:t>Zeroing in on Illinois</w:t>
                                          </w:r>
                                        </w:p>
                                        <w:p w14:paraId="6E619AC9" w14:textId="77777777" w:rsidR="00977982" w:rsidRPr="00977982" w:rsidRDefault="00977982" w:rsidP="00977982">
                                          <w:pPr>
                                            <w:spacing w:before="100" w:beforeAutospacing="1" w:after="240" w:line="486" w:lineRule="atLeast"/>
                                            <w:jc w:val="center"/>
                                            <w:outlineLvl w:val="1"/>
                                            <w:rPr>
                                              <w:rFonts w:ascii="Calibri" w:eastAsia="Times New Roman" w:hAnsi="Calibri" w:cs="Calibri"/>
                                              <w:b/>
                                              <w:bCs/>
                                              <w:sz w:val="36"/>
                                              <w:szCs w:val="36"/>
                                            </w:rPr>
                                          </w:pPr>
                                          <w:r w:rsidRPr="00977982">
                                            <w:rPr>
                                              <w:rFonts w:ascii="Arial" w:eastAsia="Times New Roman" w:hAnsi="Arial" w:cs="Arial"/>
                                              <w:b/>
                                              <w:bCs/>
                                              <w:color w:val="21314D"/>
                                              <w:sz w:val="36"/>
                                              <w:szCs w:val="36"/>
                                            </w:rPr>
                                            <w:t>State Efforts to Address Homelessness &amp; Housing</w:t>
                                          </w:r>
                                        </w:p>
                                        <w:p w14:paraId="317C08E9" w14:textId="77777777" w:rsidR="00977982" w:rsidRPr="00977982" w:rsidRDefault="00977982" w:rsidP="00977982">
                                          <w:pPr>
                                            <w:spacing w:before="100" w:beforeAutospacing="1" w:after="180" w:line="293" w:lineRule="atLeast"/>
                                            <w:rPr>
                                              <w:rFonts w:ascii="Helvetica" w:eastAsia="Times New Roman" w:hAnsi="Helvetica" w:cs="Helvetica"/>
                                              <w:sz w:val="24"/>
                                              <w:szCs w:val="24"/>
                                            </w:rPr>
                                          </w:pPr>
                                          <w:r w:rsidRPr="00977982">
                                            <w:rPr>
                                              <w:rFonts w:ascii="Arial" w:eastAsia="Times New Roman" w:hAnsi="Arial" w:cs="Arial"/>
                                              <w:b/>
                                              <w:bCs/>
                                              <w:color w:val="434343"/>
                                              <w:sz w:val="21"/>
                                              <w:szCs w:val="21"/>
                                            </w:rPr>
                                            <w:t>Illinois Department of Human Services is making $6 million available throughout the state for isolation housing for people experiencing homelessness</w:t>
                                          </w:r>
                                          <w:r w:rsidRPr="00977982">
                                            <w:rPr>
                                              <w:rFonts w:ascii="Arial" w:eastAsia="Times New Roman" w:hAnsi="Arial" w:cs="Arial"/>
                                              <w:color w:val="434343"/>
                                              <w:sz w:val="21"/>
                                              <w:szCs w:val="21"/>
                                            </w:rPr>
                                            <w:t>, as well as increasing homeless service providers’ funding by 5% to increase capacity. All Chicago Making Homelessness History will be facilitating the distribution of these funds and has sent the application out to local Continuums of Care.</w:t>
                                          </w:r>
                                        </w:p>
                                        <w:p w14:paraId="7E6E8ECF" w14:textId="77777777" w:rsidR="00977982" w:rsidRPr="00977982" w:rsidRDefault="00977982" w:rsidP="00977982">
                                          <w:pPr>
                                            <w:spacing w:before="100" w:beforeAutospacing="1" w:after="180" w:line="293" w:lineRule="atLeast"/>
                                            <w:rPr>
                                              <w:rFonts w:ascii="Helvetica" w:eastAsia="Times New Roman" w:hAnsi="Helvetica" w:cs="Helvetica"/>
                                              <w:sz w:val="24"/>
                                              <w:szCs w:val="24"/>
                                            </w:rPr>
                                          </w:pPr>
                                          <w:r w:rsidRPr="00977982">
                                            <w:rPr>
                                              <w:rFonts w:ascii="Arial" w:eastAsia="Times New Roman" w:hAnsi="Arial" w:cs="Arial"/>
                                              <w:color w:val="434343"/>
                                              <w:sz w:val="21"/>
                                              <w:szCs w:val="21"/>
                                            </w:rPr>
                                            <w:t>Governor Pritzker has taken important steps to address COVID-19 in Illinois, including action to support those facing homelessness and housing instability. On March 20, he issued an Executive Order that includes </w:t>
                                          </w:r>
                                          <w:r w:rsidRPr="00977982">
                                            <w:rPr>
                                              <w:rFonts w:ascii="Arial" w:eastAsia="Times New Roman" w:hAnsi="Arial" w:cs="Arial"/>
                                              <w:b/>
                                              <w:bCs/>
                                              <w:color w:val="434343"/>
                                              <w:sz w:val="21"/>
                                              <w:szCs w:val="21"/>
                                            </w:rPr>
                                            <w:t>a halt for court-ordered evictions around the state</w:t>
                                          </w:r>
                                          <w:r w:rsidRPr="00977982">
                                            <w:rPr>
                                              <w:rFonts w:ascii="Arial" w:eastAsia="Times New Roman" w:hAnsi="Arial" w:cs="Arial"/>
                                              <w:color w:val="434343"/>
                                              <w:sz w:val="21"/>
                                              <w:szCs w:val="21"/>
                                            </w:rPr>
                                            <w:t>—a valuable protection for households on the brink.</w:t>
                                          </w:r>
                                        </w:p>
                                        <w:p w14:paraId="726995EE" w14:textId="77777777" w:rsidR="00977982" w:rsidRPr="00977982" w:rsidRDefault="00977982" w:rsidP="00977982">
                                          <w:pPr>
                                            <w:spacing w:before="100" w:beforeAutospacing="1" w:after="180" w:line="293" w:lineRule="atLeast"/>
                                            <w:rPr>
                                              <w:rFonts w:ascii="Helvetica" w:eastAsia="Times New Roman" w:hAnsi="Helvetica" w:cs="Helvetica"/>
                                              <w:sz w:val="24"/>
                                              <w:szCs w:val="24"/>
                                            </w:rPr>
                                          </w:pPr>
                                          <w:r w:rsidRPr="00977982">
                                            <w:rPr>
                                              <w:rFonts w:ascii="Arial" w:eastAsia="Times New Roman" w:hAnsi="Arial" w:cs="Arial"/>
                                              <w:color w:val="434343"/>
                                              <w:sz w:val="21"/>
                                              <w:szCs w:val="21"/>
                                            </w:rPr>
                                            <w:t>Today, on March 26, the governor also announced the creation of the </w:t>
                                          </w:r>
                                          <w:hyperlink r:id="rId7" w:tgtFrame="_blank" w:history="1">
                                            <w:r w:rsidRPr="00977982">
                                              <w:rPr>
                                                <w:rFonts w:ascii="Arial" w:eastAsia="Times New Roman" w:hAnsi="Arial" w:cs="Arial"/>
                                                <w:color w:val="1D91D8"/>
                                                <w:sz w:val="21"/>
                                                <w:szCs w:val="21"/>
                                                <w:u w:val="single"/>
                                              </w:rPr>
                                              <w:t>Illinois COVID-19 Response Fund</w:t>
                                            </w:r>
                                          </w:hyperlink>
                                          <w:r w:rsidRPr="00977982">
                                            <w:rPr>
                                              <w:rFonts w:ascii="Arial" w:eastAsia="Times New Roman" w:hAnsi="Arial" w:cs="Arial"/>
                                              <w:color w:val="434343"/>
                                              <w:sz w:val="21"/>
                                              <w:szCs w:val="21"/>
                                            </w:rPr>
                                            <w:t> in collaboration with the United Way of Illinois and the Alliance of Illinois Community Foundations. This fund, which has already raised nearly $23 million from individual, corporate, and foundation donors, will be disbursed to nonprofit organizations across the state serving individuals, families and communities hit hardest by the COVID-19 pandemic.</w:t>
                                          </w:r>
                                        </w:p>
                                        <w:p w14:paraId="57A9B9AE" w14:textId="77777777" w:rsidR="00977982" w:rsidRPr="00977982" w:rsidRDefault="00977982" w:rsidP="00977982">
                                          <w:pPr>
                                            <w:spacing w:before="100" w:beforeAutospacing="1" w:after="240" w:line="486" w:lineRule="atLeast"/>
                                            <w:outlineLvl w:val="1"/>
                                            <w:rPr>
                                              <w:rFonts w:ascii="Calibri" w:eastAsia="Times New Roman" w:hAnsi="Calibri" w:cs="Calibri"/>
                                              <w:b/>
                                              <w:bCs/>
                                              <w:sz w:val="36"/>
                                              <w:szCs w:val="36"/>
                                            </w:rPr>
                                          </w:pPr>
                                          <w:r w:rsidRPr="00977982">
                                            <w:rPr>
                                              <w:rFonts w:ascii="Arial" w:eastAsia="Times New Roman" w:hAnsi="Arial" w:cs="Arial"/>
                                              <w:b/>
                                              <w:bCs/>
                                              <w:color w:val="F3A340"/>
                                              <w:sz w:val="36"/>
                                              <w:szCs w:val="36"/>
                                            </w:rPr>
                                            <w:t>Preventing foreclosures</w:t>
                                          </w:r>
                                        </w:p>
                                        <w:p w14:paraId="2545298B" w14:textId="77777777" w:rsidR="00977982" w:rsidRPr="00977982" w:rsidRDefault="00977982" w:rsidP="00977982">
                                          <w:pPr>
                                            <w:spacing w:before="100" w:beforeAutospacing="1" w:after="180" w:line="293" w:lineRule="atLeast"/>
                                            <w:rPr>
                                              <w:rFonts w:ascii="Helvetica" w:eastAsia="Times New Roman" w:hAnsi="Helvetica" w:cs="Helvetica"/>
                                              <w:sz w:val="24"/>
                                              <w:szCs w:val="24"/>
                                            </w:rPr>
                                          </w:pPr>
                                          <w:r w:rsidRPr="00977982">
                                            <w:rPr>
                                              <w:rFonts w:ascii="Arial" w:eastAsia="Times New Roman" w:hAnsi="Arial" w:cs="Arial"/>
                                              <w:color w:val="434343"/>
                                              <w:sz w:val="21"/>
                                              <w:szCs w:val="21"/>
                                            </w:rPr>
                                            <w:t>Housing Action Illinois and NHS of Chicago are </w:t>
                                          </w:r>
                                          <w:hyperlink r:id="rId8" w:tgtFrame="_blank" w:history="1">
                                            <w:r w:rsidRPr="00977982">
                                              <w:rPr>
                                                <w:rFonts w:ascii="Arial" w:eastAsia="Times New Roman" w:hAnsi="Arial" w:cs="Arial"/>
                                                <w:color w:val="1D91D8"/>
                                                <w:sz w:val="21"/>
                                                <w:szCs w:val="21"/>
                                                <w:u w:val="single"/>
                                              </w:rPr>
                                              <w:t>calling on Governor Pritzker to take additional steps to support low- and moderate-income homeowners</w:t>
                                            </w:r>
                                          </w:hyperlink>
                                          <w:r w:rsidRPr="00977982">
                                            <w:rPr>
                                              <w:rFonts w:ascii="Arial" w:eastAsia="Times New Roman" w:hAnsi="Arial" w:cs="Arial"/>
                                              <w:color w:val="434343"/>
                                              <w:sz w:val="21"/>
                                              <w:szCs w:val="21"/>
                                            </w:rPr>
                                            <w:t> and prevent foreclosures, such as:</w:t>
                                          </w:r>
                                        </w:p>
                                        <w:p w14:paraId="69579176" w14:textId="77777777" w:rsidR="00977982" w:rsidRPr="00977982" w:rsidRDefault="00977982" w:rsidP="00977982">
                                          <w:pPr>
                                            <w:spacing w:after="0" w:line="293" w:lineRule="atLeast"/>
                                            <w:ind w:left="240"/>
                                            <w:rPr>
                                              <w:rFonts w:ascii="Helvetica" w:eastAsia="Times New Roman" w:hAnsi="Helvetica" w:cs="Helvetica"/>
                                              <w:sz w:val="24"/>
                                              <w:szCs w:val="24"/>
                                            </w:rPr>
                                          </w:pPr>
                                          <w:r w:rsidRPr="00977982">
                                            <w:rPr>
                                              <w:rFonts w:ascii="Symbol" w:eastAsia="Times New Roman" w:hAnsi="Symbol" w:cs="Helvetica"/>
                                              <w:color w:val="434343"/>
                                              <w:sz w:val="20"/>
                                              <w:szCs w:val="20"/>
                                            </w:rPr>
                                            <w:t></w:t>
                                          </w:r>
                                          <w:r w:rsidRPr="00977982">
                                            <w:rPr>
                                              <w:rFonts w:ascii="Times New Roman" w:eastAsia="Times New Roman" w:hAnsi="Times New Roman" w:cs="Times New Roman"/>
                                              <w:color w:val="434343"/>
                                              <w:sz w:val="14"/>
                                              <w:szCs w:val="14"/>
                                            </w:rPr>
                                            <w:t>         </w:t>
                                          </w:r>
                                          <w:r w:rsidRPr="00977982">
                                            <w:rPr>
                                              <w:rFonts w:ascii="Arial" w:eastAsia="Times New Roman" w:hAnsi="Arial" w:cs="Arial"/>
                                              <w:color w:val="434343"/>
                                              <w:sz w:val="21"/>
                                              <w:szCs w:val="21"/>
                                            </w:rPr>
                                            <w:t>Calling on all banks serving Illinois residents to suspend foreclosures for the next 60 days and respond thoughtfully to borrowers struggling to make payments</w:t>
                                          </w:r>
                                        </w:p>
                                        <w:p w14:paraId="5F743F25" w14:textId="77777777" w:rsidR="00977982" w:rsidRPr="00977982" w:rsidRDefault="00977982" w:rsidP="00977982">
                                          <w:pPr>
                                            <w:spacing w:after="0" w:line="293" w:lineRule="atLeast"/>
                                            <w:ind w:left="240"/>
                                            <w:rPr>
                                              <w:rFonts w:ascii="Helvetica" w:eastAsia="Times New Roman" w:hAnsi="Helvetica" w:cs="Helvetica"/>
                                              <w:sz w:val="24"/>
                                              <w:szCs w:val="24"/>
                                            </w:rPr>
                                          </w:pPr>
                                          <w:r w:rsidRPr="00977982">
                                            <w:rPr>
                                              <w:rFonts w:ascii="Symbol" w:eastAsia="Times New Roman" w:hAnsi="Symbol" w:cs="Helvetica"/>
                                              <w:color w:val="434343"/>
                                              <w:sz w:val="20"/>
                                              <w:szCs w:val="20"/>
                                            </w:rPr>
                                            <w:t></w:t>
                                          </w:r>
                                          <w:r w:rsidRPr="00977982">
                                            <w:rPr>
                                              <w:rFonts w:ascii="Times New Roman" w:eastAsia="Times New Roman" w:hAnsi="Times New Roman" w:cs="Times New Roman"/>
                                              <w:color w:val="434343"/>
                                              <w:sz w:val="14"/>
                                              <w:szCs w:val="14"/>
                                            </w:rPr>
                                            <w:t>         </w:t>
                                          </w:r>
                                          <w:r w:rsidRPr="00977982">
                                            <w:rPr>
                                              <w:rFonts w:ascii="Arial" w:eastAsia="Times New Roman" w:hAnsi="Arial" w:cs="Arial"/>
                                              <w:color w:val="434343"/>
                                              <w:sz w:val="21"/>
                                              <w:szCs w:val="21"/>
                                            </w:rPr>
                                            <w:t>Supporting funding for housing counseling and relief for low-income homeowners who are behind on mortgage payments due to lost income from the COVID-19 crisis</w:t>
                                          </w:r>
                                        </w:p>
                                        <w:p w14:paraId="09A76222" w14:textId="77777777" w:rsidR="00977982" w:rsidRPr="00977982" w:rsidRDefault="00977982" w:rsidP="00977982">
                                          <w:pPr>
                                            <w:spacing w:before="100" w:beforeAutospacing="1" w:after="180" w:line="293" w:lineRule="atLeast"/>
                                            <w:rPr>
                                              <w:rFonts w:ascii="Helvetica" w:eastAsia="Times New Roman" w:hAnsi="Helvetica" w:cs="Helvetica"/>
                                              <w:sz w:val="24"/>
                                              <w:szCs w:val="24"/>
                                            </w:rPr>
                                          </w:pPr>
                                          <w:r w:rsidRPr="00977982">
                                            <w:rPr>
                                              <w:rFonts w:ascii="Arial" w:eastAsia="Times New Roman" w:hAnsi="Arial" w:cs="Arial"/>
                                              <w:color w:val="434343"/>
                                              <w:sz w:val="21"/>
                                              <w:szCs w:val="21"/>
                                            </w:rPr>
                                            <w:t>In the coming days and weeks, our elected officials and communities will have to take significant additional actions to prioritize the needs of people experiencing homelessness and facing housing instability. Our communities won't truly be on a path to containment and recovery until we provide for everyone's health and housing needs.</w:t>
                                          </w:r>
                                        </w:p>
                                      </w:tc>
                                    </w:tr>
                                  </w:tbl>
                                  <w:p w14:paraId="5D2629AF" w14:textId="77777777" w:rsidR="00977982" w:rsidRPr="00977982" w:rsidRDefault="00977982" w:rsidP="00977982">
                                    <w:pPr>
                                      <w:spacing w:after="0" w:line="240" w:lineRule="auto"/>
                                      <w:rPr>
                                        <w:rFonts w:ascii="Helvetica" w:eastAsia="Times New Roman" w:hAnsi="Helvetica" w:cs="Helvetica"/>
                                        <w:sz w:val="24"/>
                                        <w:szCs w:val="24"/>
                                      </w:rPr>
                                    </w:pPr>
                                  </w:p>
                                </w:tc>
                              </w:tr>
                            </w:tbl>
                            <w:p w14:paraId="2BC34787" w14:textId="77777777" w:rsidR="00977982" w:rsidRPr="00977982" w:rsidRDefault="00977982" w:rsidP="00977982">
                              <w:pPr>
                                <w:spacing w:after="0" w:line="240" w:lineRule="auto"/>
                                <w:rPr>
                                  <w:rFonts w:ascii="Helvetica" w:eastAsia="Times New Roman" w:hAnsi="Helvetica" w:cs="Helvetica"/>
                                  <w:sz w:val="24"/>
                                  <w:szCs w:val="24"/>
                                </w:rPr>
                              </w:pPr>
                            </w:p>
                          </w:tc>
                        </w:tr>
                      </w:tbl>
                      <w:p w14:paraId="5ADB2CF8" w14:textId="77777777" w:rsidR="00977982" w:rsidRPr="00977982" w:rsidRDefault="00977982" w:rsidP="00977982">
                        <w:pPr>
                          <w:spacing w:after="0" w:line="240" w:lineRule="auto"/>
                          <w:rPr>
                            <w:rFonts w:ascii="Helvetica" w:eastAsia="Times New Roman" w:hAnsi="Helvetica" w:cs="Helvetica"/>
                            <w:sz w:val="24"/>
                            <w:szCs w:val="24"/>
                          </w:rPr>
                        </w:pPr>
                      </w:p>
                    </w:tc>
                  </w:tr>
                </w:tbl>
                <w:p w14:paraId="64422FC4" w14:textId="77777777" w:rsidR="00977982" w:rsidRPr="00977982" w:rsidRDefault="00977982" w:rsidP="00977982">
                  <w:pPr>
                    <w:spacing w:after="0" w:line="240" w:lineRule="auto"/>
                    <w:rPr>
                      <w:rFonts w:ascii="Helvetica" w:eastAsia="Times New Roman" w:hAnsi="Helvetica" w:cs="Helvetica"/>
                      <w:sz w:val="24"/>
                      <w:szCs w:val="24"/>
                    </w:rPr>
                  </w:pPr>
                </w:p>
              </w:tc>
            </w:tr>
            <w:tr w:rsidR="00977982" w:rsidRPr="00977982" w14:paraId="6DBBC134"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30"/>
                  </w:tblGrid>
                  <w:tr w:rsidR="00977982" w:rsidRPr="00977982" w14:paraId="667D68F2" w14:textId="77777777">
                    <w:tc>
                      <w:tcPr>
                        <w:tcW w:w="9000" w:type="dxa"/>
                        <w:tcMar>
                          <w:top w:w="15" w:type="dxa"/>
                          <w:left w:w="15" w:type="dxa"/>
                          <w:bottom w:w="15" w:type="dxa"/>
                          <w:right w:w="15" w:type="dxa"/>
                        </w:tcMar>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977982" w:rsidRPr="00977982" w14:paraId="27A04898"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977982" w:rsidRPr="00977982" w14:paraId="523F5089" w14:textId="77777777">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977982" w:rsidRPr="00977982" w14:paraId="23E3BFD0" w14:textId="77777777">
                                      <w:tc>
                                        <w:tcPr>
                                          <w:tcW w:w="0" w:type="auto"/>
                                          <w:tcMar>
                                            <w:top w:w="240" w:type="dxa"/>
                                            <w:left w:w="240" w:type="dxa"/>
                                            <w:bottom w:w="0" w:type="dxa"/>
                                            <w:right w:w="240" w:type="dxa"/>
                                          </w:tcMar>
                                          <w:hideMark/>
                                        </w:tcPr>
                                        <w:p w14:paraId="68EE9555" w14:textId="77777777" w:rsidR="00977982" w:rsidRPr="00977982" w:rsidRDefault="00977982" w:rsidP="00977982">
                                          <w:pPr>
                                            <w:spacing w:before="100" w:beforeAutospacing="1" w:after="180" w:line="293" w:lineRule="atLeast"/>
                                            <w:jc w:val="center"/>
                                            <w:rPr>
                                              <w:rFonts w:ascii="Helvetica" w:eastAsia="Times New Roman" w:hAnsi="Helvetica" w:cs="Helvetica"/>
                                              <w:sz w:val="24"/>
                                              <w:szCs w:val="24"/>
                                            </w:rPr>
                                          </w:pPr>
                                          <w:r w:rsidRPr="00977982">
                                            <w:rPr>
                                              <w:rFonts w:ascii="Arial" w:eastAsia="Times New Roman" w:hAnsi="Arial" w:cs="Arial"/>
                                              <w:b/>
                                              <w:bCs/>
                                              <w:color w:val="434343"/>
                                              <w:sz w:val="21"/>
                                              <w:szCs w:val="21"/>
                                            </w:rPr>
                                            <w:t>Housing Action Illinois</w:t>
                                          </w:r>
                                          <w:r w:rsidRPr="00977982">
                                            <w:rPr>
                                              <w:rFonts w:ascii="Arial" w:eastAsia="Times New Roman" w:hAnsi="Arial" w:cs="Arial"/>
                                              <w:color w:val="434343"/>
                                              <w:sz w:val="21"/>
                                              <w:szCs w:val="21"/>
                                            </w:rPr>
                                            <w:br/>
                                            <w:t>67 E. Madison Street Suite 1603 | Chicago, Illinois 60603</w:t>
                                          </w:r>
                                          <w:r w:rsidRPr="00977982">
                                            <w:rPr>
                                              <w:rFonts w:ascii="Arial" w:eastAsia="Times New Roman" w:hAnsi="Arial" w:cs="Arial"/>
                                              <w:color w:val="434343"/>
                                              <w:sz w:val="21"/>
                                              <w:szCs w:val="21"/>
                                            </w:rPr>
                                            <w:br/>
                                            <w:t>312-939-6074 | </w:t>
                                          </w:r>
                                          <w:hyperlink r:id="rId9" w:tgtFrame="_blank" w:history="1">
                                            <w:r w:rsidRPr="00977982">
                                              <w:rPr>
                                                <w:rFonts w:ascii="Arial" w:eastAsia="Times New Roman" w:hAnsi="Arial" w:cs="Arial"/>
                                                <w:color w:val="1155CC"/>
                                                <w:sz w:val="21"/>
                                                <w:szCs w:val="21"/>
                                                <w:u w:val="single"/>
                                              </w:rPr>
                                              <w:t>communications@housingactionil.org</w:t>
                                            </w:r>
                                          </w:hyperlink>
                                        </w:p>
                                      </w:tc>
                                    </w:tr>
                                  </w:tbl>
                                  <w:p w14:paraId="7342518C" w14:textId="77777777" w:rsidR="00977982" w:rsidRPr="00977982" w:rsidRDefault="00977982" w:rsidP="00977982">
                                    <w:pPr>
                                      <w:spacing w:after="0" w:line="240" w:lineRule="auto"/>
                                      <w:rPr>
                                        <w:rFonts w:ascii="Helvetica" w:eastAsia="Times New Roman" w:hAnsi="Helvetica" w:cs="Helvetica"/>
                                        <w:sz w:val="24"/>
                                        <w:szCs w:val="24"/>
                                      </w:rPr>
                                    </w:pPr>
                                  </w:p>
                                </w:tc>
                              </w:tr>
                              <w:tr w:rsidR="00977982" w:rsidRPr="00977982" w14:paraId="2F679D39" w14:textId="77777777">
                                <w:tc>
                                  <w:tcPr>
                                    <w:tcW w:w="0" w:type="auto"/>
                                    <w:tcMar>
                                      <w:top w:w="0" w:type="dxa"/>
                                      <w:left w:w="240" w:type="dxa"/>
                                      <w:bottom w:w="0" w:type="dxa"/>
                                      <w:right w:w="240" w:type="dxa"/>
                                    </w:tcMar>
                                    <w:hideMark/>
                                  </w:tcPr>
                                  <w:p w14:paraId="6201682A" w14:textId="77777777" w:rsidR="00977982" w:rsidRPr="00977982" w:rsidRDefault="00977982" w:rsidP="00977982">
                                    <w:pPr>
                                      <w:spacing w:before="100" w:beforeAutospacing="1" w:after="180" w:line="293" w:lineRule="atLeast"/>
                                      <w:jc w:val="center"/>
                                      <w:rPr>
                                        <w:rFonts w:ascii="Helvetica" w:eastAsia="Times New Roman" w:hAnsi="Helvetica" w:cs="Helvetica"/>
                                        <w:sz w:val="24"/>
                                        <w:szCs w:val="24"/>
                                      </w:rPr>
                                    </w:pPr>
                                    <w:r w:rsidRPr="00977982">
                                      <w:rPr>
                                        <w:rFonts w:ascii="Arial" w:eastAsia="Times New Roman" w:hAnsi="Arial" w:cs="Arial"/>
                                        <w:color w:val="434343"/>
                                        <w:sz w:val="21"/>
                                        <w:szCs w:val="21"/>
                                      </w:rPr>
                                      <w:t>Follow Us</w:t>
                                    </w:r>
                                  </w:p>
                                  <w:tbl>
                                    <w:tblPr>
                                      <w:tblW w:w="0" w:type="auto"/>
                                      <w:jc w:val="center"/>
                                      <w:tblCellMar>
                                        <w:left w:w="0" w:type="dxa"/>
                                        <w:right w:w="0" w:type="dxa"/>
                                      </w:tblCellMar>
                                      <w:tblLook w:val="04A0" w:firstRow="1" w:lastRow="0" w:firstColumn="1" w:lastColumn="0" w:noHBand="0" w:noVBand="1"/>
                                    </w:tblPr>
                                    <w:tblGrid>
                                      <w:gridCol w:w="156"/>
                                      <w:gridCol w:w="156"/>
                                      <w:gridCol w:w="156"/>
                                    </w:tblGrid>
                                    <w:tr w:rsidR="00977982" w:rsidRPr="00977982" w14:paraId="1690B270" w14:textId="77777777">
                                      <w:trPr>
                                        <w:jc w:val="center"/>
                                      </w:trPr>
                                      <w:tc>
                                        <w:tcPr>
                                          <w:tcW w:w="0" w:type="auto"/>
                                          <w:tcMar>
                                            <w:top w:w="0" w:type="dxa"/>
                                            <w:left w:w="75" w:type="dxa"/>
                                            <w:bottom w:w="0" w:type="dxa"/>
                                            <w:right w:w="75" w:type="dxa"/>
                                          </w:tcMar>
                                          <w:hideMark/>
                                        </w:tcPr>
                                        <w:p w14:paraId="6B060FA3" w14:textId="77777777" w:rsidR="00977982" w:rsidRPr="00977982" w:rsidRDefault="00977982" w:rsidP="00977982">
                                          <w:pPr>
                                            <w:spacing w:after="0" w:line="240" w:lineRule="auto"/>
                                            <w:rPr>
                                              <w:rFonts w:ascii="Helvetica" w:eastAsia="Times New Roman" w:hAnsi="Helvetica" w:cs="Helvetica"/>
                                              <w:sz w:val="24"/>
                                              <w:szCs w:val="24"/>
                                            </w:rPr>
                                          </w:pPr>
                                        </w:p>
                                      </w:tc>
                                      <w:tc>
                                        <w:tcPr>
                                          <w:tcW w:w="0" w:type="auto"/>
                                          <w:tcMar>
                                            <w:top w:w="0" w:type="dxa"/>
                                            <w:left w:w="75" w:type="dxa"/>
                                            <w:bottom w:w="0" w:type="dxa"/>
                                            <w:right w:w="75" w:type="dxa"/>
                                          </w:tcMar>
                                          <w:hideMark/>
                                        </w:tcPr>
                                        <w:p w14:paraId="6292CE22" w14:textId="77777777" w:rsidR="00977982" w:rsidRPr="00977982" w:rsidRDefault="00977982" w:rsidP="00977982">
                                          <w:pPr>
                                            <w:spacing w:after="0" w:line="240" w:lineRule="auto"/>
                                            <w:rPr>
                                              <w:rFonts w:ascii="Times New Roman" w:eastAsia="Times New Roman" w:hAnsi="Times New Roman" w:cs="Times New Roman"/>
                                              <w:sz w:val="20"/>
                                              <w:szCs w:val="20"/>
                                            </w:rPr>
                                          </w:pPr>
                                        </w:p>
                                      </w:tc>
                                      <w:tc>
                                        <w:tcPr>
                                          <w:tcW w:w="0" w:type="auto"/>
                                          <w:tcMar>
                                            <w:top w:w="0" w:type="dxa"/>
                                            <w:left w:w="75" w:type="dxa"/>
                                            <w:bottom w:w="0" w:type="dxa"/>
                                            <w:right w:w="75" w:type="dxa"/>
                                          </w:tcMar>
                                          <w:hideMark/>
                                        </w:tcPr>
                                        <w:p w14:paraId="34FADA2D" w14:textId="77777777" w:rsidR="00977982" w:rsidRPr="00977982" w:rsidRDefault="00977982" w:rsidP="00977982">
                                          <w:pPr>
                                            <w:spacing w:after="0" w:line="240" w:lineRule="auto"/>
                                            <w:rPr>
                                              <w:rFonts w:ascii="Times New Roman" w:eastAsia="Times New Roman" w:hAnsi="Times New Roman" w:cs="Times New Roman"/>
                                              <w:sz w:val="20"/>
                                              <w:szCs w:val="20"/>
                                            </w:rPr>
                                          </w:pPr>
                                        </w:p>
                                      </w:tc>
                                    </w:tr>
                                  </w:tbl>
                                  <w:p w14:paraId="481A2E1B" w14:textId="77777777" w:rsidR="00977982" w:rsidRPr="00977982" w:rsidRDefault="00977982" w:rsidP="00977982">
                                    <w:pPr>
                                      <w:spacing w:after="0" w:line="240" w:lineRule="auto"/>
                                      <w:jc w:val="center"/>
                                      <w:rPr>
                                        <w:rFonts w:ascii="Helvetica" w:eastAsia="Times New Roman" w:hAnsi="Helvetica" w:cs="Helvetica"/>
                                        <w:sz w:val="24"/>
                                        <w:szCs w:val="24"/>
                                      </w:rPr>
                                    </w:pPr>
                                  </w:p>
                                </w:tc>
                              </w:tr>
                              <w:tr w:rsidR="00977982" w:rsidRPr="00977982" w14:paraId="667BD60B" w14:textId="77777777">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977982" w:rsidRPr="00977982" w14:paraId="76B7FFE9" w14:textId="77777777">
                                      <w:tc>
                                        <w:tcPr>
                                          <w:tcW w:w="0" w:type="auto"/>
                                          <w:tcMar>
                                            <w:top w:w="240" w:type="dxa"/>
                                            <w:left w:w="240" w:type="dxa"/>
                                            <w:bottom w:w="240" w:type="dxa"/>
                                            <w:right w:w="240" w:type="dxa"/>
                                          </w:tcMar>
                                          <w:hideMark/>
                                        </w:tcPr>
                                        <w:p w14:paraId="35075E43" w14:textId="77777777" w:rsidR="00977982" w:rsidRPr="00977982" w:rsidRDefault="00977982" w:rsidP="00977982">
                                          <w:pPr>
                                            <w:spacing w:before="100" w:beforeAutospacing="1" w:after="180" w:line="293" w:lineRule="atLeast"/>
                                            <w:jc w:val="center"/>
                                            <w:rPr>
                                              <w:rFonts w:ascii="Helvetica" w:eastAsia="Times New Roman" w:hAnsi="Helvetica" w:cs="Helvetica"/>
                                              <w:sz w:val="24"/>
                                              <w:szCs w:val="24"/>
                                            </w:rPr>
                                          </w:pPr>
                                          <w:r w:rsidRPr="00977982">
                                            <w:rPr>
                                              <w:rFonts w:ascii="Arial" w:eastAsia="Times New Roman" w:hAnsi="Arial" w:cs="Arial"/>
                                              <w:color w:val="434343"/>
                                              <w:sz w:val="21"/>
                                              <w:szCs w:val="21"/>
                                            </w:rPr>
                                            <w:t>Having trouble viewing this email? </w:t>
                                          </w:r>
                                          <w:hyperlink r:id="rId10" w:tgtFrame="_blank" w:history="1">
                                            <w:r w:rsidRPr="00977982">
                                              <w:rPr>
                                                <w:rFonts w:ascii="Arial" w:eastAsia="Times New Roman" w:hAnsi="Arial" w:cs="Arial"/>
                                                <w:color w:val="1D91D8"/>
                                                <w:sz w:val="21"/>
                                                <w:szCs w:val="21"/>
                                                <w:u w:val="single"/>
                                              </w:rPr>
                                              <w:t>View it in your web browser</w:t>
                                            </w:r>
                                          </w:hyperlink>
                                        </w:p>
                                      </w:tc>
                                    </w:tr>
                                  </w:tbl>
                                  <w:p w14:paraId="0BE18A1B" w14:textId="77777777" w:rsidR="00977982" w:rsidRPr="00977982" w:rsidRDefault="00977982" w:rsidP="00977982">
                                    <w:pPr>
                                      <w:spacing w:after="0" w:line="240" w:lineRule="auto"/>
                                      <w:rPr>
                                        <w:rFonts w:ascii="Helvetica" w:eastAsia="Times New Roman" w:hAnsi="Helvetica" w:cs="Helvetica"/>
                                        <w:sz w:val="24"/>
                                        <w:szCs w:val="24"/>
                                      </w:rPr>
                                    </w:pPr>
                                  </w:p>
                                </w:tc>
                              </w:tr>
                            </w:tbl>
                            <w:p w14:paraId="37CF5297" w14:textId="77777777" w:rsidR="00977982" w:rsidRPr="00977982" w:rsidRDefault="00977982" w:rsidP="00977982">
                              <w:pPr>
                                <w:spacing w:after="0" w:line="240" w:lineRule="auto"/>
                                <w:rPr>
                                  <w:rFonts w:ascii="Helvetica" w:eastAsia="Times New Roman" w:hAnsi="Helvetica" w:cs="Helvetica"/>
                                  <w:sz w:val="24"/>
                                  <w:szCs w:val="24"/>
                                </w:rPr>
                              </w:pPr>
                            </w:p>
                          </w:tc>
                        </w:tr>
                      </w:tbl>
                      <w:p w14:paraId="4B0DAB9C" w14:textId="77777777" w:rsidR="00977982" w:rsidRPr="00977982" w:rsidRDefault="00977982" w:rsidP="00977982">
                        <w:pPr>
                          <w:spacing w:after="0" w:line="240" w:lineRule="auto"/>
                          <w:rPr>
                            <w:rFonts w:ascii="Helvetica" w:eastAsia="Times New Roman" w:hAnsi="Helvetica" w:cs="Helvetica"/>
                            <w:sz w:val="24"/>
                            <w:szCs w:val="24"/>
                          </w:rPr>
                        </w:pPr>
                      </w:p>
                    </w:tc>
                  </w:tr>
                </w:tbl>
                <w:p w14:paraId="742FED9E" w14:textId="77777777" w:rsidR="00977982" w:rsidRPr="00977982" w:rsidRDefault="00977982" w:rsidP="00977982">
                  <w:pPr>
                    <w:spacing w:after="0" w:line="240" w:lineRule="auto"/>
                    <w:rPr>
                      <w:rFonts w:ascii="Helvetica" w:eastAsia="Times New Roman" w:hAnsi="Helvetica" w:cs="Helvetica"/>
                      <w:sz w:val="24"/>
                      <w:szCs w:val="24"/>
                    </w:rPr>
                  </w:pPr>
                </w:p>
              </w:tc>
            </w:tr>
            <w:tr w:rsidR="00977982" w:rsidRPr="00977982" w14:paraId="7E4266E8"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30"/>
                  </w:tblGrid>
                  <w:tr w:rsidR="00977982" w:rsidRPr="00977982" w14:paraId="0BB99C71" w14:textId="77777777">
                    <w:tc>
                      <w:tcPr>
                        <w:tcW w:w="3000" w:type="dxa"/>
                        <w:tcMar>
                          <w:top w:w="15" w:type="dxa"/>
                          <w:left w:w="15" w:type="dxa"/>
                          <w:bottom w:w="15" w:type="dxa"/>
                          <w:right w:w="15" w:type="dxa"/>
                        </w:tcMar>
                        <w:hideMark/>
                      </w:tcPr>
                      <w:tbl>
                        <w:tblPr>
                          <w:tblW w:w="3000" w:type="dxa"/>
                          <w:jc w:val="center"/>
                          <w:tblCellMar>
                            <w:left w:w="0" w:type="dxa"/>
                            <w:right w:w="0" w:type="dxa"/>
                          </w:tblCellMar>
                          <w:tblLook w:val="04A0" w:firstRow="1" w:lastRow="0" w:firstColumn="1" w:lastColumn="0" w:noHBand="0" w:noVBand="1"/>
                        </w:tblPr>
                        <w:tblGrid>
                          <w:gridCol w:w="3000"/>
                        </w:tblGrid>
                        <w:tr w:rsidR="00977982" w:rsidRPr="00977982" w14:paraId="681F8FF3"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3000"/>
                              </w:tblGrid>
                              <w:tr w:rsidR="00977982" w:rsidRPr="00977982" w14:paraId="4AFE459B" w14:textId="77777777">
                                <w:tc>
                                  <w:tcPr>
                                    <w:tcW w:w="0" w:type="auto"/>
                                    <w:hideMark/>
                                  </w:tcPr>
                                  <w:p w14:paraId="56EFDD01" w14:textId="77777777" w:rsidR="00977982" w:rsidRPr="00977982" w:rsidRDefault="00C822FA" w:rsidP="00977982">
                                    <w:pPr>
                                      <w:spacing w:after="0" w:line="293" w:lineRule="atLeast"/>
                                      <w:jc w:val="center"/>
                                      <w:rPr>
                                        <w:rFonts w:ascii="Helvetica" w:eastAsia="Times New Roman" w:hAnsi="Helvetica" w:cs="Helvetica"/>
                                        <w:sz w:val="24"/>
                                        <w:szCs w:val="24"/>
                                      </w:rPr>
                                    </w:pPr>
                                    <w:hyperlink r:id="rId11" w:tgtFrame="_blank" w:history="1">
                                      <w:r w:rsidR="00977982" w:rsidRPr="00977982">
                                        <w:rPr>
                                          <w:rFonts w:ascii="Arial" w:eastAsia="Times New Roman" w:hAnsi="Arial" w:cs="Arial"/>
                                          <w:color w:val="1D91D8"/>
                                          <w:sz w:val="21"/>
                                          <w:szCs w:val="21"/>
                                          <w:u w:val="single"/>
                                        </w:rPr>
                                        <w:t>Unsubscribe</w:t>
                                      </w:r>
                                    </w:hyperlink>
                                  </w:p>
                                </w:tc>
                              </w:tr>
                            </w:tbl>
                            <w:p w14:paraId="17C127C6" w14:textId="77777777" w:rsidR="00977982" w:rsidRPr="00977982" w:rsidRDefault="00977982" w:rsidP="00977982">
                              <w:pPr>
                                <w:spacing w:after="0" w:line="240" w:lineRule="auto"/>
                                <w:rPr>
                                  <w:rFonts w:ascii="Helvetica" w:eastAsia="Times New Roman" w:hAnsi="Helvetica" w:cs="Helvetica"/>
                                  <w:sz w:val="24"/>
                                  <w:szCs w:val="24"/>
                                </w:rPr>
                              </w:pPr>
                            </w:p>
                          </w:tc>
                        </w:tr>
                      </w:tbl>
                      <w:p w14:paraId="1DE23FE3" w14:textId="77777777" w:rsidR="00977982" w:rsidRPr="00977982" w:rsidRDefault="00977982" w:rsidP="00977982">
                        <w:pPr>
                          <w:spacing w:after="0" w:line="240" w:lineRule="auto"/>
                          <w:jc w:val="center"/>
                          <w:rPr>
                            <w:rFonts w:ascii="Helvetica" w:eastAsia="Times New Roman" w:hAnsi="Helvetica" w:cs="Helvetica"/>
                            <w:sz w:val="24"/>
                            <w:szCs w:val="24"/>
                          </w:rPr>
                        </w:pPr>
                      </w:p>
                    </w:tc>
                  </w:tr>
                </w:tbl>
                <w:p w14:paraId="6AB35EA2" w14:textId="77777777" w:rsidR="00977982" w:rsidRPr="00977982" w:rsidRDefault="00977982" w:rsidP="00977982">
                  <w:pPr>
                    <w:spacing w:after="0" w:line="240" w:lineRule="auto"/>
                    <w:rPr>
                      <w:rFonts w:ascii="Helvetica" w:eastAsia="Times New Roman" w:hAnsi="Helvetica" w:cs="Helvetica"/>
                      <w:sz w:val="24"/>
                      <w:szCs w:val="24"/>
                    </w:rPr>
                  </w:pPr>
                </w:p>
              </w:tc>
            </w:tr>
          </w:tbl>
          <w:p w14:paraId="5472CE5D" w14:textId="77777777" w:rsidR="00977982" w:rsidRPr="00977982" w:rsidRDefault="00977982" w:rsidP="00977982">
            <w:pPr>
              <w:spacing w:after="0" w:line="240" w:lineRule="auto"/>
              <w:jc w:val="center"/>
              <w:rPr>
                <w:rFonts w:ascii="Helvetica" w:eastAsia="Times New Roman" w:hAnsi="Helvetica" w:cs="Helvetica"/>
                <w:sz w:val="24"/>
                <w:szCs w:val="24"/>
              </w:rPr>
            </w:pPr>
          </w:p>
        </w:tc>
        <w:bookmarkStart w:id="0" w:name="_GoBack"/>
        <w:bookmarkEnd w:id="0"/>
      </w:tr>
    </w:tbl>
    <w:p w14:paraId="2EC49C40" w14:textId="77777777" w:rsidR="005906D4" w:rsidRDefault="005906D4"/>
    <w:sectPr w:rsidR="00590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982"/>
    <w:rsid w:val="005906D4"/>
    <w:rsid w:val="00977982"/>
    <w:rsid w:val="00C8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15AB"/>
  <w15:chartTrackingRefBased/>
  <w15:docId w15:val="{6BEDA24E-CCA5-4E03-9C04-D56EEA10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9779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779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9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798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779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7982"/>
    <w:rPr>
      <w:b/>
      <w:bCs/>
    </w:rPr>
  </w:style>
  <w:style w:type="character" w:styleId="Hyperlink">
    <w:name w:val="Hyperlink"/>
    <w:basedOn w:val="DefaultParagraphFont"/>
    <w:uiPriority w:val="99"/>
    <w:semiHidden/>
    <w:unhideWhenUsed/>
    <w:rsid w:val="009779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728734">
      <w:bodyDiv w:val="1"/>
      <w:marLeft w:val="0"/>
      <w:marRight w:val="0"/>
      <w:marTop w:val="0"/>
      <w:marBottom w:val="0"/>
      <w:divBdr>
        <w:top w:val="none" w:sz="0" w:space="0" w:color="auto"/>
        <w:left w:val="none" w:sz="0" w:space="0" w:color="auto"/>
        <w:bottom w:val="none" w:sz="0" w:space="0" w:color="auto"/>
        <w:right w:val="none" w:sz="0" w:space="0" w:color="auto"/>
      </w:divBdr>
      <w:divsChild>
        <w:div w:id="470562415">
          <w:marLeft w:val="0"/>
          <w:marRight w:val="0"/>
          <w:marTop w:val="0"/>
          <w:marBottom w:val="0"/>
          <w:divBdr>
            <w:top w:val="none" w:sz="0" w:space="0" w:color="auto"/>
            <w:left w:val="none" w:sz="0" w:space="0" w:color="auto"/>
            <w:bottom w:val="none" w:sz="0" w:space="0" w:color="auto"/>
            <w:right w:val="none" w:sz="0" w:space="0" w:color="auto"/>
          </w:divBdr>
          <w:divsChild>
            <w:div w:id="1369837983">
              <w:marLeft w:val="0"/>
              <w:marRight w:val="0"/>
              <w:marTop w:val="0"/>
              <w:marBottom w:val="0"/>
              <w:divBdr>
                <w:top w:val="none" w:sz="0" w:space="0" w:color="auto"/>
                <w:left w:val="none" w:sz="0" w:space="0" w:color="auto"/>
                <w:bottom w:val="none" w:sz="0" w:space="0" w:color="auto"/>
                <w:right w:val="none" w:sz="0" w:space="0" w:color="auto"/>
              </w:divBdr>
            </w:div>
            <w:div w:id="466092765">
              <w:marLeft w:val="0"/>
              <w:marRight w:val="0"/>
              <w:marTop w:val="0"/>
              <w:marBottom w:val="0"/>
              <w:divBdr>
                <w:top w:val="none" w:sz="0" w:space="0" w:color="auto"/>
                <w:left w:val="none" w:sz="0" w:space="0" w:color="auto"/>
                <w:bottom w:val="single" w:sz="8" w:space="0" w:color="FFA500"/>
                <w:right w:val="none" w:sz="0" w:space="0" w:color="auto"/>
              </w:divBdr>
            </w:div>
            <w:div w:id="49800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ault.salsalabs.org/T41fc58d0-4fe8-45d6-af12-8d94f7bbda4c/b8d2e5cf-89fc-4789-93b8-f54ffe5f991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efault.salsalabs.org/Tdf6eda57-d173-4e80-b9e0-821e3a1d3117/b8d2e5cf-89fc-4789-93b8-f54ffe5f991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fault.salsalabs.org/T0ee97051-a27f-4cc4-8e56-9c82448e7248/b8d2e5cf-89fc-4789-93b8-f54ffe5f991e" TargetMode="External"/><Relationship Id="rId11" Type="http://schemas.openxmlformats.org/officeDocument/2006/relationships/hyperlink" Target="https://housingactionil.salsalabs.org/manage-your-subscription?eId=96209913-4487-4c4c-aeda-86baa63c7ac4&amp;eType=EmailBlastContent&amp;sId=b8d2e5cf-89fc-4789-93b8-f54ffe5f991e" TargetMode="External"/><Relationship Id="rId5" Type="http://schemas.openxmlformats.org/officeDocument/2006/relationships/hyperlink" Target="https://default.salsalabs.org/T05d16f1c-db3e-4c69-bfbb-d94c9c535ce1/b8d2e5cf-89fc-4789-93b8-f54ffe5f991e" TargetMode="External"/><Relationship Id="rId10" Type="http://schemas.openxmlformats.org/officeDocument/2006/relationships/hyperlink" Target="https://housingactionil.salsalabs.org/covid19-relief-update?wvpId=b8d2e5cf-89fc-4789-93b8-f54ffe5f991e" TargetMode="External"/><Relationship Id="rId4" Type="http://schemas.openxmlformats.org/officeDocument/2006/relationships/hyperlink" Target="https://default.salsalabs.org/T47060926-41e3-4c14-be65-df05e36588fa/b8d2e5cf-89fc-4789-93b8-f54ffe5f991e" TargetMode="External"/><Relationship Id="rId9" Type="http://schemas.openxmlformats.org/officeDocument/2006/relationships/hyperlink" Target="mailto:communications@housingaction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Daylia Warden</dc:creator>
  <cp:keywords/>
  <dc:description/>
  <cp:lastModifiedBy>Daylia Warden</cp:lastModifiedBy>
  <cp:revision>2</cp:revision>
  <dcterms:created xsi:type="dcterms:W3CDTF">2020-03-27T15:24:00Z</dcterms:created>
  <dcterms:modified xsi:type="dcterms:W3CDTF">2020-03-27T15:30:00Z</dcterms:modified>
</cp:coreProperties>
</file>