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BE2E" w14:textId="3EA0008F" w:rsidR="000048D2" w:rsidRDefault="00F34CD5" w:rsidP="00CE5FBE">
      <w:pPr>
        <w:spacing w:after="0" w:line="240" w:lineRule="auto"/>
        <w:rPr>
          <w:rFonts w:asciiTheme="majorHAnsi" w:hAnsiTheme="majorHAnsi" w:cstheme="majorHAnsi"/>
        </w:rPr>
      </w:pPr>
      <w:r>
        <w:rPr>
          <w:rFonts w:asciiTheme="majorHAnsi" w:hAnsiTheme="majorHAnsi" w:cstheme="majorHAnsi"/>
        </w:rPr>
        <w:t>November 6, 2020</w:t>
      </w:r>
    </w:p>
    <w:p w14:paraId="1B424C36" w14:textId="2F52ECA4" w:rsidR="00F34CD5" w:rsidRDefault="00F34CD5" w:rsidP="00CE5FBE">
      <w:pPr>
        <w:spacing w:after="0" w:line="240" w:lineRule="auto"/>
        <w:rPr>
          <w:rFonts w:asciiTheme="majorHAnsi" w:hAnsiTheme="majorHAnsi" w:cstheme="majorHAnsi"/>
        </w:rPr>
      </w:pPr>
      <w:r>
        <w:rPr>
          <w:rFonts w:asciiTheme="majorHAnsi" w:hAnsiTheme="majorHAnsi" w:cstheme="majorHAnsi"/>
        </w:rPr>
        <w:t>Attn: Trinity Employees</w:t>
      </w:r>
    </w:p>
    <w:p w14:paraId="1B4D2706" w14:textId="57519F6F" w:rsidR="00F34CD5" w:rsidRDefault="00F34CD5" w:rsidP="00CE5FBE">
      <w:pPr>
        <w:spacing w:after="0" w:line="240" w:lineRule="auto"/>
        <w:rPr>
          <w:rFonts w:asciiTheme="majorHAnsi" w:hAnsiTheme="majorHAnsi" w:cstheme="majorHAnsi"/>
        </w:rPr>
      </w:pPr>
      <w:r>
        <w:rPr>
          <w:rFonts w:asciiTheme="majorHAnsi" w:hAnsiTheme="majorHAnsi" w:cstheme="majorHAnsi"/>
        </w:rPr>
        <w:t xml:space="preserve">Subject: COVID-19 Designated Cluster Mitigation and Oversight </w:t>
      </w:r>
    </w:p>
    <w:p w14:paraId="65C0E004" w14:textId="335EE221" w:rsidR="002459E2" w:rsidRDefault="002459E2">
      <w:pPr>
        <w:rPr>
          <w:rFonts w:asciiTheme="majorHAnsi" w:hAnsiTheme="majorHAnsi" w:cstheme="majorHAnsi"/>
        </w:rPr>
      </w:pPr>
    </w:p>
    <w:p w14:paraId="5A15DC4F" w14:textId="108C05F4" w:rsidR="002459E2" w:rsidRDefault="00F34CD5">
      <w:pPr>
        <w:rPr>
          <w:rFonts w:asciiTheme="majorHAnsi" w:hAnsiTheme="majorHAnsi" w:cstheme="majorHAnsi"/>
        </w:rPr>
      </w:pPr>
      <w:r>
        <w:rPr>
          <w:rFonts w:asciiTheme="majorHAnsi" w:hAnsiTheme="majorHAnsi" w:cstheme="majorHAnsi"/>
        </w:rPr>
        <w:tab/>
        <w:t xml:space="preserve">On October 23, 2020, Office for People with Developmental Disabilities (OPWDD), issued guidance, based upon Governor Cuomo’s initiative, to alert service providers, of areas, also known as “clusters” that have been designated as increased COVID-19 positive cases. </w:t>
      </w:r>
    </w:p>
    <w:p w14:paraId="76DA67CB" w14:textId="05904B51" w:rsidR="00F34CD5" w:rsidRDefault="00F34CD5">
      <w:pPr>
        <w:rPr>
          <w:rFonts w:asciiTheme="majorHAnsi" w:hAnsiTheme="majorHAnsi" w:cstheme="majorHAnsi"/>
        </w:rPr>
      </w:pPr>
      <w:r>
        <w:rPr>
          <w:rFonts w:asciiTheme="majorHAnsi" w:hAnsiTheme="majorHAnsi" w:cstheme="majorHAnsi"/>
        </w:rPr>
        <w:tab/>
        <w:t xml:space="preserve">This guidance provides a chart, color-coded based upon the status of the alert. </w:t>
      </w:r>
      <w:r w:rsidR="00CE5FBE">
        <w:rPr>
          <w:rFonts w:asciiTheme="majorHAnsi" w:hAnsiTheme="majorHAnsi" w:cstheme="majorHAnsi"/>
        </w:rPr>
        <w:t xml:space="preserve">If the outlined services are indicated within a Red or Orange zone, those serves are </w:t>
      </w:r>
      <w:proofErr w:type="gramStart"/>
      <w:r w:rsidR="00CE5FBE">
        <w:rPr>
          <w:rFonts w:asciiTheme="majorHAnsi" w:hAnsiTheme="majorHAnsi" w:cstheme="majorHAnsi"/>
        </w:rPr>
        <w:t xml:space="preserve">temporarily </w:t>
      </w:r>
      <w:r w:rsidR="00F42CB9">
        <w:rPr>
          <w:rFonts w:asciiTheme="majorHAnsi" w:hAnsiTheme="majorHAnsi" w:cstheme="majorHAnsi"/>
        </w:rPr>
        <w:t>suspended</w:t>
      </w:r>
      <w:proofErr w:type="gramEnd"/>
      <w:r w:rsidR="00CE5FBE">
        <w:rPr>
          <w:rFonts w:asciiTheme="majorHAnsi" w:hAnsiTheme="majorHAnsi" w:cstheme="majorHAnsi"/>
        </w:rPr>
        <w:t xml:space="preserve">. Those services within a yellow zone, </w:t>
      </w:r>
      <w:proofErr w:type="gramStart"/>
      <w:r w:rsidR="00CE5FBE">
        <w:rPr>
          <w:rFonts w:asciiTheme="majorHAnsi" w:hAnsiTheme="majorHAnsi" w:cstheme="majorHAnsi"/>
        </w:rPr>
        <w:t>are able to</w:t>
      </w:r>
      <w:proofErr w:type="gramEnd"/>
      <w:r w:rsidR="00CE5FBE">
        <w:rPr>
          <w:rFonts w:asciiTheme="majorHAnsi" w:hAnsiTheme="majorHAnsi" w:cstheme="majorHAnsi"/>
        </w:rPr>
        <w:t xml:space="preserve"> continue services. The chart is as follows: </w:t>
      </w:r>
    </w:p>
    <w:tbl>
      <w:tblPr>
        <w:tblStyle w:val="TableGrid"/>
        <w:tblW w:w="0" w:type="auto"/>
        <w:tblLook w:val="04A0" w:firstRow="1" w:lastRow="0" w:firstColumn="1" w:lastColumn="0" w:noHBand="0" w:noVBand="1"/>
      </w:tblPr>
      <w:tblGrid>
        <w:gridCol w:w="2337"/>
        <w:gridCol w:w="2337"/>
        <w:gridCol w:w="2338"/>
        <w:gridCol w:w="2338"/>
      </w:tblGrid>
      <w:tr w:rsidR="00CE5FBE" w14:paraId="5DB147EB" w14:textId="77777777" w:rsidTr="00CE5FBE">
        <w:tc>
          <w:tcPr>
            <w:tcW w:w="2337" w:type="dxa"/>
          </w:tcPr>
          <w:p w14:paraId="1175C854" w14:textId="79BA8D65" w:rsidR="00CE5FBE" w:rsidRPr="00242660" w:rsidRDefault="00CE5FBE">
            <w:pPr>
              <w:rPr>
                <w:rFonts w:asciiTheme="majorHAnsi" w:hAnsiTheme="majorHAnsi" w:cstheme="majorHAnsi"/>
                <w:b/>
                <w:bCs/>
              </w:rPr>
            </w:pPr>
            <w:r w:rsidRPr="00242660">
              <w:rPr>
                <w:rFonts w:asciiTheme="majorHAnsi" w:hAnsiTheme="majorHAnsi" w:cstheme="majorHAnsi"/>
                <w:b/>
                <w:bCs/>
              </w:rPr>
              <w:t>Type of Activity</w:t>
            </w:r>
          </w:p>
        </w:tc>
        <w:tc>
          <w:tcPr>
            <w:tcW w:w="2337" w:type="dxa"/>
          </w:tcPr>
          <w:p w14:paraId="6E9304A5" w14:textId="06A95247" w:rsidR="00CE5FBE" w:rsidRPr="00242660" w:rsidRDefault="00CE5FBE">
            <w:pPr>
              <w:rPr>
                <w:rFonts w:asciiTheme="majorHAnsi" w:hAnsiTheme="majorHAnsi" w:cstheme="majorHAnsi"/>
                <w:b/>
                <w:bCs/>
              </w:rPr>
            </w:pPr>
            <w:r w:rsidRPr="00242660">
              <w:rPr>
                <w:rFonts w:asciiTheme="majorHAnsi" w:hAnsiTheme="majorHAnsi" w:cstheme="majorHAnsi"/>
                <w:b/>
                <w:bCs/>
              </w:rPr>
              <w:t>RED</w:t>
            </w:r>
          </w:p>
        </w:tc>
        <w:tc>
          <w:tcPr>
            <w:tcW w:w="2338" w:type="dxa"/>
          </w:tcPr>
          <w:p w14:paraId="19262EBF" w14:textId="278DC3B9" w:rsidR="00CE5FBE" w:rsidRPr="00242660" w:rsidRDefault="00CE5FBE">
            <w:pPr>
              <w:rPr>
                <w:rFonts w:asciiTheme="majorHAnsi" w:hAnsiTheme="majorHAnsi" w:cstheme="majorHAnsi"/>
                <w:b/>
                <w:bCs/>
              </w:rPr>
            </w:pPr>
            <w:r w:rsidRPr="00242660">
              <w:rPr>
                <w:rFonts w:asciiTheme="majorHAnsi" w:hAnsiTheme="majorHAnsi" w:cstheme="majorHAnsi"/>
                <w:b/>
                <w:bCs/>
              </w:rPr>
              <w:t>ORANGE</w:t>
            </w:r>
          </w:p>
        </w:tc>
        <w:tc>
          <w:tcPr>
            <w:tcW w:w="2338" w:type="dxa"/>
          </w:tcPr>
          <w:p w14:paraId="68DC1227" w14:textId="025FE0CC" w:rsidR="00CE5FBE" w:rsidRPr="00242660" w:rsidRDefault="00CE5FBE">
            <w:pPr>
              <w:rPr>
                <w:rFonts w:asciiTheme="majorHAnsi" w:hAnsiTheme="majorHAnsi" w:cstheme="majorHAnsi"/>
                <w:b/>
                <w:bCs/>
              </w:rPr>
            </w:pPr>
            <w:r w:rsidRPr="00242660">
              <w:rPr>
                <w:rFonts w:asciiTheme="majorHAnsi" w:hAnsiTheme="majorHAnsi" w:cstheme="majorHAnsi"/>
                <w:b/>
                <w:bCs/>
              </w:rPr>
              <w:t>YELLOW</w:t>
            </w:r>
          </w:p>
        </w:tc>
      </w:tr>
      <w:tr w:rsidR="00CE5FBE" w14:paraId="056188FC" w14:textId="77777777" w:rsidTr="00CE5FBE">
        <w:trPr>
          <w:trHeight w:val="2051"/>
        </w:trPr>
        <w:tc>
          <w:tcPr>
            <w:tcW w:w="2337" w:type="dxa"/>
          </w:tcPr>
          <w:p w14:paraId="027D69D2" w14:textId="468A256C" w:rsidR="00CE5FBE" w:rsidRPr="00242660" w:rsidRDefault="00CE5FBE">
            <w:pPr>
              <w:rPr>
                <w:rFonts w:asciiTheme="majorHAnsi" w:hAnsiTheme="majorHAnsi" w:cstheme="majorHAnsi"/>
                <w:b/>
                <w:bCs/>
                <w:u w:val="single"/>
              </w:rPr>
            </w:pPr>
            <w:r w:rsidRPr="00242660">
              <w:rPr>
                <w:rFonts w:asciiTheme="majorHAnsi" w:hAnsiTheme="majorHAnsi" w:cstheme="majorHAnsi"/>
                <w:b/>
                <w:bCs/>
                <w:u w:val="single"/>
              </w:rPr>
              <w:t xml:space="preserve">Certified Site-Based Day Services </w:t>
            </w:r>
          </w:p>
          <w:p w14:paraId="7520F5D5" w14:textId="6E1948B6" w:rsidR="00CE5FBE" w:rsidRPr="00CE5FBE" w:rsidRDefault="00CE5FBE">
            <w:pPr>
              <w:rPr>
                <w:rFonts w:asciiTheme="majorHAnsi" w:hAnsiTheme="majorHAnsi" w:cstheme="majorHAnsi"/>
              </w:rPr>
            </w:pPr>
            <w:r w:rsidRPr="00CE5FBE">
              <w:rPr>
                <w:rFonts w:asciiTheme="majorHAnsi" w:hAnsiTheme="majorHAnsi" w:cstheme="majorHAnsi"/>
              </w:rPr>
              <w:t xml:space="preserve">Day </w:t>
            </w:r>
            <w:proofErr w:type="spellStart"/>
            <w:r w:rsidRPr="00CE5FBE">
              <w:rPr>
                <w:rFonts w:asciiTheme="majorHAnsi" w:hAnsiTheme="majorHAnsi" w:cstheme="majorHAnsi"/>
              </w:rPr>
              <w:t>Hab</w:t>
            </w:r>
            <w:proofErr w:type="spellEnd"/>
            <w:r>
              <w:rPr>
                <w:rFonts w:asciiTheme="majorHAnsi" w:hAnsiTheme="majorHAnsi" w:cstheme="majorHAnsi"/>
              </w:rPr>
              <w:t>, site-based pre-</w:t>
            </w:r>
            <w:proofErr w:type="spellStart"/>
            <w:r>
              <w:rPr>
                <w:rFonts w:asciiTheme="majorHAnsi" w:hAnsiTheme="majorHAnsi" w:cstheme="majorHAnsi"/>
              </w:rPr>
              <w:t>voc</w:t>
            </w:r>
            <w:proofErr w:type="spellEnd"/>
            <w:r>
              <w:rPr>
                <w:rFonts w:asciiTheme="majorHAnsi" w:hAnsiTheme="majorHAnsi" w:cstheme="majorHAnsi"/>
              </w:rPr>
              <w:t xml:space="preserve">, site-based respite, pathway to employment </w:t>
            </w:r>
          </w:p>
        </w:tc>
        <w:tc>
          <w:tcPr>
            <w:tcW w:w="2337" w:type="dxa"/>
          </w:tcPr>
          <w:p w14:paraId="0C83E910" w14:textId="419C7B88" w:rsidR="00CE5FBE" w:rsidRPr="00242660" w:rsidRDefault="00242660">
            <w:pPr>
              <w:rPr>
                <w:rFonts w:asciiTheme="majorHAnsi" w:hAnsiTheme="majorHAnsi" w:cstheme="majorHAnsi"/>
                <w:b/>
                <w:bCs/>
              </w:rPr>
            </w:pPr>
            <w:r w:rsidRPr="00242660">
              <w:rPr>
                <w:rFonts w:asciiTheme="majorHAnsi" w:hAnsiTheme="majorHAnsi" w:cstheme="majorHAnsi"/>
                <w:b/>
                <w:bCs/>
              </w:rPr>
              <w:t xml:space="preserve">SUSPENDED </w:t>
            </w:r>
          </w:p>
        </w:tc>
        <w:tc>
          <w:tcPr>
            <w:tcW w:w="2338" w:type="dxa"/>
          </w:tcPr>
          <w:p w14:paraId="3B90C7E1" w14:textId="7264C8B9" w:rsidR="00CE5FBE" w:rsidRPr="00242660" w:rsidRDefault="00242660">
            <w:pPr>
              <w:rPr>
                <w:rFonts w:asciiTheme="majorHAnsi" w:hAnsiTheme="majorHAnsi" w:cstheme="majorHAnsi"/>
                <w:b/>
                <w:bCs/>
              </w:rPr>
            </w:pPr>
            <w:r w:rsidRPr="00242660">
              <w:rPr>
                <w:rFonts w:asciiTheme="majorHAnsi" w:hAnsiTheme="majorHAnsi" w:cstheme="majorHAnsi"/>
                <w:b/>
                <w:bCs/>
              </w:rPr>
              <w:t xml:space="preserve">SUSPENDED </w:t>
            </w:r>
          </w:p>
        </w:tc>
        <w:tc>
          <w:tcPr>
            <w:tcW w:w="2338" w:type="dxa"/>
          </w:tcPr>
          <w:p w14:paraId="594D2AC7" w14:textId="77777777" w:rsidR="00CE5FBE" w:rsidRPr="00242660" w:rsidRDefault="00242660">
            <w:pPr>
              <w:rPr>
                <w:rFonts w:asciiTheme="majorHAnsi" w:hAnsiTheme="majorHAnsi" w:cstheme="majorHAnsi"/>
                <w:b/>
                <w:bCs/>
              </w:rPr>
            </w:pPr>
            <w:r w:rsidRPr="00242660">
              <w:rPr>
                <w:rFonts w:asciiTheme="majorHAnsi" w:hAnsiTheme="majorHAnsi" w:cstheme="majorHAnsi"/>
                <w:b/>
                <w:bCs/>
              </w:rPr>
              <w:t xml:space="preserve">OPEN </w:t>
            </w:r>
          </w:p>
          <w:p w14:paraId="3CAF2922" w14:textId="77777777" w:rsidR="00242660" w:rsidRDefault="00242660">
            <w:pPr>
              <w:rPr>
                <w:rFonts w:asciiTheme="majorHAnsi" w:hAnsiTheme="majorHAnsi" w:cstheme="majorHAnsi"/>
              </w:rPr>
            </w:pPr>
          </w:p>
          <w:p w14:paraId="3C421A17" w14:textId="77777777" w:rsidR="00242660" w:rsidRDefault="00242660">
            <w:pPr>
              <w:rPr>
                <w:rFonts w:asciiTheme="majorHAnsi" w:hAnsiTheme="majorHAnsi" w:cstheme="majorHAnsi"/>
              </w:rPr>
            </w:pPr>
            <w:r>
              <w:rPr>
                <w:rFonts w:asciiTheme="majorHAnsi" w:hAnsiTheme="majorHAnsi" w:cstheme="majorHAnsi"/>
              </w:rPr>
              <w:t>-In compliance with OPWDD’s Interim Guidance for Day Services Reopening and the Day Program Reopening Safety Plans</w:t>
            </w:r>
          </w:p>
          <w:p w14:paraId="5BE7F249" w14:textId="77777777" w:rsidR="00242660" w:rsidRDefault="00242660">
            <w:pPr>
              <w:rPr>
                <w:rFonts w:asciiTheme="majorHAnsi" w:hAnsiTheme="majorHAnsi" w:cstheme="majorHAnsi"/>
              </w:rPr>
            </w:pPr>
          </w:p>
          <w:p w14:paraId="3C50DE00" w14:textId="0974D0B2" w:rsidR="00242660" w:rsidRDefault="00242660">
            <w:pPr>
              <w:rPr>
                <w:rFonts w:asciiTheme="majorHAnsi" w:hAnsiTheme="majorHAnsi" w:cstheme="majorHAnsi"/>
              </w:rPr>
            </w:pPr>
            <w:r>
              <w:rPr>
                <w:rFonts w:asciiTheme="majorHAnsi" w:hAnsiTheme="majorHAnsi" w:cstheme="majorHAnsi"/>
              </w:rPr>
              <w:t xml:space="preserve">-Weekly Testing Recommended </w:t>
            </w:r>
          </w:p>
        </w:tc>
      </w:tr>
      <w:tr w:rsidR="00CE5FBE" w14:paraId="6E5F15A2" w14:textId="77777777" w:rsidTr="00CE5FBE">
        <w:trPr>
          <w:trHeight w:val="1970"/>
        </w:trPr>
        <w:tc>
          <w:tcPr>
            <w:tcW w:w="2337" w:type="dxa"/>
          </w:tcPr>
          <w:p w14:paraId="04AC3A2E" w14:textId="798D8DE9" w:rsidR="00242660" w:rsidRPr="00242660" w:rsidRDefault="00CE5FBE">
            <w:pPr>
              <w:rPr>
                <w:rFonts w:asciiTheme="majorHAnsi" w:hAnsiTheme="majorHAnsi" w:cstheme="majorHAnsi"/>
                <w:b/>
                <w:bCs/>
                <w:u w:val="single"/>
              </w:rPr>
            </w:pPr>
            <w:r w:rsidRPr="00242660">
              <w:rPr>
                <w:rFonts w:asciiTheme="majorHAnsi" w:hAnsiTheme="majorHAnsi" w:cstheme="majorHAnsi"/>
                <w:b/>
                <w:bCs/>
                <w:u w:val="single"/>
              </w:rPr>
              <w:t xml:space="preserve">Group Non-Site-Based Services </w:t>
            </w:r>
          </w:p>
          <w:p w14:paraId="09D0DD01" w14:textId="55A0168A" w:rsidR="00242660" w:rsidRPr="00242660" w:rsidRDefault="00242660">
            <w:pPr>
              <w:rPr>
                <w:rFonts w:asciiTheme="majorHAnsi" w:hAnsiTheme="majorHAnsi" w:cstheme="majorHAnsi"/>
              </w:rPr>
            </w:pPr>
            <w:r>
              <w:rPr>
                <w:rFonts w:asciiTheme="majorHAnsi" w:hAnsiTheme="majorHAnsi" w:cstheme="majorHAnsi"/>
              </w:rPr>
              <w:t xml:space="preserve">Day </w:t>
            </w:r>
            <w:proofErr w:type="spellStart"/>
            <w:r>
              <w:rPr>
                <w:rFonts w:asciiTheme="majorHAnsi" w:hAnsiTheme="majorHAnsi" w:cstheme="majorHAnsi"/>
              </w:rPr>
              <w:t>Hab</w:t>
            </w:r>
            <w:proofErr w:type="spellEnd"/>
            <w:r>
              <w:rPr>
                <w:rFonts w:asciiTheme="majorHAnsi" w:hAnsiTheme="majorHAnsi" w:cstheme="majorHAnsi"/>
              </w:rPr>
              <w:t xml:space="preserve"> without walls, community based </w:t>
            </w:r>
            <w:proofErr w:type="spellStart"/>
            <w:r>
              <w:rPr>
                <w:rFonts w:asciiTheme="majorHAnsi" w:hAnsiTheme="majorHAnsi" w:cstheme="majorHAnsi"/>
              </w:rPr>
              <w:t>prevoc</w:t>
            </w:r>
            <w:proofErr w:type="spellEnd"/>
            <w:r>
              <w:rPr>
                <w:rFonts w:asciiTheme="majorHAnsi" w:hAnsiTheme="majorHAnsi" w:cstheme="majorHAnsi"/>
              </w:rPr>
              <w:t xml:space="preserve"> services, non-site-based respite, community </w:t>
            </w:r>
            <w:proofErr w:type="spellStart"/>
            <w:r>
              <w:rPr>
                <w:rFonts w:asciiTheme="majorHAnsi" w:hAnsiTheme="majorHAnsi" w:cstheme="majorHAnsi"/>
              </w:rPr>
              <w:t>hab</w:t>
            </w:r>
            <w:proofErr w:type="spellEnd"/>
            <w:r>
              <w:rPr>
                <w:rFonts w:asciiTheme="majorHAnsi" w:hAnsiTheme="majorHAnsi" w:cstheme="majorHAnsi"/>
              </w:rPr>
              <w:t>-group, SEMP- group</w:t>
            </w:r>
          </w:p>
        </w:tc>
        <w:tc>
          <w:tcPr>
            <w:tcW w:w="2337" w:type="dxa"/>
          </w:tcPr>
          <w:p w14:paraId="2CBB1E58" w14:textId="49A8BC2E" w:rsidR="00CE5FBE" w:rsidRPr="00242660" w:rsidRDefault="00242660">
            <w:pPr>
              <w:rPr>
                <w:rFonts w:asciiTheme="majorHAnsi" w:hAnsiTheme="majorHAnsi" w:cstheme="majorHAnsi"/>
                <w:b/>
                <w:bCs/>
              </w:rPr>
            </w:pPr>
            <w:r w:rsidRPr="00242660">
              <w:rPr>
                <w:rFonts w:asciiTheme="majorHAnsi" w:hAnsiTheme="majorHAnsi" w:cstheme="majorHAnsi"/>
                <w:b/>
                <w:bCs/>
              </w:rPr>
              <w:t xml:space="preserve">SUSPENDED </w:t>
            </w:r>
          </w:p>
        </w:tc>
        <w:tc>
          <w:tcPr>
            <w:tcW w:w="2338" w:type="dxa"/>
          </w:tcPr>
          <w:p w14:paraId="7670EAFB" w14:textId="77777777" w:rsidR="00CE5FBE" w:rsidRPr="00242660" w:rsidRDefault="00242660">
            <w:pPr>
              <w:rPr>
                <w:rFonts w:asciiTheme="majorHAnsi" w:hAnsiTheme="majorHAnsi" w:cstheme="majorHAnsi"/>
                <w:b/>
                <w:bCs/>
              </w:rPr>
            </w:pPr>
            <w:r w:rsidRPr="00242660">
              <w:rPr>
                <w:rFonts w:asciiTheme="majorHAnsi" w:hAnsiTheme="majorHAnsi" w:cstheme="majorHAnsi"/>
                <w:b/>
                <w:bCs/>
              </w:rPr>
              <w:t xml:space="preserve">OPEN </w:t>
            </w:r>
          </w:p>
          <w:p w14:paraId="6D091AD2" w14:textId="77777777" w:rsidR="00242660" w:rsidRDefault="00242660">
            <w:pPr>
              <w:rPr>
                <w:rFonts w:asciiTheme="majorHAnsi" w:hAnsiTheme="majorHAnsi" w:cstheme="majorHAnsi"/>
              </w:rPr>
            </w:pPr>
          </w:p>
          <w:p w14:paraId="09432CFE" w14:textId="77777777" w:rsidR="00242660" w:rsidRDefault="00242660">
            <w:pPr>
              <w:rPr>
                <w:rFonts w:asciiTheme="majorHAnsi" w:hAnsiTheme="majorHAnsi" w:cstheme="majorHAnsi"/>
              </w:rPr>
            </w:pPr>
            <w:r>
              <w:rPr>
                <w:rFonts w:asciiTheme="majorHAnsi" w:hAnsiTheme="majorHAnsi" w:cstheme="majorHAnsi"/>
              </w:rPr>
              <w:t xml:space="preserve">-10 Person capacity (inclusive of individuals and staff) </w:t>
            </w:r>
          </w:p>
          <w:p w14:paraId="39C29806" w14:textId="77777777" w:rsidR="00242660" w:rsidRDefault="00242660">
            <w:pPr>
              <w:rPr>
                <w:rFonts w:asciiTheme="majorHAnsi" w:hAnsiTheme="majorHAnsi" w:cstheme="majorHAnsi"/>
              </w:rPr>
            </w:pPr>
          </w:p>
          <w:p w14:paraId="0F5C69DB" w14:textId="77777777" w:rsidR="00242660" w:rsidRDefault="00242660">
            <w:pPr>
              <w:rPr>
                <w:rFonts w:asciiTheme="majorHAnsi" w:hAnsiTheme="majorHAnsi" w:cstheme="majorHAnsi"/>
              </w:rPr>
            </w:pPr>
          </w:p>
          <w:p w14:paraId="5FC74624" w14:textId="77777777" w:rsidR="00242660" w:rsidRDefault="00242660">
            <w:pPr>
              <w:rPr>
                <w:rFonts w:asciiTheme="majorHAnsi" w:hAnsiTheme="majorHAnsi" w:cstheme="majorHAnsi"/>
              </w:rPr>
            </w:pPr>
          </w:p>
          <w:p w14:paraId="3689929B" w14:textId="77777777" w:rsidR="00242660" w:rsidRDefault="00242660">
            <w:pPr>
              <w:rPr>
                <w:rFonts w:asciiTheme="majorHAnsi" w:hAnsiTheme="majorHAnsi" w:cstheme="majorHAnsi"/>
              </w:rPr>
            </w:pPr>
          </w:p>
          <w:p w14:paraId="2187EB8A" w14:textId="7ADACA23" w:rsidR="00242660" w:rsidRDefault="00242660">
            <w:pPr>
              <w:rPr>
                <w:rFonts w:asciiTheme="majorHAnsi" w:hAnsiTheme="majorHAnsi" w:cstheme="majorHAnsi"/>
              </w:rPr>
            </w:pPr>
            <w:r>
              <w:rPr>
                <w:rFonts w:asciiTheme="majorHAnsi" w:hAnsiTheme="majorHAnsi" w:cstheme="majorHAnsi"/>
              </w:rPr>
              <w:t xml:space="preserve">-Weekly Testing Recommended </w:t>
            </w:r>
          </w:p>
        </w:tc>
        <w:tc>
          <w:tcPr>
            <w:tcW w:w="2338" w:type="dxa"/>
          </w:tcPr>
          <w:p w14:paraId="2C41BB55" w14:textId="77777777" w:rsidR="00CE5FBE" w:rsidRPr="00242660" w:rsidRDefault="00242660">
            <w:pPr>
              <w:rPr>
                <w:rFonts w:asciiTheme="majorHAnsi" w:hAnsiTheme="majorHAnsi" w:cstheme="majorHAnsi"/>
                <w:b/>
                <w:bCs/>
              </w:rPr>
            </w:pPr>
            <w:r w:rsidRPr="00242660">
              <w:rPr>
                <w:rFonts w:asciiTheme="majorHAnsi" w:hAnsiTheme="majorHAnsi" w:cstheme="majorHAnsi"/>
                <w:b/>
                <w:bCs/>
              </w:rPr>
              <w:t>OPEN</w:t>
            </w:r>
          </w:p>
          <w:p w14:paraId="0A7CBFDE" w14:textId="77777777" w:rsidR="00242660" w:rsidRDefault="00242660">
            <w:pPr>
              <w:rPr>
                <w:rFonts w:asciiTheme="majorHAnsi" w:hAnsiTheme="majorHAnsi" w:cstheme="majorHAnsi"/>
              </w:rPr>
            </w:pPr>
          </w:p>
          <w:p w14:paraId="5C831D68" w14:textId="77777777" w:rsidR="00242660" w:rsidRDefault="00242660">
            <w:pPr>
              <w:rPr>
                <w:rFonts w:asciiTheme="majorHAnsi" w:hAnsiTheme="majorHAnsi" w:cstheme="majorHAnsi"/>
              </w:rPr>
            </w:pPr>
            <w:r>
              <w:rPr>
                <w:rFonts w:asciiTheme="majorHAnsi" w:hAnsiTheme="majorHAnsi" w:cstheme="majorHAnsi"/>
              </w:rPr>
              <w:t>-In compliance with OPWDD’s Interim Guidance for Day Services Reopening and the Day Program Reopening Safety Plans</w:t>
            </w:r>
          </w:p>
          <w:p w14:paraId="43F987A2" w14:textId="77777777" w:rsidR="00242660" w:rsidRDefault="00242660">
            <w:pPr>
              <w:rPr>
                <w:rFonts w:asciiTheme="majorHAnsi" w:hAnsiTheme="majorHAnsi" w:cstheme="majorHAnsi"/>
              </w:rPr>
            </w:pPr>
          </w:p>
          <w:p w14:paraId="7663D13D" w14:textId="607B3C62" w:rsidR="00242660" w:rsidRDefault="00242660">
            <w:pPr>
              <w:rPr>
                <w:rFonts w:asciiTheme="majorHAnsi" w:hAnsiTheme="majorHAnsi" w:cstheme="majorHAnsi"/>
              </w:rPr>
            </w:pPr>
            <w:r>
              <w:rPr>
                <w:rFonts w:asciiTheme="majorHAnsi" w:hAnsiTheme="majorHAnsi" w:cstheme="majorHAnsi"/>
              </w:rPr>
              <w:t xml:space="preserve">-Weekly Testing Recommended </w:t>
            </w:r>
          </w:p>
        </w:tc>
      </w:tr>
      <w:tr w:rsidR="00CE5FBE" w14:paraId="68669579" w14:textId="77777777" w:rsidTr="00CE5FBE">
        <w:trPr>
          <w:trHeight w:val="1610"/>
        </w:trPr>
        <w:tc>
          <w:tcPr>
            <w:tcW w:w="2337" w:type="dxa"/>
          </w:tcPr>
          <w:p w14:paraId="138686A0" w14:textId="77777777" w:rsidR="00CE5FBE" w:rsidRPr="00242660" w:rsidRDefault="00242660">
            <w:pPr>
              <w:rPr>
                <w:rFonts w:asciiTheme="majorHAnsi" w:hAnsiTheme="majorHAnsi" w:cstheme="majorHAnsi"/>
                <w:b/>
                <w:bCs/>
                <w:u w:val="single"/>
              </w:rPr>
            </w:pPr>
            <w:r w:rsidRPr="00242660">
              <w:rPr>
                <w:rFonts w:asciiTheme="majorHAnsi" w:hAnsiTheme="majorHAnsi" w:cstheme="majorHAnsi"/>
                <w:b/>
                <w:bCs/>
                <w:u w:val="single"/>
              </w:rPr>
              <w:lastRenderedPageBreak/>
              <w:t>Non-Group Non-Site-Based Services</w:t>
            </w:r>
          </w:p>
          <w:p w14:paraId="50CDC716" w14:textId="1AE1CFFC" w:rsidR="00242660" w:rsidRPr="00242660" w:rsidRDefault="00242660">
            <w:pPr>
              <w:rPr>
                <w:rFonts w:asciiTheme="majorHAnsi" w:hAnsiTheme="majorHAnsi" w:cstheme="majorHAnsi"/>
              </w:rPr>
            </w:pPr>
            <w:r>
              <w:rPr>
                <w:rFonts w:asciiTheme="majorHAnsi" w:hAnsiTheme="majorHAnsi" w:cstheme="majorHAnsi"/>
              </w:rPr>
              <w:t xml:space="preserve">Services provided to 1-3 individuals: community </w:t>
            </w:r>
            <w:proofErr w:type="spellStart"/>
            <w:r>
              <w:rPr>
                <w:rFonts w:asciiTheme="majorHAnsi" w:hAnsiTheme="majorHAnsi" w:cstheme="majorHAnsi"/>
              </w:rPr>
              <w:t>hab</w:t>
            </w:r>
            <w:proofErr w:type="spellEnd"/>
            <w:r>
              <w:rPr>
                <w:rFonts w:asciiTheme="majorHAnsi" w:hAnsiTheme="majorHAnsi" w:cstheme="majorHAnsi"/>
              </w:rPr>
              <w:t xml:space="preserve">, respite, employment training, SEMP, community based </w:t>
            </w:r>
            <w:proofErr w:type="spellStart"/>
            <w:r>
              <w:rPr>
                <w:rFonts w:asciiTheme="majorHAnsi" w:hAnsiTheme="majorHAnsi" w:cstheme="majorHAnsi"/>
              </w:rPr>
              <w:t>prevoc</w:t>
            </w:r>
            <w:proofErr w:type="spellEnd"/>
            <w:r>
              <w:rPr>
                <w:rFonts w:asciiTheme="majorHAnsi" w:hAnsiTheme="majorHAnsi" w:cstheme="majorHAnsi"/>
              </w:rPr>
              <w:t xml:space="preserve"> services </w:t>
            </w:r>
          </w:p>
        </w:tc>
        <w:tc>
          <w:tcPr>
            <w:tcW w:w="2337" w:type="dxa"/>
          </w:tcPr>
          <w:p w14:paraId="5B9E51B1" w14:textId="77777777" w:rsidR="00CE5FBE" w:rsidRPr="00C9093F" w:rsidRDefault="00242660">
            <w:pPr>
              <w:rPr>
                <w:rFonts w:asciiTheme="majorHAnsi" w:hAnsiTheme="majorHAnsi" w:cstheme="majorHAnsi"/>
                <w:b/>
                <w:bCs/>
              </w:rPr>
            </w:pPr>
            <w:r w:rsidRPr="00C9093F">
              <w:rPr>
                <w:rFonts w:asciiTheme="majorHAnsi" w:hAnsiTheme="majorHAnsi" w:cstheme="majorHAnsi"/>
                <w:b/>
                <w:bCs/>
              </w:rPr>
              <w:t>OPEN</w:t>
            </w:r>
          </w:p>
          <w:p w14:paraId="13C88C94" w14:textId="77777777" w:rsidR="00242660" w:rsidRDefault="00242660">
            <w:pPr>
              <w:rPr>
                <w:rFonts w:asciiTheme="majorHAnsi" w:hAnsiTheme="majorHAnsi" w:cstheme="majorHAnsi"/>
              </w:rPr>
            </w:pPr>
          </w:p>
          <w:p w14:paraId="76E2756F" w14:textId="77777777" w:rsidR="00242660" w:rsidRDefault="00242660">
            <w:pPr>
              <w:rPr>
                <w:rFonts w:asciiTheme="majorHAnsi" w:hAnsiTheme="majorHAnsi" w:cstheme="majorHAnsi"/>
              </w:rPr>
            </w:pPr>
            <w:r>
              <w:rPr>
                <w:rFonts w:asciiTheme="majorHAnsi" w:hAnsiTheme="majorHAnsi" w:cstheme="majorHAnsi"/>
              </w:rPr>
              <w:t>-2 Person capacity (inclusive of individuals and staff)</w:t>
            </w:r>
          </w:p>
          <w:p w14:paraId="2AC72A55" w14:textId="77777777" w:rsidR="00242660" w:rsidRDefault="00242660">
            <w:pPr>
              <w:rPr>
                <w:rFonts w:asciiTheme="majorHAnsi" w:hAnsiTheme="majorHAnsi" w:cstheme="majorHAnsi"/>
              </w:rPr>
            </w:pPr>
          </w:p>
          <w:p w14:paraId="316572B4" w14:textId="77777777" w:rsidR="00242660" w:rsidRDefault="00242660">
            <w:pPr>
              <w:rPr>
                <w:rFonts w:asciiTheme="majorHAnsi" w:hAnsiTheme="majorHAnsi" w:cstheme="majorHAnsi"/>
              </w:rPr>
            </w:pPr>
          </w:p>
          <w:p w14:paraId="1DACF23D" w14:textId="77777777" w:rsidR="00242660" w:rsidRDefault="00242660">
            <w:pPr>
              <w:rPr>
                <w:rFonts w:asciiTheme="majorHAnsi" w:hAnsiTheme="majorHAnsi" w:cstheme="majorHAnsi"/>
              </w:rPr>
            </w:pPr>
          </w:p>
          <w:p w14:paraId="015B6BBE" w14:textId="32DC8790" w:rsidR="00242660" w:rsidRDefault="00242660">
            <w:pPr>
              <w:rPr>
                <w:rFonts w:asciiTheme="majorHAnsi" w:hAnsiTheme="majorHAnsi" w:cstheme="majorHAnsi"/>
              </w:rPr>
            </w:pPr>
            <w:r>
              <w:rPr>
                <w:rFonts w:asciiTheme="majorHAnsi" w:hAnsiTheme="majorHAnsi" w:cstheme="majorHAnsi"/>
              </w:rPr>
              <w:t xml:space="preserve">-Weekly Testing Recommended </w:t>
            </w:r>
          </w:p>
        </w:tc>
        <w:tc>
          <w:tcPr>
            <w:tcW w:w="2338" w:type="dxa"/>
          </w:tcPr>
          <w:p w14:paraId="4F355D46" w14:textId="77777777" w:rsidR="00CE5FBE" w:rsidRPr="00C9093F" w:rsidRDefault="00242660">
            <w:pPr>
              <w:rPr>
                <w:rFonts w:asciiTheme="majorHAnsi" w:hAnsiTheme="majorHAnsi" w:cstheme="majorHAnsi"/>
                <w:b/>
                <w:bCs/>
              </w:rPr>
            </w:pPr>
            <w:r w:rsidRPr="00C9093F">
              <w:rPr>
                <w:rFonts w:asciiTheme="majorHAnsi" w:hAnsiTheme="majorHAnsi" w:cstheme="majorHAnsi"/>
                <w:b/>
                <w:bCs/>
              </w:rPr>
              <w:t xml:space="preserve">OPEN </w:t>
            </w:r>
          </w:p>
          <w:p w14:paraId="61221EB9" w14:textId="77777777" w:rsidR="00242660" w:rsidRDefault="00242660">
            <w:pPr>
              <w:rPr>
                <w:rFonts w:asciiTheme="majorHAnsi" w:hAnsiTheme="majorHAnsi" w:cstheme="majorHAnsi"/>
              </w:rPr>
            </w:pPr>
          </w:p>
          <w:p w14:paraId="4911E9C8" w14:textId="77777777" w:rsidR="00242660" w:rsidRDefault="00242660">
            <w:pPr>
              <w:rPr>
                <w:rFonts w:asciiTheme="majorHAnsi" w:hAnsiTheme="majorHAnsi" w:cstheme="majorHAnsi"/>
              </w:rPr>
            </w:pPr>
            <w:r>
              <w:rPr>
                <w:rFonts w:asciiTheme="majorHAnsi" w:hAnsiTheme="majorHAnsi" w:cstheme="majorHAnsi"/>
              </w:rPr>
              <w:t xml:space="preserve">-4 Person capacity (inclusive of individuals and staff) </w:t>
            </w:r>
          </w:p>
          <w:p w14:paraId="438D5935" w14:textId="77777777" w:rsidR="00242660" w:rsidRDefault="00242660">
            <w:pPr>
              <w:rPr>
                <w:rFonts w:asciiTheme="majorHAnsi" w:hAnsiTheme="majorHAnsi" w:cstheme="majorHAnsi"/>
              </w:rPr>
            </w:pPr>
          </w:p>
          <w:p w14:paraId="515F2230" w14:textId="77777777" w:rsidR="00242660" w:rsidRDefault="00242660">
            <w:pPr>
              <w:rPr>
                <w:rFonts w:asciiTheme="majorHAnsi" w:hAnsiTheme="majorHAnsi" w:cstheme="majorHAnsi"/>
              </w:rPr>
            </w:pPr>
          </w:p>
          <w:p w14:paraId="6762F6C2" w14:textId="77777777" w:rsidR="00242660" w:rsidRDefault="00242660">
            <w:pPr>
              <w:rPr>
                <w:rFonts w:asciiTheme="majorHAnsi" w:hAnsiTheme="majorHAnsi" w:cstheme="majorHAnsi"/>
              </w:rPr>
            </w:pPr>
          </w:p>
          <w:p w14:paraId="2B40F5D9" w14:textId="68FD64A5" w:rsidR="00242660" w:rsidRDefault="00242660">
            <w:pPr>
              <w:rPr>
                <w:rFonts w:asciiTheme="majorHAnsi" w:hAnsiTheme="majorHAnsi" w:cstheme="majorHAnsi"/>
              </w:rPr>
            </w:pPr>
            <w:r>
              <w:rPr>
                <w:rFonts w:asciiTheme="majorHAnsi" w:hAnsiTheme="majorHAnsi" w:cstheme="majorHAnsi"/>
              </w:rPr>
              <w:t xml:space="preserve">-Weekly Testing Recommended </w:t>
            </w:r>
          </w:p>
        </w:tc>
        <w:tc>
          <w:tcPr>
            <w:tcW w:w="2338" w:type="dxa"/>
          </w:tcPr>
          <w:p w14:paraId="4C498FE0" w14:textId="77777777" w:rsidR="00CE5FBE" w:rsidRPr="00C9093F" w:rsidRDefault="00242660">
            <w:pPr>
              <w:rPr>
                <w:rFonts w:asciiTheme="majorHAnsi" w:hAnsiTheme="majorHAnsi" w:cstheme="majorHAnsi"/>
                <w:b/>
                <w:bCs/>
              </w:rPr>
            </w:pPr>
            <w:r w:rsidRPr="00C9093F">
              <w:rPr>
                <w:rFonts w:asciiTheme="majorHAnsi" w:hAnsiTheme="majorHAnsi" w:cstheme="majorHAnsi"/>
                <w:b/>
                <w:bCs/>
              </w:rPr>
              <w:t>OPEN</w:t>
            </w:r>
          </w:p>
          <w:p w14:paraId="43144211" w14:textId="77777777" w:rsidR="00242660" w:rsidRDefault="00242660">
            <w:pPr>
              <w:rPr>
                <w:rFonts w:asciiTheme="majorHAnsi" w:hAnsiTheme="majorHAnsi" w:cstheme="majorHAnsi"/>
              </w:rPr>
            </w:pPr>
          </w:p>
          <w:p w14:paraId="7624448C" w14:textId="21E20141" w:rsidR="00242660" w:rsidRDefault="00242660">
            <w:pPr>
              <w:rPr>
                <w:rFonts w:asciiTheme="majorHAnsi" w:hAnsiTheme="majorHAnsi" w:cstheme="majorHAnsi"/>
              </w:rPr>
            </w:pPr>
            <w:r>
              <w:rPr>
                <w:rFonts w:asciiTheme="majorHAnsi" w:hAnsiTheme="majorHAnsi" w:cstheme="majorHAnsi"/>
              </w:rPr>
              <w:t xml:space="preserve">Weekly Testing Recommended </w:t>
            </w:r>
          </w:p>
        </w:tc>
      </w:tr>
    </w:tbl>
    <w:p w14:paraId="52C10CA5" w14:textId="77777777" w:rsidR="00F34CD5" w:rsidRDefault="00F34CD5">
      <w:pPr>
        <w:rPr>
          <w:rFonts w:asciiTheme="majorHAnsi" w:hAnsiTheme="majorHAnsi" w:cstheme="majorHAnsi"/>
        </w:rPr>
      </w:pPr>
    </w:p>
    <w:p w14:paraId="6007A7EF" w14:textId="5864E4C0" w:rsidR="00F42CB9" w:rsidRDefault="00C9093F">
      <w:pPr>
        <w:rPr>
          <w:rFonts w:asciiTheme="majorHAnsi" w:hAnsiTheme="majorHAnsi" w:cstheme="majorHAnsi"/>
        </w:rPr>
      </w:pPr>
      <w:r>
        <w:rPr>
          <w:rFonts w:asciiTheme="majorHAnsi" w:hAnsiTheme="majorHAnsi" w:cstheme="majorHAnsi"/>
        </w:rPr>
        <w:tab/>
      </w:r>
      <w:r w:rsidR="00F42CB9">
        <w:rPr>
          <w:rFonts w:asciiTheme="majorHAnsi" w:hAnsiTheme="majorHAnsi" w:cstheme="majorHAnsi"/>
        </w:rPr>
        <w:t xml:space="preserve">If you would like to check to see if your location is in a hot spot zone, please go to </w:t>
      </w:r>
      <w:hyperlink r:id="rId7" w:history="1">
        <w:r w:rsidR="00F42CB9" w:rsidRPr="00FB05F9">
          <w:rPr>
            <w:rStyle w:val="Hyperlink"/>
            <w:rFonts w:asciiTheme="majorHAnsi" w:hAnsiTheme="majorHAnsi" w:cstheme="majorHAnsi"/>
          </w:rPr>
          <w:t>https://forward.ny.gov/</w:t>
        </w:r>
      </w:hyperlink>
      <w:r w:rsidR="00F42CB9">
        <w:rPr>
          <w:rFonts w:asciiTheme="majorHAnsi" w:hAnsiTheme="majorHAnsi" w:cstheme="majorHAnsi"/>
        </w:rPr>
        <w:t xml:space="preserve"> and you can plug in your address. </w:t>
      </w:r>
    </w:p>
    <w:p w14:paraId="23F0FC37" w14:textId="31A88D84" w:rsidR="002459E2" w:rsidRDefault="00C9093F">
      <w:pPr>
        <w:rPr>
          <w:rFonts w:asciiTheme="majorHAnsi" w:hAnsiTheme="majorHAnsi" w:cstheme="majorHAnsi"/>
        </w:rPr>
      </w:pPr>
      <w:r>
        <w:rPr>
          <w:rFonts w:asciiTheme="majorHAnsi" w:hAnsiTheme="majorHAnsi" w:cstheme="majorHAnsi"/>
        </w:rPr>
        <w:tab/>
      </w:r>
      <w:r w:rsidR="00F42CB9">
        <w:rPr>
          <w:rFonts w:asciiTheme="majorHAnsi" w:hAnsiTheme="majorHAnsi" w:cstheme="majorHAnsi"/>
        </w:rPr>
        <w:t xml:space="preserve">Trinity is committed to ensuring for the health and safety for </w:t>
      </w:r>
      <w:proofErr w:type="gramStart"/>
      <w:r w:rsidR="00F42CB9">
        <w:rPr>
          <w:rFonts w:asciiTheme="majorHAnsi" w:hAnsiTheme="majorHAnsi" w:cstheme="majorHAnsi"/>
        </w:rPr>
        <w:t>all of</w:t>
      </w:r>
      <w:proofErr w:type="gramEnd"/>
      <w:r w:rsidR="00F42CB9">
        <w:rPr>
          <w:rFonts w:asciiTheme="majorHAnsi" w:hAnsiTheme="majorHAnsi" w:cstheme="majorHAnsi"/>
        </w:rPr>
        <w:t xml:space="preserve"> our employees, people supported and families. We will continue to monitor the status of the area’s in which we provide services and alert any of those that may be affected. </w:t>
      </w:r>
    </w:p>
    <w:p w14:paraId="00B0E8A2" w14:textId="2A49CCC8" w:rsidR="002459E2" w:rsidRPr="000048D2" w:rsidRDefault="00C9093F">
      <w:pPr>
        <w:rPr>
          <w:rFonts w:asciiTheme="majorHAnsi" w:hAnsiTheme="majorHAnsi" w:cstheme="majorHAnsi"/>
        </w:rPr>
      </w:pPr>
      <w:r>
        <w:rPr>
          <w:rFonts w:asciiTheme="majorHAnsi" w:hAnsiTheme="majorHAnsi" w:cstheme="majorHAnsi"/>
        </w:rPr>
        <w:tab/>
      </w:r>
      <w:r w:rsidR="00F42CB9">
        <w:rPr>
          <w:rFonts w:asciiTheme="majorHAnsi" w:hAnsiTheme="majorHAnsi" w:cstheme="majorHAnsi"/>
        </w:rPr>
        <w:t xml:space="preserve">As always, we want to thank </w:t>
      </w:r>
      <w:proofErr w:type="gramStart"/>
      <w:r w:rsidR="00F42CB9">
        <w:rPr>
          <w:rFonts w:asciiTheme="majorHAnsi" w:hAnsiTheme="majorHAnsi" w:cstheme="majorHAnsi"/>
        </w:rPr>
        <w:t>all of</w:t>
      </w:r>
      <w:proofErr w:type="gramEnd"/>
      <w:r w:rsidR="00F42CB9">
        <w:rPr>
          <w:rFonts w:asciiTheme="majorHAnsi" w:hAnsiTheme="majorHAnsi" w:cstheme="majorHAnsi"/>
        </w:rPr>
        <w:t xml:space="preserve"> our employees for continued dedication in providing </w:t>
      </w:r>
      <w:r w:rsidR="00F42CB9" w:rsidRPr="00C9093F">
        <w:rPr>
          <w:rFonts w:asciiTheme="majorHAnsi" w:hAnsiTheme="majorHAnsi" w:cstheme="majorHAnsi"/>
          <w:i/>
          <w:iCs/>
        </w:rPr>
        <w:t>quality</w:t>
      </w:r>
      <w:r w:rsidR="00F42CB9">
        <w:rPr>
          <w:rFonts w:asciiTheme="majorHAnsi" w:hAnsiTheme="majorHAnsi" w:cstheme="majorHAnsi"/>
        </w:rPr>
        <w:t xml:space="preserve"> services to the people we support</w:t>
      </w:r>
      <w:r>
        <w:rPr>
          <w:rFonts w:asciiTheme="majorHAnsi" w:hAnsiTheme="majorHAnsi" w:cstheme="majorHAnsi"/>
        </w:rPr>
        <w:t>.</w:t>
      </w:r>
      <w:r w:rsidR="00F42CB9">
        <w:rPr>
          <w:rFonts w:asciiTheme="majorHAnsi" w:hAnsiTheme="majorHAnsi" w:cstheme="majorHAnsi"/>
        </w:rPr>
        <w:t xml:space="preserve"> </w:t>
      </w:r>
      <w:r>
        <w:rPr>
          <w:rFonts w:asciiTheme="majorHAnsi" w:hAnsiTheme="majorHAnsi" w:cstheme="majorHAnsi"/>
        </w:rPr>
        <w:t>W</w:t>
      </w:r>
      <w:r w:rsidR="00F42CB9">
        <w:rPr>
          <w:rFonts w:asciiTheme="majorHAnsi" w:hAnsiTheme="majorHAnsi" w:cstheme="majorHAnsi"/>
        </w:rPr>
        <w:t xml:space="preserve">e hope for continued good health for all our employees, people supported and their families. </w:t>
      </w:r>
    </w:p>
    <w:p w14:paraId="72F094B0" w14:textId="3254BF39" w:rsidR="00D51E95" w:rsidRDefault="00D51E95">
      <w:pPr>
        <w:rPr>
          <w:rFonts w:asciiTheme="majorHAnsi" w:hAnsiTheme="majorHAnsi" w:cstheme="majorHAnsi"/>
        </w:rPr>
      </w:pPr>
    </w:p>
    <w:p w14:paraId="35B392E0" w14:textId="77777777" w:rsidR="00C9093F" w:rsidRPr="00E30406" w:rsidRDefault="00C9093F" w:rsidP="00C9093F">
      <w:pPr>
        <w:shd w:val="clear" w:color="auto" w:fill="FFFFFF"/>
        <w:spacing w:after="0"/>
        <w:textAlignment w:val="baseline"/>
        <w:rPr>
          <w:rFonts w:ascii="Segoe Print" w:hAnsi="Segoe Print"/>
          <w:color w:val="000000"/>
          <w:sz w:val="16"/>
          <w:szCs w:val="16"/>
        </w:rPr>
      </w:pPr>
      <w:r w:rsidRPr="00E30406">
        <w:rPr>
          <w:rFonts w:ascii="Segoe Print" w:hAnsi="Segoe Print"/>
          <w:color w:val="000000"/>
          <w:sz w:val="16"/>
          <w:szCs w:val="16"/>
          <w:bdr w:val="none" w:sz="0" w:space="0" w:color="auto" w:frame="1"/>
        </w:rPr>
        <w:t>Thank you, </w:t>
      </w:r>
    </w:p>
    <w:p w14:paraId="45167A02" w14:textId="77777777" w:rsidR="00C9093F" w:rsidRPr="00E30406" w:rsidRDefault="00C9093F" w:rsidP="00C9093F">
      <w:pPr>
        <w:shd w:val="clear" w:color="auto" w:fill="FFFFFF"/>
        <w:spacing w:after="0"/>
        <w:textAlignment w:val="baseline"/>
        <w:rPr>
          <w:rFonts w:ascii="Segoe Print" w:hAnsi="Segoe Print"/>
          <w:color w:val="000000"/>
          <w:sz w:val="16"/>
          <w:szCs w:val="16"/>
        </w:rPr>
      </w:pPr>
      <w:r w:rsidRPr="00E30406">
        <w:rPr>
          <w:rFonts w:ascii="Segoe Print" w:hAnsi="Segoe Print"/>
          <w:color w:val="000000"/>
          <w:sz w:val="16"/>
          <w:szCs w:val="16"/>
          <w:bdr w:val="none" w:sz="0" w:space="0" w:color="auto" w:frame="1"/>
        </w:rPr>
        <w:t>Ashley Vail, </w:t>
      </w:r>
      <w:r w:rsidRPr="00E30406">
        <w:rPr>
          <w:rFonts w:ascii="Segoe Print" w:hAnsi="Segoe Print"/>
          <w:i/>
          <w:iCs/>
          <w:color w:val="000000"/>
          <w:sz w:val="16"/>
          <w:szCs w:val="16"/>
          <w:bdr w:val="none" w:sz="0" w:space="0" w:color="auto" w:frame="1"/>
        </w:rPr>
        <w:t>MPA</w:t>
      </w:r>
      <w:r w:rsidRPr="00E30406">
        <w:rPr>
          <w:rFonts w:ascii="Segoe Print" w:hAnsi="Segoe Print"/>
          <w:color w:val="000000"/>
          <w:sz w:val="16"/>
          <w:szCs w:val="16"/>
          <w:bdr w:val="none" w:sz="0" w:space="0" w:color="auto" w:frame="1"/>
        </w:rPr>
        <w:t> </w:t>
      </w:r>
    </w:p>
    <w:p w14:paraId="0A538861" w14:textId="77777777" w:rsidR="00C9093F" w:rsidRPr="00E30406" w:rsidRDefault="00C9093F" w:rsidP="00C9093F">
      <w:pPr>
        <w:shd w:val="clear" w:color="auto" w:fill="FFFFFF"/>
        <w:spacing w:after="0"/>
        <w:textAlignment w:val="baseline"/>
        <w:rPr>
          <w:rFonts w:ascii="Segoe Print" w:hAnsi="Segoe Print"/>
          <w:color w:val="000000"/>
          <w:sz w:val="16"/>
          <w:szCs w:val="16"/>
        </w:rPr>
      </w:pPr>
      <w:r w:rsidRPr="00E30406">
        <w:rPr>
          <w:rFonts w:ascii="Segoe Print" w:hAnsi="Segoe Print"/>
          <w:color w:val="000000"/>
          <w:sz w:val="16"/>
          <w:szCs w:val="16"/>
          <w:bdr w:val="none" w:sz="0" w:space="0" w:color="auto" w:frame="1"/>
        </w:rPr>
        <w:t>Director of Operations/QIDP</w:t>
      </w:r>
    </w:p>
    <w:p w14:paraId="41A3A90F" w14:textId="77777777" w:rsidR="00C9093F" w:rsidRPr="00E30406" w:rsidRDefault="00C9093F" w:rsidP="00C9093F">
      <w:pPr>
        <w:shd w:val="clear" w:color="auto" w:fill="FFFFFF"/>
        <w:spacing w:after="0"/>
        <w:textAlignment w:val="baseline"/>
        <w:rPr>
          <w:rFonts w:ascii="Segoe Print" w:hAnsi="Segoe Print"/>
          <w:color w:val="000000"/>
          <w:sz w:val="16"/>
          <w:szCs w:val="16"/>
        </w:rPr>
      </w:pPr>
      <w:r w:rsidRPr="00E30406">
        <w:rPr>
          <w:rFonts w:ascii="Segoe Print" w:hAnsi="Segoe Print"/>
          <w:color w:val="000000"/>
          <w:sz w:val="16"/>
          <w:szCs w:val="16"/>
          <w:bdr w:val="none" w:sz="0" w:space="0" w:color="auto" w:frame="1"/>
        </w:rPr>
        <w:t>Trinity Assistance Corporation</w:t>
      </w:r>
    </w:p>
    <w:p w14:paraId="3E998AA7" w14:textId="77777777" w:rsidR="00C9093F" w:rsidRPr="00E30406" w:rsidRDefault="00C9093F" w:rsidP="00C9093F">
      <w:pPr>
        <w:shd w:val="clear" w:color="auto" w:fill="FFFFFF"/>
        <w:spacing w:after="0"/>
        <w:textAlignment w:val="baseline"/>
        <w:rPr>
          <w:rFonts w:ascii="Segoe Print" w:hAnsi="Segoe Print"/>
          <w:color w:val="000000"/>
          <w:sz w:val="16"/>
          <w:szCs w:val="16"/>
        </w:rPr>
      </w:pPr>
      <w:r w:rsidRPr="00E30406">
        <w:rPr>
          <w:rFonts w:ascii="Segoe Print" w:hAnsi="Segoe Print"/>
          <w:color w:val="000000"/>
          <w:sz w:val="16"/>
          <w:szCs w:val="16"/>
          <w:bdr w:val="none" w:sz="0" w:space="0" w:color="auto" w:frame="1"/>
        </w:rPr>
        <w:t>(585) 861-6817 x4</w:t>
      </w:r>
    </w:p>
    <w:p w14:paraId="7838CA3E" w14:textId="2368F938" w:rsidR="00C9093F" w:rsidRDefault="00C9093F" w:rsidP="00C9093F">
      <w:pPr>
        <w:rPr>
          <w:rFonts w:asciiTheme="majorHAnsi" w:hAnsiTheme="majorHAnsi" w:cstheme="majorHAnsi"/>
        </w:rPr>
      </w:pPr>
      <w:hyperlink r:id="rId8" w:history="1">
        <w:r w:rsidRPr="00E30406">
          <w:rPr>
            <w:rStyle w:val="Hyperlink"/>
            <w:rFonts w:ascii="Segoe Print" w:hAnsi="Segoe Print"/>
            <w:sz w:val="16"/>
            <w:szCs w:val="16"/>
          </w:rPr>
          <w:t>ashleyvail@trinityassistance.org</w:t>
        </w:r>
      </w:hyperlink>
      <w:r w:rsidRPr="00E30406">
        <w:rPr>
          <w:rFonts w:ascii="Segoe Print" w:hAnsi="Segoe Print"/>
          <w:color w:val="000000"/>
          <w:sz w:val="16"/>
          <w:szCs w:val="16"/>
        </w:rPr>
        <w:t xml:space="preserve">  </w:t>
      </w:r>
    </w:p>
    <w:p w14:paraId="179A787B" w14:textId="1C0CD25D" w:rsidR="00D51E95" w:rsidRDefault="00D51E95">
      <w:pPr>
        <w:rPr>
          <w:rFonts w:asciiTheme="majorHAnsi" w:hAnsiTheme="majorHAnsi" w:cstheme="majorHAnsi"/>
        </w:rPr>
      </w:pPr>
    </w:p>
    <w:p w14:paraId="58F117E5" w14:textId="77777777" w:rsidR="00D51E95" w:rsidRPr="000048D2" w:rsidRDefault="00D51E95">
      <w:pPr>
        <w:rPr>
          <w:rFonts w:asciiTheme="majorHAnsi" w:hAnsiTheme="majorHAnsi" w:cstheme="majorHAnsi"/>
        </w:rPr>
      </w:pPr>
    </w:p>
    <w:sectPr w:rsidR="00D51E95" w:rsidRPr="000048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2018" w14:textId="77777777" w:rsidR="00F11145" w:rsidRDefault="00F11145" w:rsidP="00043A61">
      <w:pPr>
        <w:spacing w:after="0" w:line="240" w:lineRule="auto"/>
      </w:pPr>
      <w:r>
        <w:separator/>
      </w:r>
    </w:p>
  </w:endnote>
  <w:endnote w:type="continuationSeparator" w:id="0">
    <w:p w14:paraId="1D8C2D2C" w14:textId="77777777" w:rsidR="00F11145" w:rsidRDefault="00F11145" w:rsidP="0004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3158" w14:textId="1A664FE7" w:rsidR="00043A61" w:rsidRDefault="00C9093F" w:rsidP="00F34CD5">
    <w:pPr>
      <w:pStyle w:val="Footer"/>
      <w:jc w:val="center"/>
      <w:rPr>
        <w:rFonts w:ascii="Calibri Light" w:hAnsi="Calibri Light" w:cs="Calibri Light"/>
        <w:sz w:val="20"/>
        <w:szCs w:val="20"/>
      </w:rPr>
    </w:pPr>
    <w:r>
      <w:rPr>
        <w:rFonts w:ascii="Calibri Light" w:hAnsi="Calibri Light" w:cs="Calibri Light"/>
        <w:sz w:val="20"/>
        <w:szCs w:val="20"/>
      </w:rPr>
      <w:t>Trinity Assistance Corporation</w:t>
    </w:r>
  </w:p>
  <w:p w14:paraId="62140EA8" w14:textId="277F8FB9" w:rsidR="00C9093F" w:rsidRDefault="00C9093F" w:rsidP="00F34CD5">
    <w:pPr>
      <w:pStyle w:val="Footer"/>
      <w:jc w:val="center"/>
      <w:rPr>
        <w:rFonts w:ascii="Calibri Light" w:hAnsi="Calibri Light" w:cs="Calibri Light"/>
        <w:sz w:val="20"/>
        <w:szCs w:val="20"/>
      </w:rPr>
    </w:pPr>
    <w:r>
      <w:rPr>
        <w:rFonts w:ascii="Calibri Light" w:hAnsi="Calibri Light" w:cs="Calibri Light"/>
        <w:sz w:val="20"/>
        <w:szCs w:val="20"/>
      </w:rPr>
      <w:t>2545 Buffalo Rd. Suite #2</w:t>
    </w:r>
  </w:p>
  <w:p w14:paraId="63B97795" w14:textId="05E55B2C" w:rsidR="00C9093F" w:rsidRDefault="00C9093F" w:rsidP="00F34CD5">
    <w:pPr>
      <w:pStyle w:val="Footer"/>
      <w:jc w:val="center"/>
      <w:rPr>
        <w:rFonts w:ascii="Calibri Light" w:hAnsi="Calibri Light" w:cs="Calibri Light"/>
        <w:sz w:val="20"/>
        <w:szCs w:val="20"/>
      </w:rPr>
    </w:pPr>
    <w:r>
      <w:rPr>
        <w:rFonts w:ascii="Calibri Light" w:hAnsi="Calibri Light" w:cs="Calibri Light"/>
        <w:sz w:val="20"/>
        <w:szCs w:val="20"/>
      </w:rPr>
      <w:t>Rochester, NY 14624</w:t>
    </w:r>
  </w:p>
  <w:p w14:paraId="4AE769BF" w14:textId="1D6DEE3E" w:rsidR="00C9093F" w:rsidRDefault="00C9093F" w:rsidP="00F34CD5">
    <w:pPr>
      <w:pStyle w:val="Footer"/>
      <w:jc w:val="center"/>
      <w:rPr>
        <w:rFonts w:ascii="Calibri Light" w:hAnsi="Calibri Light" w:cs="Calibri Light"/>
        <w:sz w:val="20"/>
        <w:szCs w:val="20"/>
      </w:rPr>
    </w:pPr>
    <w:r>
      <w:rPr>
        <w:rFonts w:ascii="Calibri Light" w:hAnsi="Calibri Light" w:cs="Calibri Light"/>
        <w:sz w:val="20"/>
        <w:szCs w:val="20"/>
      </w:rPr>
      <w:t>P (585) 861-6817</w:t>
    </w:r>
  </w:p>
  <w:p w14:paraId="1D5985AF" w14:textId="40918401" w:rsidR="00C9093F" w:rsidRDefault="00C9093F" w:rsidP="00F34CD5">
    <w:pPr>
      <w:pStyle w:val="Footer"/>
      <w:jc w:val="center"/>
      <w:rPr>
        <w:rFonts w:ascii="Calibri Light" w:hAnsi="Calibri Light" w:cs="Calibri Light"/>
        <w:sz w:val="20"/>
        <w:szCs w:val="20"/>
      </w:rPr>
    </w:pPr>
    <w:r>
      <w:rPr>
        <w:rFonts w:ascii="Calibri Light" w:hAnsi="Calibri Light" w:cs="Calibri Light"/>
        <w:sz w:val="20"/>
        <w:szCs w:val="20"/>
      </w:rPr>
      <w:t>F (585) 210-3989</w:t>
    </w:r>
  </w:p>
  <w:p w14:paraId="2981FBB2" w14:textId="2CFDB855" w:rsidR="00C9093F" w:rsidRPr="00C9093F" w:rsidRDefault="00C9093F" w:rsidP="00F34CD5">
    <w:pPr>
      <w:pStyle w:val="Footer"/>
      <w:jc w:val="center"/>
      <w:rPr>
        <w:rFonts w:ascii="Calibri Light" w:hAnsi="Calibri Light" w:cs="Calibri Light"/>
        <w:sz w:val="20"/>
        <w:szCs w:val="20"/>
      </w:rPr>
    </w:pPr>
    <w:hyperlink r:id="rId1" w:history="1">
      <w:r w:rsidRPr="00FB05F9">
        <w:rPr>
          <w:rStyle w:val="Hyperlink"/>
          <w:rFonts w:ascii="Calibri Light" w:hAnsi="Calibri Light" w:cs="Calibri Light"/>
          <w:sz w:val="20"/>
          <w:szCs w:val="20"/>
        </w:rPr>
        <w:t>www.trinityassistance.org</w:t>
      </w:r>
    </w:hyperlink>
    <w:r>
      <w:rPr>
        <w:rFonts w:ascii="Calibri Light" w:hAnsi="Calibri Light" w:cs="Calibri Ligh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290E" w14:textId="77777777" w:rsidR="00F11145" w:rsidRDefault="00F11145" w:rsidP="00043A61">
      <w:pPr>
        <w:spacing w:after="0" w:line="240" w:lineRule="auto"/>
      </w:pPr>
      <w:r>
        <w:separator/>
      </w:r>
    </w:p>
  </w:footnote>
  <w:footnote w:type="continuationSeparator" w:id="0">
    <w:p w14:paraId="44B76DAA" w14:textId="77777777" w:rsidR="00F11145" w:rsidRDefault="00F11145" w:rsidP="0004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8818" w14:textId="49808805" w:rsidR="00043A61" w:rsidRDefault="00043A61" w:rsidP="000048D2">
    <w:pPr>
      <w:pStyle w:val="Header"/>
      <w:jc w:val="center"/>
    </w:pPr>
    <w:r>
      <w:rPr>
        <w:noProof/>
      </w:rPr>
      <w:drawing>
        <wp:inline distT="0" distB="0" distL="0" distR="0" wp14:anchorId="450DAFAB" wp14:editId="391910DB">
          <wp:extent cx="1173480" cy="1089660"/>
          <wp:effectExtent l="0" t="0" r="7620" b="0"/>
          <wp:docPr id="298215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3480" cy="1089660"/>
                  </a:xfrm>
                  <a:prstGeom prst="rect">
                    <a:avLst/>
                  </a:prstGeom>
                </pic:spPr>
              </pic:pic>
            </a:graphicData>
          </a:graphic>
        </wp:inline>
      </w:drawing>
    </w:r>
  </w:p>
  <w:p w14:paraId="1B6ADDA2" w14:textId="0758AD9C" w:rsidR="00043A61" w:rsidRDefault="00043A61" w:rsidP="000048D2">
    <w:pPr>
      <w:pStyle w:val="Header"/>
      <w:jc w:val="center"/>
      <w:rPr>
        <w:sz w:val="36"/>
        <w:szCs w:val="36"/>
      </w:rPr>
    </w:pPr>
    <w:r w:rsidRPr="00583394">
      <w:rPr>
        <w:sz w:val="36"/>
        <w:szCs w:val="36"/>
      </w:rPr>
      <w:t>Trinity Assistance Corporation</w:t>
    </w:r>
  </w:p>
  <w:p w14:paraId="2DDCBD8B" w14:textId="7008F7DC" w:rsidR="00CF3365" w:rsidRPr="00CF3365" w:rsidRDefault="00CF3365" w:rsidP="000048D2">
    <w:pPr>
      <w:pStyle w:val="Header"/>
      <w:jc w:val="center"/>
      <w:rPr>
        <w:rFonts w:ascii="Freestyle Script" w:hAnsi="Freestyle Script"/>
        <w:sz w:val="36"/>
        <w:szCs w:val="36"/>
      </w:rPr>
    </w:pPr>
    <w:r w:rsidRPr="00CF3365">
      <w:rPr>
        <w:rFonts w:ascii="Freestyle Script" w:hAnsi="Freestyle Script"/>
        <w:sz w:val="36"/>
        <w:szCs w:val="36"/>
      </w:rPr>
      <w:t xml:space="preserve">Providing innovative services to People with </w:t>
    </w:r>
    <w:r w:rsidR="00DE3566">
      <w:rPr>
        <w:rFonts w:ascii="Freestyle Script" w:hAnsi="Freestyle Script"/>
        <w:sz w:val="36"/>
        <w:szCs w:val="36"/>
      </w:rPr>
      <w:t>D</w:t>
    </w:r>
    <w:r w:rsidRPr="00CF3365">
      <w:rPr>
        <w:rFonts w:ascii="Freestyle Script" w:hAnsi="Freestyle Script"/>
        <w:sz w:val="36"/>
        <w:szCs w:val="36"/>
      </w:rPr>
      <w:t xml:space="preserve">evelopmental and </w:t>
    </w:r>
    <w:r w:rsidR="00DE3566">
      <w:rPr>
        <w:rFonts w:ascii="Freestyle Script" w:hAnsi="Freestyle Script"/>
        <w:sz w:val="36"/>
        <w:szCs w:val="36"/>
      </w:rPr>
      <w:t>I</w:t>
    </w:r>
    <w:r w:rsidRPr="00CF3365">
      <w:rPr>
        <w:rFonts w:ascii="Freestyle Script" w:hAnsi="Freestyle Script"/>
        <w:sz w:val="36"/>
        <w:szCs w:val="36"/>
      </w:rPr>
      <w:t xml:space="preserve">ntellectual </w:t>
    </w:r>
    <w:r w:rsidR="00DE3566">
      <w:rPr>
        <w:rFonts w:ascii="Freestyle Script" w:hAnsi="Freestyle Script"/>
        <w:sz w:val="36"/>
        <w:szCs w:val="36"/>
      </w:rPr>
      <w:t>D</w:t>
    </w:r>
    <w:r w:rsidRPr="00CF3365">
      <w:rPr>
        <w:rFonts w:ascii="Freestyle Script" w:hAnsi="Freestyle Script"/>
        <w:sz w:val="36"/>
        <w:szCs w:val="36"/>
      </w:rPr>
      <w:t>isabilities since 2003</w:t>
    </w:r>
  </w:p>
  <w:p w14:paraId="4973EACB" w14:textId="5B39DA93" w:rsidR="00043A61" w:rsidRDefault="00043A61">
    <w:pPr>
      <w:pStyle w:val="Header"/>
    </w:pPr>
  </w:p>
  <w:p w14:paraId="499A47D7" w14:textId="77777777" w:rsidR="00043A61" w:rsidRDefault="0004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1331"/>
    <w:multiLevelType w:val="hybridMultilevel"/>
    <w:tmpl w:val="77043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4CEA"/>
    <w:multiLevelType w:val="hybridMultilevel"/>
    <w:tmpl w:val="CB60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D3E27"/>
    <w:multiLevelType w:val="hybridMultilevel"/>
    <w:tmpl w:val="375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E13FA"/>
    <w:multiLevelType w:val="hybridMultilevel"/>
    <w:tmpl w:val="3674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76C80"/>
    <w:multiLevelType w:val="hybridMultilevel"/>
    <w:tmpl w:val="70A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4003E"/>
    <w:multiLevelType w:val="hybridMultilevel"/>
    <w:tmpl w:val="EB7C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D4C39"/>
    <w:multiLevelType w:val="hybridMultilevel"/>
    <w:tmpl w:val="D7FA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61"/>
    <w:rsid w:val="000048D2"/>
    <w:rsid w:val="00043A61"/>
    <w:rsid w:val="001E3F11"/>
    <w:rsid w:val="00242660"/>
    <w:rsid w:val="002459E2"/>
    <w:rsid w:val="002545FA"/>
    <w:rsid w:val="002E00CE"/>
    <w:rsid w:val="003366CF"/>
    <w:rsid w:val="00605347"/>
    <w:rsid w:val="0069317F"/>
    <w:rsid w:val="00694DBB"/>
    <w:rsid w:val="007621AE"/>
    <w:rsid w:val="007E0DCC"/>
    <w:rsid w:val="0093657B"/>
    <w:rsid w:val="00C9093F"/>
    <w:rsid w:val="00CE5FBE"/>
    <w:rsid w:val="00CF3365"/>
    <w:rsid w:val="00D25EAC"/>
    <w:rsid w:val="00D51E95"/>
    <w:rsid w:val="00DE3566"/>
    <w:rsid w:val="00F11145"/>
    <w:rsid w:val="00F34CD5"/>
    <w:rsid w:val="00F4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4191"/>
  <w15:chartTrackingRefBased/>
  <w15:docId w15:val="{A4CEFD56-AB55-4E37-95F8-3B91F815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61"/>
  </w:style>
  <w:style w:type="paragraph" w:styleId="Footer">
    <w:name w:val="footer"/>
    <w:basedOn w:val="Normal"/>
    <w:link w:val="FooterChar"/>
    <w:uiPriority w:val="99"/>
    <w:unhideWhenUsed/>
    <w:rsid w:val="00043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61"/>
  </w:style>
  <w:style w:type="character" w:styleId="Hyperlink">
    <w:name w:val="Hyperlink"/>
    <w:basedOn w:val="DefaultParagraphFont"/>
    <w:uiPriority w:val="99"/>
    <w:unhideWhenUsed/>
    <w:rsid w:val="000048D2"/>
    <w:rPr>
      <w:color w:val="0563C1" w:themeColor="hyperlink"/>
      <w:u w:val="single"/>
    </w:rPr>
  </w:style>
  <w:style w:type="character" w:styleId="UnresolvedMention">
    <w:name w:val="Unresolved Mention"/>
    <w:basedOn w:val="DefaultParagraphFont"/>
    <w:uiPriority w:val="99"/>
    <w:semiHidden/>
    <w:unhideWhenUsed/>
    <w:rsid w:val="000048D2"/>
    <w:rPr>
      <w:color w:val="605E5C"/>
      <w:shd w:val="clear" w:color="auto" w:fill="E1DFDD"/>
    </w:rPr>
  </w:style>
  <w:style w:type="table" w:styleId="TableGrid">
    <w:name w:val="Table Grid"/>
    <w:basedOn w:val="TableNormal"/>
    <w:uiPriority w:val="39"/>
    <w:rsid w:val="00CE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vail@trinityassistance.org" TargetMode="External"/><Relationship Id="rId3" Type="http://schemas.openxmlformats.org/officeDocument/2006/relationships/settings" Target="settings.xml"/><Relationship Id="rId7" Type="http://schemas.openxmlformats.org/officeDocument/2006/relationships/hyperlink" Target="https://forward.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inityassist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VAIL</dc:creator>
  <cp:keywords/>
  <dc:description/>
  <cp:lastModifiedBy>ASHLEY VAIL</cp:lastModifiedBy>
  <cp:revision>2</cp:revision>
  <cp:lastPrinted>2020-06-11T15:29:00Z</cp:lastPrinted>
  <dcterms:created xsi:type="dcterms:W3CDTF">2020-11-06T18:02:00Z</dcterms:created>
  <dcterms:modified xsi:type="dcterms:W3CDTF">2020-11-06T18:02:00Z</dcterms:modified>
</cp:coreProperties>
</file>