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F431" w14:textId="640B56AB" w:rsidR="00011454" w:rsidRDefault="00011454" w:rsidP="00011454">
      <w:pPr>
        <w:tabs>
          <w:tab w:val="left" w:pos="1418"/>
        </w:tabs>
        <w:rPr>
          <w:rFonts w:cs="Arial"/>
          <w:szCs w:val="22"/>
        </w:rPr>
      </w:pPr>
      <w:r>
        <w:rPr>
          <w:rFonts w:cs="Arial"/>
          <w:szCs w:val="22"/>
        </w:rPr>
        <w:t>To:</w:t>
      </w:r>
      <w:r>
        <w:rPr>
          <w:rFonts w:cs="Arial"/>
          <w:szCs w:val="22"/>
        </w:rPr>
        <w:tab/>
        <w:t>Bridgette Wickard, South Middleton PTO Board President</w:t>
      </w:r>
    </w:p>
    <w:p w14:paraId="480DC109" w14:textId="6C8B9D5B" w:rsidR="00011454" w:rsidRDefault="00011454" w:rsidP="00011454">
      <w:pPr>
        <w:tabs>
          <w:tab w:val="left" w:pos="1418"/>
        </w:tabs>
        <w:rPr>
          <w:rFonts w:cs="Arial"/>
          <w:szCs w:val="22"/>
        </w:rPr>
      </w:pPr>
      <w:r>
        <w:rPr>
          <w:rFonts w:cs="Arial"/>
          <w:szCs w:val="22"/>
        </w:rPr>
        <w:br/>
        <w:t>From:</w:t>
      </w:r>
      <w:r>
        <w:rPr>
          <w:rFonts w:cs="Arial"/>
          <w:szCs w:val="22"/>
        </w:rPr>
        <w:tab/>
        <w:t>Audit Committee</w:t>
      </w:r>
    </w:p>
    <w:p w14:paraId="52B349D0" w14:textId="77777777" w:rsidR="00011454" w:rsidRDefault="00011454" w:rsidP="00011454">
      <w:pPr>
        <w:tabs>
          <w:tab w:val="left" w:pos="1418"/>
        </w:tabs>
        <w:rPr>
          <w:rFonts w:cs="Arial"/>
          <w:szCs w:val="22"/>
        </w:rPr>
      </w:pPr>
    </w:p>
    <w:p w14:paraId="43239EB5" w14:textId="57E94159" w:rsidR="00011454" w:rsidRDefault="00011454" w:rsidP="00011454">
      <w:pPr>
        <w:tabs>
          <w:tab w:val="left" w:pos="1418"/>
        </w:tabs>
        <w:rPr>
          <w:rFonts w:cs="Arial"/>
          <w:szCs w:val="22"/>
        </w:rPr>
      </w:pPr>
      <w:r>
        <w:rPr>
          <w:rFonts w:cs="Arial"/>
          <w:szCs w:val="22"/>
        </w:rPr>
        <w:t>Cc:</w:t>
      </w:r>
      <w:r>
        <w:rPr>
          <w:rFonts w:cs="Arial"/>
          <w:szCs w:val="22"/>
        </w:rPr>
        <w:tab/>
        <w:t>South Middleton PTO Board Members</w:t>
      </w:r>
    </w:p>
    <w:p w14:paraId="488C600B" w14:textId="77777777" w:rsidR="00011454" w:rsidRDefault="00011454" w:rsidP="00011454">
      <w:pPr>
        <w:tabs>
          <w:tab w:val="left" w:pos="1418"/>
        </w:tabs>
        <w:rPr>
          <w:rFonts w:cs="Arial"/>
          <w:szCs w:val="22"/>
        </w:rPr>
      </w:pPr>
    </w:p>
    <w:p w14:paraId="4C4D5B1D" w14:textId="243E42B2" w:rsidR="00011454" w:rsidRDefault="00011454" w:rsidP="00011454">
      <w:pPr>
        <w:tabs>
          <w:tab w:val="left" w:pos="1418"/>
        </w:tabs>
        <w:rPr>
          <w:rFonts w:cs="Arial"/>
          <w:szCs w:val="22"/>
        </w:rPr>
      </w:pPr>
      <w:r>
        <w:rPr>
          <w:rFonts w:cs="Arial"/>
          <w:szCs w:val="22"/>
        </w:rPr>
        <w:t>Date:</w:t>
      </w:r>
      <w:r>
        <w:rPr>
          <w:rFonts w:cs="Arial"/>
          <w:szCs w:val="22"/>
        </w:rPr>
        <w:tab/>
      </w:r>
      <w:r w:rsidR="00544F7C">
        <w:rPr>
          <w:rFonts w:cs="Arial"/>
          <w:szCs w:val="22"/>
        </w:rPr>
        <w:t>October 1</w:t>
      </w:r>
      <w:r w:rsidR="002F15D4">
        <w:rPr>
          <w:rFonts w:cs="Arial"/>
          <w:szCs w:val="22"/>
        </w:rPr>
        <w:t>5</w:t>
      </w:r>
      <w:r w:rsidR="00544F7C">
        <w:rPr>
          <w:rFonts w:cs="Arial"/>
          <w:szCs w:val="22"/>
        </w:rPr>
        <w:t>, 2024</w:t>
      </w:r>
    </w:p>
    <w:p w14:paraId="4EAD4E90" w14:textId="1795F127" w:rsidR="00011454" w:rsidRDefault="00011454" w:rsidP="0044566F">
      <w:pPr>
        <w:tabs>
          <w:tab w:val="left" w:pos="8678"/>
        </w:tabs>
        <w:rPr>
          <w:rFonts w:cs="Arial"/>
          <w:szCs w:val="22"/>
        </w:rPr>
      </w:pPr>
    </w:p>
    <w:p w14:paraId="69ABBAC9" w14:textId="49863398" w:rsidR="00011454" w:rsidRDefault="00011454" w:rsidP="00011454">
      <w:pPr>
        <w:tabs>
          <w:tab w:val="left" w:pos="1418"/>
        </w:tabs>
        <w:rPr>
          <w:rFonts w:cs="Arial"/>
          <w:szCs w:val="22"/>
        </w:rPr>
      </w:pPr>
      <w:r>
        <w:rPr>
          <w:rFonts w:cs="Arial"/>
          <w:szCs w:val="22"/>
        </w:rPr>
        <w:t>Re:</w:t>
      </w:r>
      <w:r>
        <w:rPr>
          <w:rFonts w:cs="Arial"/>
          <w:szCs w:val="22"/>
        </w:rPr>
        <w:tab/>
        <w:t>Audit of South Middleton PTO Financial Records</w:t>
      </w:r>
    </w:p>
    <w:p w14:paraId="7C298E01" w14:textId="77777777" w:rsidR="00011454" w:rsidRDefault="00011454" w:rsidP="00011454">
      <w:pPr>
        <w:pBdr>
          <w:bottom w:val="single" w:sz="12" w:space="1" w:color="auto"/>
        </w:pBdr>
        <w:tabs>
          <w:tab w:val="left" w:pos="1418"/>
        </w:tabs>
        <w:rPr>
          <w:rFonts w:cs="Arial"/>
          <w:szCs w:val="22"/>
        </w:rPr>
      </w:pPr>
    </w:p>
    <w:p w14:paraId="1D10CBEF" w14:textId="77777777" w:rsidR="00011454" w:rsidRDefault="00011454" w:rsidP="00011454">
      <w:pPr>
        <w:tabs>
          <w:tab w:val="left" w:pos="1418"/>
        </w:tabs>
        <w:rPr>
          <w:rFonts w:cs="Arial"/>
          <w:szCs w:val="22"/>
        </w:rPr>
      </w:pPr>
    </w:p>
    <w:p w14:paraId="5C8CB093" w14:textId="61E6CFC1" w:rsidR="00011454" w:rsidRDefault="00011454" w:rsidP="00011454">
      <w:pPr>
        <w:tabs>
          <w:tab w:val="left" w:pos="1418"/>
        </w:tabs>
      </w:pPr>
      <w:r>
        <w:rPr>
          <w:rFonts w:cs="Arial"/>
          <w:szCs w:val="22"/>
        </w:rPr>
        <w:t>In accordance with the South Middleton PTO bylaws</w:t>
      </w:r>
      <w:r w:rsidR="0044566F">
        <w:rPr>
          <w:rFonts w:cs="Arial"/>
          <w:szCs w:val="22"/>
        </w:rPr>
        <w:t xml:space="preserve"> (article eight, section four), the audit committee conducted an audit of the financial records for the 202</w:t>
      </w:r>
      <w:r w:rsidR="00544F7C">
        <w:rPr>
          <w:rFonts w:cs="Arial"/>
          <w:szCs w:val="22"/>
        </w:rPr>
        <w:t>3</w:t>
      </w:r>
      <w:r w:rsidR="0044566F">
        <w:rPr>
          <w:rFonts w:cs="Arial"/>
          <w:szCs w:val="22"/>
        </w:rPr>
        <w:t>-202</w:t>
      </w:r>
      <w:r w:rsidR="00544F7C">
        <w:rPr>
          <w:rFonts w:cs="Arial"/>
          <w:szCs w:val="22"/>
        </w:rPr>
        <w:t>4</w:t>
      </w:r>
      <w:r w:rsidR="0044566F">
        <w:rPr>
          <w:rFonts w:cs="Arial"/>
          <w:szCs w:val="22"/>
        </w:rPr>
        <w:t xml:space="preserve"> school year. The audit was completed by the </w:t>
      </w:r>
      <w:r w:rsidR="00544F7C">
        <w:rPr>
          <w:rFonts w:cs="Arial"/>
          <w:szCs w:val="22"/>
        </w:rPr>
        <w:t>three</w:t>
      </w:r>
      <w:r w:rsidR="0044566F">
        <w:rPr>
          <w:rFonts w:cs="Arial"/>
          <w:szCs w:val="22"/>
        </w:rPr>
        <w:t xml:space="preserve">-member committee with </w:t>
      </w:r>
      <w:r w:rsidR="00966C01">
        <w:rPr>
          <w:rFonts w:cs="Arial"/>
          <w:szCs w:val="22"/>
        </w:rPr>
        <w:t>the support</w:t>
      </w:r>
      <w:r w:rsidR="0044566F">
        <w:rPr>
          <w:rFonts w:cs="Arial"/>
          <w:szCs w:val="22"/>
        </w:rPr>
        <w:t xml:space="preserve"> of both treasurers. </w:t>
      </w:r>
      <w:r w:rsidR="00966C01">
        <w:rPr>
          <w:rFonts w:cs="Arial"/>
          <w:szCs w:val="22"/>
        </w:rPr>
        <w:t>T</w:t>
      </w:r>
      <w:r w:rsidR="00966C01">
        <w:t>he audit was conducted to obtain reasonable assurance about whether the financial statements presented by the treasurer are free of material misstatement, whether due to error or fraud. Extra attention was paid to the policies and procedures that are the basis of the financial statement to ensure they follow proper financial safeguards and provide transparency to the PTO.</w:t>
      </w:r>
    </w:p>
    <w:p w14:paraId="7B1BD0B9" w14:textId="77777777" w:rsidR="00966C01" w:rsidRDefault="00966C01" w:rsidP="00011454">
      <w:pPr>
        <w:tabs>
          <w:tab w:val="left" w:pos="1418"/>
        </w:tabs>
      </w:pPr>
    </w:p>
    <w:p w14:paraId="65AA3421" w14:textId="15E411D5" w:rsidR="00966C01" w:rsidRPr="00966C01" w:rsidRDefault="00966C01" w:rsidP="00011454">
      <w:pPr>
        <w:tabs>
          <w:tab w:val="left" w:pos="1418"/>
        </w:tabs>
        <w:rPr>
          <w:b/>
          <w:bCs/>
        </w:rPr>
      </w:pPr>
      <w:r w:rsidRPr="00966C01">
        <w:rPr>
          <w:b/>
          <w:bCs/>
        </w:rPr>
        <w:t>Audit Procedures:</w:t>
      </w:r>
    </w:p>
    <w:p w14:paraId="5D07791A" w14:textId="77777777" w:rsidR="00966C01" w:rsidRDefault="00966C01" w:rsidP="00011454">
      <w:pPr>
        <w:tabs>
          <w:tab w:val="left" w:pos="1418"/>
        </w:tabs>
      </w:pPr>
    </w:p>
    <w:p w14:paraId="477CEF5B" w14:textId="03849228" w:rsidR="00966C01" w:rsidRDefault="00966C01" w:rsidP="00011454">
      <w:pPr>
        <w:tabs>
          <w:tab w:val="left" w:pos="1418"/>
        </w:tabs>
        <w:rPr>
          <w:rFonts w:cs="Arial"/>
          <w:szCs w:val="22"/>
        </w:rPr>
      </w:pPr>
      <w:r>
        <w:rPr>
          <w:rFonts w:cs="Arial"/>
          <w:szCs w:val="22"/>
        </w:rPr>
        <w:t>Audit committee requested all financial records for the 202</w:t>
      </w:r>
      <w:r w:rsidR="00544F7C">
        <w:rPr>
          <w:rFonts w:cs="Arial"/>
          <w:szCs w:val="22"/>
        </w:rPr>
        <w:t>3</w:t>
      </w:r>
      <w:r>
        <w:rPr>
          <w:rFonts w:cs="Arial"/>
          <w:szCs w:val="22"/>
        </w:rPr>
        <w:t>-202</w:t>
      </w:r>
      <w:r w:rsidR="00544F7C">
        <w:rPr>
          <w:rFonts w:cs="Arial"/>
          <w:szCs w:val="22"/>
        </w:rPr>
        <w:t>4</w:t>
      </w:r>
      <w:r>
        <w:rPr>
          <w:rFonts w:cs="Arial"/>
          <w:szCs w:val="22"/>
        </w:rPr>
        <w:t xml:space="preserve"> school year.</w:t>
      </w:r>
      <w:r w:rsidR="00544F7C">
        <w:rPr>
          <w:rFonts w:cs="Arial"/>
          <w:szCs w:val="22"/>
        </w:rPr>
        <w:t xml:space="preserve"> </w:t>
      </w:r>
      <w:r>
        <w:rPr>
          <w:rFonts w:cs="Arial"/>
          <w:szCs w:val="22"/>
        </w:rPr>
        <w:t xml:space="preserve"> With the documentation provided</w:t>
      </w:r>
      <w:r w:rsidR="00544F7C">
        <w:rPr>
          <w:rFonts w:cs="Arial"/>
          <w:szCs w:val="22"/>
        </w:rPr>
        <w:t>,</w:t>
      </w:r>
      <w:r>
        <w:rPr>
          <w:rFonts w:cs="Arial"/>
          <w:szCs w:val="22"/>
        </w:rPr>
        <w:t xml:space="preserve"> a review was conducted to </w:t>
      </w:r>
      <w:r w:rsidR="00A9453C">
        <w:rPr>
          <w:rFonts w:cs="Arial"/>
          <w:szCs w:val="22"/>
        </w:rPr>
        <w:t xml:space="preserve">match the bank statements and the financial statements. The committee also reviewed </w:t>
      </w:r>
      <w:r w:rsidR="00544F7C">
        <w:rPr>
          <w:rFonts w:cs="Arial"/>
          <w:szCs w:val="22"/>
        </w:rPr>
        <w:t xml:space="preserve">various </w:t>
      </w:r>
      <w:r w:rsidR="00A9453C">
        <w:rPr>
          <w:rFonts w:cs="Arial"/>
          <w:szCs w:val="22"/>
        </w:rPr>
        <w:t>transaction</w:t>
      </w:r>
      <w:r w:rsidR="00544F7C">
        <w:rPr>
          <w:rFonts w:cs="Arial"/>
          <w:szCs w:val="22"/>
        </w:rPr>
        <w:t>s</w:t>
      </w:r>
      <w:r w:rsidR="00A9453C">
        <w:rPr>
          <w:rFonts w:cs="Arial"/>
          <w:szCs w:val="22"/>
        </w:rPr>
        <w:t xml:space="preserve"> to ensure proper procedures were followed on cash disbursements and expenditures. </w:t>
      </w:r>
    </w:p>
    <w:p w14:paraId="34D408FC" w14:textId="77777777" w:rsidR="00A9453C" w:rsidRDefault="00A9453C" w:rsidP="00011454">
      <w:pPr>
        <w:tabs>
          <w:tab w:val="left" w:pos="1418"/>
        </w:tabs>
        <w:rPr>
          <w:rFonts w:cs="Arial"/>
          <w:szCs w:val="22"/>
        </w:rPr>
      </w:pPr>
    </w:p>
    <w:p w14:paraId="7A0FB113" w14:textId="714E7E0A" w:rsidR="00A9453C" w:rsidRPr="00A9453C" w:rsidRDefault="00A9453C" w:rsidP="00011454">
      <w:pPr>
        <w:tabs>
          <w:tab w:val="left" w:pos="1418"/>
        </w:tabs>
        <w:rPr>
          <w:rFonts w:cs="Arial"/>
          <w:b/>
          <w:bCs/>
          <w:szCs w:val="22"/>
        </w:rPr>
      </w:pPr>
      <w:r w:rsidRPr="00A9453C">
        <w:rPr>
          <w:rFonts w:cs="Arial"/>
          <w:b/>
          <w:bCs/>
          <w:szCs w:val="22"/>
        </w:rPr>
        <w:t>Audit Findings:</w:t>
      </w:r>
    </w:p>
    <w:p w14:paraId="7F2074DF" w14:textId="77777777" w:rsidR="00A9453C" w:rsidRDefault="00A9453C" w:rsidP="00011454">
      <w:pPr>
        <w:tabs>
          <w:tab w:val="left" w:pos="1418"/>
        </w:tabs>
        <w:rPr>
          <w:rFonts w:cs="Arial"/>
          <w:szCs w:val="22"/>
        </w:rPr>
      </w:pPr>
    </w:p>
    <w:p w14:paraId="6CFBABBD" w14:textId="7579F65F" w:rsidR="00A9453C" w:rsidRDefault="00A9453C" w:rsidP="00011454">
      <w:pPr>
        <w:tabs>
          <w:tab w:val="left" w:pos="1418"/>
        </w:tabs>
        <w:rPr>
          <w:rFonts w:cs="Arial"/>
          <w:szCs w:val="22"/>
        </w:rPr>
      </w:pPr>
      <w:r>
        <w:rPr>
          <w:rFonts w:cs="Arial"/>
          <w:szCs w:val="22"/>
        </w:rPr>
        <w:t>The committee found the financial statements were free of financial misstatement and no signs of fraud were discovered.</w:t>
      </w:r>
      <w:r w:rsidR="001F3B98">
        <w:rPr>
          <w:rFonts w:cs="Arial"/>
          <w:szCs w:val="22"/>
        </w:rPr>
        <w:t xml:space="preserve">  A review </w:t>
      </w:r>
      <w:r>
        <w:rPr>
          <w:rFonts w:cs="Arial"/>
          <w:szCs w:val="22"/>
        </w:rPr>
        <w:t xml:space="preserve">of the policies and procedures discovered several areas of that the PTO </w:t>
      </w:r>
      <w:r w:rsidR="00456977">
        <w:rPr>
          <w:rFonts w:cs="Arial"/>
          <w:szCs w:val="22"/>
        </w:rPr>
        <w:t>could improve upon</w:t>
      </w:r>
      <w:r>
        <w:rPr>
          <w:rFonts w:cs="Arial"/>
          <w:szCs w:val="22"/>
        </w:rPr>
        <w:t>.</w:t>
      </w:r>
      <w:r w:rsidR="00456977">
        <w:rPr>
          <w:rFonts w:cs="Arial"/>
          <w:szCs w:val="22"/>
        </w:rPr>
        <w:t xml:space="preserve"> </w:t>
      </w:r>
      <w:r>
        <w:rPr>
          <w:rFonts w:cs="Arial"/>
          <w:szCs w:val="22"/>
        </w:rPr>
        <w:t xml:space="preserve"> </w:t>
      </w:r>
      <w:r w:rsidR="002F018A">
        <w:rPr>
          <w:rFonts w:cs="Arial"/>
          <w:szCs w:val="22"/>
        </w:rPr>
        <w:t xml:space="preserve">In the following appendix, the committee provides recommendations to improve the policy and procedures and bolster transparency. </w:t>
      </w:r>
      <w:r w:rsidR="00CA6338">
        <w:rPr>
          <w:rFonts w:cs="Arial"/>
          <w:szCs w:val="22"/>
        </w:rPr>
        <w:t>The committee is committed to providing templates and examples to help improve these areas.</w:t>
      </w:r>
    </w:p>
    <w:p w14:paraId="3D4952A1" w14:textId="77777777" w:rsidR="002F018A" w:rsidRDefault="002F018A" w:rsidP="00011454">
      <w:pPr>
        <w:tabs>
          <w:tab w:val="left" w:pos="1418"/>
        </w:tabs>
        <w:rPr>
          <w:rFonts w:cs="Arial"/>
          <w:szCs w:val="22"/>
        </w:rPr>
      </w:pPr>
    </w:p>
    <w:p w14:paraId="09F96DC4" w14:textId="77777777" w:rsidR="002F018A" w:rsidRDefault="002F018A" w:rsidP="00011454">
      <w:pPr>
        <w:tabs>
          <w:tab w:val="left" w:pos="1418"/>
        </w:tabs>
        <w:rPr>
          <w:rFonts w:cs="Arial"/>
          <w:szCs w:val="22"/>
        </w:rPr>
      </w:pPr>
    </w:p>
    <w:p w14:paraId="3B0C35FC" w14:textId="1FE721C6" w:rsidR="002F018A" w:rsidRPr="002F018A" w:rsidRDefault="002F018A" w:rsidP="002F018A">
      <w:pPr>
        <w:tabs>
          <w:tab w:val="left" w:pos="1418"/>
        </w:tabs>
        <w:jc w:val="center"/>
        <w:rPr>
          <w:rFonts w:cs="Arial"/>
          <w:b/>
          <w:bCs/>
          <w:sz w:val="24"/>
          <w:u w:val="single"/>
        </w:rPr>
      </w:pPr>
      <w:r w:rsidRPr="002F018A">
        <w:rPr>
          <w:rFonts w:cs="Arial"/>
          <w:b/>
          <w:bCs/>
          <w:sz w:val="24"/>
          <w:u w:val="single"/>
        </w:rPr>
        <w:t>Appendix A</w:t>
      </w:r>
    </w:p>
    <w:p w14:paraId="47183F17" w14:textId="77777777" w:rsidR="002F018A" w:rsidRDefault="002F018A" w:rsidP="002F018A">
      <w:pPr>
        <w:tabs>
          <w:tab w:val="left" w:pos="1418"/>
        </w:tabs>
        <w:rPr>
          <w:rFonts w:cs="Arial"/>
          <w:szCs w:val="22"/>
        </w:rPr>
      </w:pPr>
    </w:p>
    <w:p w14:paraId="5AD0ECF3" w14:textId="2C9F1CCA" w:rsidR="00CA6338" w:rsidRPr="00CA6338" w:rsidRDefault="00CA6338" w:rsidP="002F018A">
      <w:pPr>
        <w:tabs>
          <w:tab w:val="left" w:pos="1418"/>
        </w:tabs>
        <w:rPr>
          <w:rFonts w:cs="Arial"/>
          <w:b/>
          <w:bCs/>
          <w:szCs w:val="22"/>
        </w:rPr>
      </w:pPr>
      <w:r w:rsidRPr="00CA6338">
        <w:rPr>
          <w:rFonts w:cs="Arial"/>
          <w:b/>
          <w:bCs/>
          <w:szCs w:val="22"/>
        </w:rPr>
        <w:t>General Recommendations:</w:t>
      </w:r>
    </w:p>
    <w:p w14:paraId="419CE1CA" w14:textId="77777777" w:rsidR="00CA6338" w:rsidRDefault="00CA6338" w:rsidP="002F018A">
      <w:pPr>
        <w:tabs>
          <w:tab w:val="left" w:pos="1418"/>
        </w:tabs>
        <w:rPr>
          <w:rFonts w:cs="Arial"/>
          <w:szCs w:val="22"/>
        </w:rPr>
      </w:pPr>
    </w:p>
    <w:p w14:paraId="15080F5E" w14:textId="2197FA37" w:rsidR="00CA6338" w:rsidRDefault="00752D0E" w:rsidP="00CA6338">
      <w:pPr>
        <w:tabs>
          <w:tab w:val="left" w:pos="1418"/>
        </w:tabs>
        <w:rPr>
          <w:rFonts w:cs="Arial"/>
          <w:szCs w:val="22"/>
        </w:rPr>
      </w:pPr>
      <w:r>
        <w:rPr>
          <w:rFonts w:cs="Arial"/>
          <w:szCs w:val="22"/>
          <w:u w:val="single"/>
        </w:rPr>
        <w:t xml:space="preserve">#1 </w:t>
      </w:r>
      <w:r w:rsidR="00CA6338" w:rsidRPr="00CA6338">
        <w:rPr>
          <w:rFonts w:cs="Arial"/>
          <w:szCs w:val="22"/>
          <w:u w:val="single"/>
        </w:rPr>
        <w:t>Concern:</w:t>
      </w:r>
      <w:r w:rsidR="00CA6338">
        <w:rPr>
          <w:rFonts w:cs="Arial"/>
          <w:szCs w:val="22"/>
        </w:rPr>
        <w:t xml:space="preserve"> </w:t>
      </w:r>
      <w:r w:rsidR="00692CB1">
        <w:rPr>
          <w:rFonts w:cs="Arial"/>
          <w:szCs w:val="22"/>
        </w:rPr>
        <w:t xml:space="preserve"> Being a nonprofit with cash flows coming through at various times through the year, a </w:t>
      </w:r>
      <w:r w:rsidR="003423FE">
        <w:rPr>
          <w:rFonts w:cs="Arial"/>
          <w:szCs w:val="22"/>
        </w:rPr>
        <w:t>monthly cash flow statement and trend would be beneficial</w:t>
      </w:r>
      <w:r w:rsidR="00C31E1E">
        <w:rPr>
          <w:rFonts w:cs="Arial"/>
          <w:szCs w:val="22"/>
        </w:rPr>
        <w:t xml:space="preserve"> for understanding of the </w:t>
      </w:r>
      <w:r w:rsidR="00522423">
        <w:rPr>
          <w:rFonts w:cs="Arial"/>
          <w:szCs w:val="22"/>
        </w:rPr>
        <w:t xml:space="preserve">varying ins and outs of </w:t>
      </w:r>
      <w:r w:rsidR="00C31E1E">
        <w:rPr>
          <w:rFonts w:cs="Arial"/>
          <w:szCs w:val="22"/>
        </w:rPr>
        <w:t>cash throughout the year.</w:t>
      </w:r>
    </w:p>
    <w:p w14:paraId="4A9272BF" w14:textId="77777777" w:rsidR="00CA6338" w:rsidRDefault="00CA6338" w:rsidP="00CA6338">
      <w:pPr>
        <w:tabs>
          <w:tab w:val="left" w:pos="1418"/>
        </w:tabs>
        <w:rPr>
          <w:rFonts w:cs="Arial"/>
          <w:szCs w:val="22"/>
        </w:rPr>
      </w:pPr>
    </w:p>
    <w:p w14:paraId="5B55ED53" w14:textId="5C10DFCA" w:rsidR="00CA6338" w:rsidRDefault="00CA6338" w:rsidP="00CA6338">
      <w:pPr>
        <w:tabs>
          <w:tab w:val="left" w:pos="1418"/>
        </w:tabs>
        <w:rPr>
          <w:rFonts w:cs="Arial"/>
          <w:szCs w:val="22"/>
        </w:rPr>
      </w:pPr>
      <w:r w:rsidRPr="00CA6338">
        <w:rPr>
          <w:rFonts w:cs="Arial"/>
          <w:szCs w:val="22"/>
          <w:u w:val="single"/>
        </w:rPr>
        <w:t>Recommendation:</w:t>
      </w:r>
      <w:r>
        <w:rPr>
          <w:rFonts w:cs="Arial"/>
          <w:szCs w:val="22"/>
        </w:rPr>
        <w:t xml:space="preserve"> A </w:t>
      </w:r>
      <w:r w:rsidR="003423FE">
        <w:rPr>
          <w:rFonts w:cs="Arial"/>
          <w:szCs w:val="22"/>
        </w:rPr>
        <w:t>statement of cash flows should be developed</w:t>
      </w:r>
      <w:r w:rsidR="007F07FD">
        <w:rPr>
          <w:rFonts w:cs="Arial"/>
          <w:szCs w:val="22"/>
        </w:rPr>
        <w:t xml:space="preserve"> </w:t>
      </w:r>
      <w:r w:rsidR="003423FE">
        <w:rPr>
          <w:rFonts w:cs="Arial"/>
          <w:szCs w:val="22"/>
        </w:rPr>
        <w:t xml:space="preserve">to </w:t>
      </w:r>
      <w:r w:rsidR="007F07FD">
        <w:rPr>
          <w:rFonts w:cs="Arial"/>
          <w:szCs w:val="22"/>
        </w:rPr>
        <w:t xml:space="preserve">present </w:t>
      </w:r>
      <w:r w:rsidR="003423FE">
        <w:rPr>
          <w:rFonts w:cs="Arial"/>
          <w:szCs w:val="22"/>
        </w:rPr>
        <w:t>cash inflow and outflows for the mont</w:t>
      </w:r>
      <w:r w:rsidR="007F07FD">
        <w:rPr>
          <w:rFonts w:cs="Arial"/>
          <w:szCs w:val="22"/>
        </w:rPr>
        <w:t xml:space="preserve">h </w:t>
      </w:r>
      <w:r w:rsidR="00522423">
        <w:rPr>
          <w:rFonts w:cs="Arial"/>
          <w:szCs w:val="22"/>
        </w:rPr>
        <w:t>as well as</w:t>
      </w:r>
      <w:r w:rsidR="007F07FD">
        <w:rPr>
          <w:rFonts w:cs="Arial"/>
          <w:szCs w:val="22"/>
        </w:rPr>
        <w:t xml:space="preserve"> </w:t>
      </w:r>
      <w:r w:rsidR="00E02617">
        <w:rPr>
          <w:rFonts w:cs="Arial"/>
          <w:szCs w:val="22"/>
        </w:rPr>
        <w:t xml:space="preserve">an </w:t>
      </w:r>
      <w:r w:rsidR="007F07FD">
        <w:rPr>
          <w:rFonts w:cs="Arial"/>
          <w:szCs w:val="22"/>
        </w:rPr>
        <w:t>annual projection</w:t>
      </w:r>
      <w:r w:rsidR="00522423">
        <w:rPr>
          <w:rFonts w:cs="Arial"/>
          <w:szCs w:val="22"/>
        </w:rPr>
        <w:t xml:space="preserve"> – this would be done YTD, so all actuals through a current month and projection for the rest of the year</w:t>
      </w:r>
      <w:r w:rsidR="007F07FD">
        <w:rPr>
          <w:rFonts w:cs="Arial"/>
          <w:szCs w:val="22"/>
        </w:rPr>
        <w:t xml:space="preserve">.  In doing this, it will allow </w:t>
      </w:r>
      <w:r w:rsidR="00E02617">
        <w:rPr>
          <w:rFonts w:cs="Arial"/>
          <w:szCs w:val="22"/>
        </w:rPr>
        <w:t>the board and school principals to see the timing of cash coming in and when it is expected to be used.</w:t>
      </w:r>
      <w:r w:rsidR="00A271FF">
        <w:rPr>
          <w:rFonts w:cs="Arial"/>
          <w:szCs w:val="22"/>
        </w:rPr>
        <w:t xml:space="preserve">  There was a question of what to do with excess cash at the end of the year – a </w:t>
      </w:r>
      <w:r w:rsidR="00A271FF">
        <w:rPr>
          <w:rFonts w:cs="Arial"/>
          <w:szCs w:val="22"/>
        </w:rPr>
        <w:lastRenderedPageBreak/>
        <w:t>recommendation is that with the cash flow statement being monitored monthly, a projection of surplus or deficit can be projected earlier in the year.  At that time, it can be determined if there are other items that can be covered by the PTO</w:t>
      </w:r>
      <w:r w:rsidR="000B0C90">
        <w:rPr>
          <w:rFonts w:cs="Arial"/>
          <w:szCs w:val="22"/>
        </w:rPr>
        <w:t xml:space="preserve"> for the school</w:t>
      </w:r>
      <w:r w:rsidR="00CA4F55">
        <w:rPr>
          <w:rFonts w:cs="Arial"/>
          <w:szCs w:val="22"/>
        </w:rPr>
        <w:t xml:space="preserve"> or other events budgets increased and the overages covered by the cash surplus.  It would be recommended that this cash be moved to the separate surplus account</w:t>
      </w:r>
      <w:r w:rsidR="005F1F65">
        <w:rPr>
          <w:rFonts w:cs="Arial"/>
          <w:szCs w:val="22"/>
        </w:rPr>
        <w:t xml:space="preserve"> (interest bearing account) and then </w:t>
      </w:r>
      <w:r w:rsidR="001D6D4F">
        <w:rPr>
          <w:rFonts w:cs="Arial"/>
          <w:szCs w:val="22"/>
        </w:rPr>
        <w:t>withdrawn as needed.</w:t>
      </w:r>
    </w:p>
    <w:p w14:paraId="728E7B1D" w14:textId="77777777" w:rsidR="00752D0E" w:rsidRDefault="00752D0E" w:rsidP="00CA6338">
      <w:pPr>
        <w:tabs>
          <w:tab w:val="left" w:pos="1418"/>
        </w:tabs>
        <w:rPr>
          <w:rFonts w:cs="Arial"/>
          <w:szCs w:val="22"/>
        </w:rPr>
      </w:pPr>
    </w:p>
    <w:p w14:paraId="6A4DB9C0" w14:textId="313CBF6A" w:rsidR="00752D0E" w:rsidRDefault="00752D0E" w:rsidP="00CA6338">
      <w:pPr>
        <w:tabs>
          <w:tab w:val="left" w:pos="1418"/>
        </w:tabs>
        <w:rPr>
          <w:rFonts w:cs="Arial"/>
          <w:szCs w:val="22"/>
        </w:rPr>
      </w:pPr>
      <w:r>
        <w:rPr>
          <w:rFonts w:cs="Arial"/>
          <w:szCs w:val="22"/>
          <w:u w:val="single"/>
        </w:rPr>
        <w:t xml:space="preserve">#2 </w:t>
      </w:r>
      <w:r w:rsidRPr="00752D0E">
        <w:rPr>
          <w:rFonts w:cs="Arial"/>
          <w:szCs w:val="22"/>
          <w:u w:val="single"/>
        </w:rPr>
        <w:t>Concern:</w:t>
      </w:r>
      <w:r>
        <w:rPr>
          <w:rFonts w:cs="Arial"/>
          <w:szCs w:val="22"/>
        </w:rPr>
        <w:t xml:space="preserve"> </w:t>
      </w:r>
      <w:r w:rsidR="00487774">
        <w:rPr>
          <w:rFonts w:cs="Arial"/>
          <w:szCs w:val="22"/>
        </w:rPr>
        <w:t>For the annual book fair events</w:t>
      </w:r>
      <w:r w:rsidR="00B17DB0">
        <w:rPr>
          <w:rFonts w:cs="Arial"/>
          <w:szCs w:val="22"/>
        </w:rPr>
        <w:t xml:space="preserve">, it doesn’t appear that </w:t>
      </w:r>
      <w:r w:rsidR="00487774">
        <w:rPr>
          <w:rFonts w:cs="Arial"/>
          <w:szCs w:val="22"/>
        </w:rPr>
        <w:t xml:space="preserve">tracking of starting cash, daily ending cash, and reconciliation of sales are occurring.  </w:t>
      </w:r>
    </w:p>
    <w:p w14:paraId="5EEC2DA4" w14:textId="77777777" w:rsidR="00752D0E" w:rsidRDefault="00752D0E" w:rsidP="00CA6338">
      <w:pPr>
        <w:tabs>
          <w:tab w:val="left" w:pos="1418"/>
        </w:tabs>
        <w:rPr>
          <w:rFonts w:cs="Arial"/>
          <w:szCs w:val="22"/>
        </w:rPr>
      </w:pPr>
    </w:p>
    <w:p w14:paraId="7DAB671E" w14:textId="169D34AD" w:rsidR="00752D0E" w:rsidRDefault="00752D0E" w:rsidP="00CA6338">
      <w:pPr>
        <w:tabs>
          <w:tab w:val="left" w:pos="1418"/>
        </w:tabs>
        <w:rPr>
          <w:rFonts w:cs="Arial"/>
          <w:szCs w:val="22"/>
        </w:rPr>
      </w:pPr>
      <w:r w:rsidRPr="00752D0E">
        <w:rPr>
          <w:rFonts w:cs="Arial"/>
          <w:szCs w:val="22"/>
          <w:u w:val="single"/>
        </w:rPr>
        <w:t>Recommendation:</w:t>
      </w:r>
      <w:r>
        <w:rPr>
          <w:rFonts w:cs="Arial"/>
          <w:szCs w:val="22"/>
        </w:rPr>
        <w:t xml:space="preserve"> </w:t>
      </w:r>
      <w:r w:rsidR="009A7419">
        <w:rPr>
          <w:rFonts w:cs="Arial"/>
          <w:color w:val="222222"/>
          <w:shd w:val="clear" w:color="auto" w:fill="FFFFFF"/>
        </w:rPr>
        <w:t>During the book fair, we recommend that a daily count and deposit of cash occurs</w:t>
      </w:r>
      <w:r w:rsidR="00E2072D">
        <w:rPr>
          <w:rFonts w:cs="Arial"/>
          <w:color w:val="222222"/>
          <w:shd w:val="clear" w:color="auto" w:fill="FFFFFF"/>
        </w:rPr>
        <w:t xml:space="preserve"> at the end of </w:t>
      </w:r>
      <w:r w:rsidR="00CB4034">
        <w:rPr>
          <w:rFonts w:cs="Arial"/>
          <w:color w:val="222222"/>
          <w:shd w:val="clear" w:color="auto" w:fill="FFFFFF"/>
        </w:rPr>
        <w:t>each day.  This count of cash should also include a reconciliation back to the end of day sales for the day</w:t>
      </w:r>
      <w:r w:rsidR="00BB1953">
        <w:rPr>
          <w:rFonts w:cs="Arial"/>
          <w:color w:val="222222"/>
          <w:shd w:val="clear" w:color="auto" w:fill="FFFFFF"/>
        </w:rPr>
        <w:t xml:space="preserve"> from each register with credit card sales</w:t>
      </w:r>
      <w:r w:rsidR="00A24D88">
        <w:rPr>
          <w:rFonts w:cs="Arial"/>
          <w:color w:val="222222"/>
          <w:shd w:val="clear" w:color="auto" w:fill="FFFFFF"/>
        </w:rPr>
        <w:t>.</w:t>
      </w:r>
    </w:p>
    <w:p w14:paraId="33E60684" w14:textId="77777777" w:rsidR="00752D0E" w:rsidRDefault="00752D0E" w:rsidP="00CA6338">
      <w:pPr>
        <w:tabs>
          <w:tab w:val="left" w:pos="1418"/>
        </w:tabs>
        <w:rPr>
          <w:rFonts w:cs="Arial"/>
          <w:szCs w:val="22"/>
        </w:rPr>
      </w:pPr>
    </w:p>
    <w:p w14:paraId="5AFFC464" w14:textId="1CDE15B3" w:rsidR="00752D0E" w:rsidRDefault="00752D0E" w:rsidP="00CA6338">
      <w:pPr>
        <w:tabs>
          <w:tab w:val="left" w:pos="1418"/>
        </w:tabs>
        <w:rPr>
          <w:rFonts w:cs="Arial"/>
          <w:szCs w:val="22"/>
        </w:rPr>
      </w:pPr>
      <w:r w:rsidRPr="00630D57">
        <w:rPr>
          <w:rFonts w:cs="Arial"/>
          <w:szCs w:val="22"/>
          <w:u w:val="single"/>
        </w:rPr>
        <w:t>#3 Concern:</w:t>
      </w:r>
      <w:r>
        <w:rPr>
          <w:rFonts w:cs="Arial"/>
          <w:szCs w:val="22"/>
        </w:rPr>
        <w:t xml:space="preserve"> </w:t>
      </w:r>
      <w:r w:rsidR="00A67A48">
        <w:rPr>
          <w:rFonts w:cs="Arial"/>
          <w:szCs w:val="22"/>
        </w:rPr>
        <w:t xml:space="preserve">990 </w:t>
      </w:r>
      <w:r w:rsidR="00002071">
        <w:rPr>
          <w:rFonts w:cs="Arial"/>
          <w:szCs w:val="22"/>
        </w:rPr>
        <w:t>tax filing</w:t>
      </w:r>
      <w:r>
        <w:rPr>
          <w:rFonts w:cs="Arial"/>
          <w:szCs w:val="22"/>
        </w:rPr>
        <w:t xml:space="preserve"> </w:t>
      </w:r>
    </w:p>
    <w:p w14:paraId="4E88C620" w14:textId="77777777" w:rsidR="00752D0E" w:rsidRDefault="00752D0E" w:rsidP="00CA6338">
      <w:pPr>
        <w:tabs>
          <w:tab w:val="left" w:pos="1418"/>
        </w:tabs>
        <w:rPr>
          <w:rFonts w:cs="Arial"/>
          <w:szCs w:val="22"/>
        </w:rPr>
      </w:pPr>
    </w:p>
    <w:p w14:paraId="6FDB8844" w14:textId="056E7529" w:rsidR="00752D0E" w:rsidRDefault="00752D0E" w:rsidP="00CA6338">
      <w:pPr>
        <w:tabs>
          <w:tab w:val="left" w:pos="1418"/>
        </w:tabs>
        <w:rPr>
          <w:rFonts w:cs="Arial"/>
          <w:szCs w:val="22"/>
        </w:rPr>
      </w:pPr>
      <w:r w:rsidRPr="00630D57">
        <w:rPr>
          <w:rFonts w:cs="Arial"/>
          <w:szCs w:val="22"/>
          <w:u w:val="single"/>
        </w:rPr>
        <w:t>Recommendation:</w:t>
      </w:r>
      <w:r>
        <w:rPr>
          <w:rFonts w:cs="Arial"/>
          <w:szCs w:val="22"/>
        </w:rPr>
        <w:t xml:space="preserve"> </w:t>
      </w:r>
      <w:r w:rsidR="00002071">
        <w:rPr>
          <w:rFonts w:cs="Arial"/>
          <w:szCs w:val="22"/>
        </w:rPr>
        <w:t xml:space="preserve"> In accordance with the IRS, organizations with less generally less than $50,000 gross receipts annually are to file a 990-N (postcard), which the SMPTO has previously filed.  After review of the financials, it appears that income was netted down by expenses.  Per the IRS, gross receipts are total amounts received from all sources, without subtracting any costs or expenses.  </w:t>
      </w:r>
      <w:r w:rsidR="00B33D23">
        <w:rPr>
          <w:rFonts w:cs="Arial"/>
          <w:szCs w:val="22"/>
        </w:rPr>
        <w:t xml:space="preserve">We recommend that a </w:t>
      </w:r>
      <w:r w:rsidR="007E302E">
        <w:rPr>
          <w:rFonts w:cs="Arial"/>
          <w:szCs w:val="22"/>
        </w:rPr>
        <w:t xml:space="preserve">form </w:t>
      </w:r>
      <w:r w:rsidR="00B33D23">
        <w:rPr>
          <w:rFonts w:cs="Arial"/>
          <w:szCs w:val="22"/>
        </w:rPr>
        <w:t xml:space="preserve">990ez is completed </w:t>
      </w:r>
      <w:r w:rsidR="007E302E">
        <w:rPr>
          <w:rFonts w:cs="Arial"/>
          <w:szCs w:val="22"/>
        </w:rPr>
        <w:t xml:space="preserve">annually </w:t>
      </w:r>
      <w:r w:rsidR="00B33D23">
        <w:rPr>
          <w:rFonts w:cs="Arial"/>
          <w:szCs w:val="22"/>
        </w:rPr>
        <w:t>to comply with the tax filing regulations moving forwar</w:t>
      </w:r>
      <w:r w:rsidR="007E302E">
        <w:rPr>
          <w:rFonts w:cs="Arial"/>
          <w:szCs w:val="22"/>
        </w:rPr>
        <w:t>d, while continuing to maintain an annual review of gross receipts.</w:t>
      </w:r>
    </w:p>
    <w:p w14:paraId="1B41CBCA" w14:textId="77777777" w:rsidR="000E2FF5" w:rsidRDefault="000E2FF5" w:rsidP="00CA6338">
      <w:pPr>
        <w:tabs>
          <w:tab w:val="left" w:pos="1418"/>
        </w:tabs>
        <w:rPr>
          <w:rFonts w:cs="Arial"/>
          <w:szCs w:val="22"/>
        </w:rPr>
      </w:pPr>
    </w:p>
    <w:p w14:paraId="4A5D765E" w14:textId="21062181" w:rsidR="000E2FF5" w:rsidRPr="000E2FF5" w:rsidRDefault="000E2FF5" w:rsidP="00CA6338">
      <w:pPr>
        <w:tabs>
          <w:tab w:val="left" w:pos="1418"/>
        </w:tabs>
        <w:rPr>
          <w:rFonts w:cs="Arial"/>
          <w:b/>
          <w:bCs/>
          <w:szCs w:val="22"/>
        </w:rPr>
      </w:pPr>
      <w:r w:rsidRPr="000E2FF5">
        <w:rPr>
          <w:rFonts w:cs="Arial"/>
          <w:b/>
          <w:bCs/>
          <w:szCs w:val="22"/>
        </w:rPr>
        <w:t>Cash:</w:t>
      </w:r>
    </w:p>
    <w:p w14:paraId="4C5B7248" w14:textId="77777777" w:rsidR="000E2FF5" w:rsidRDefault="000E2FF5" w:rsidP="00CA6338">
      <w:pPr>
        <w:tabs>
          <w:tab w:val="left" w:pos="1418"/>
        </w:tabs>
        <w:rPr>
          <w:rFonts w:cs="Arial"/>
          <w:szCs w:val="22"/>
        </w:rPr>
      </w:pPr>
    </w:p>
    <w:p w14:paraId="7C395E0E" w14:textId="11542D04" w:rsidR="000E2FF5" w:rsidRDefault="000E2FF5" w:rsidP="00CA6338">
      <w:pPr>
        <w:tabs>
          <w:tab w:val="left" w:pos="1418"/>
        </w:tabs>
        <w:rPr>
          <w:rFonts w:cs="Arial"/>
          <w:szCs w:val="22"/>
        </w:rPr>
      </w:pPr>
      <w:r w:rsidRPr="000E2FF5">
        <w:rPr>
          <w:rFonts w:cs="Arial"/>
          <w:szCs w:val="22"/>
          <w:u w:val="single"/>
        </w:rPr>
        <w:t>#1 Concern:</w:t>
      </w:r>
      <w:r>
        <w:rPr>
          <w:rFonts w:cs="Arial"/>
          <w:szCs w:val="22"/>
        </w:rPr>
        <w:t xml:space="preserve"> Procedures and safeguards around cash are inadequate and leave the organization susceptible to fraud</w:t>
      </w:r>
      <w:r w:rsidR="00A467E7">
        <w:rPr>
          <w:rFonts w:cs="Arial"/>
          <w:szCs w:val="22"/>
        </w:rPr>
        <w:t>.</w:t>
      </w:r>
      <w:r w:rsidR="00AE6E3E">
        <w:rPr>
          <w:rFonts w:cs="Arial"/>
          <w:szCs w:val="22"/>
        </w:rPr>
        <w:t xml:space="preserve">  This was implemented at Spring </w:t>
      </w:r>
      <w:proofErr w:type="gramStart"/>
      <w:r w:rsidR="00AE6E3E">
        <w:rPr>
          <w:rFonts w:cs="Arial"/>
          <w:szCs w:val="22"/>
        </w:rPr>
        <w:t>Fling, but</w:t>
      </w:r>
      <w:proofErr w:type="gramEnd"/>
      <w:r w:rsidR="00AE6E3E">
        <w:rPr>
          <w:rFonts w:cs="Arial"/>
          <w:szCs w:val="22"/>
        </w:rPr>
        <w:t xml:space="preserve"> aim to continue this and add to any event where there is cash exchanging hands.</w:t>
      </w:r>
    </w:p>
    <w:p w14:paraId="4DA1ADC5" w14:textId="77777777" w:rsidR="000E2FF5" w:rsidRDefault="000E2FF5" w:rsidP="00CA6338">
      <w:pPr>
        <w:tabs>
          <w:tab w:val="left" w:pos="1418"/>
        </w:tabs>
        <w:rPr>
          <w:rFonts w:cs="Arial"/>
          <w:szCs w:val="22"/>
        </w:rPr>
      </w:pPr>
    </w:p>
    <w:p w14:paraId="4F348003" w14:textId="7B51930B" w:rsidR="000E2FF5" w:rsidRDefault="000E2FF5" w:rsidP="00CA6338">
      <w:pPr>
        <w:tabs>
          <w:tab w:val="left" w:pos="1418"/>
        </w:tabs>
        <w:rPr>
          <w:rFonts w:cs="Arial"/>
          <w:szCs w:val="22"/>
        </w:rPr>
      </w:pPr>
      <w:r w:rsidRPr="000E2FF5">
        <w:rPr>
          <w:rFonts w:cs="Arial"/>
          <w:szCs w:val="22"/>
          <w:u w:val="single"/>
        </w:rPr>
        <w:t>Recommendation:</w:t>
      </w:r>
      <w:r>
        <w:rPr>
          <w:rFonts w:cs="Arial"/>
          <w:szCs w:val="22"/>
        </w:rPr>
        <w:t xml:space="preserve"> Cash should be counted by two members of the board that are not responsible for depositing the cash. The amount of the cash that was counted should be kept separate and matched with the amount deposited to ensure it matches.</w:t>
      </w:r>
      <w:r w:rsidR="00342C59">
        <w:rPr>
          <w:rFonts w:cs="Arial"/>
          <w:szCs w:val="22"/>
        </w:rPr>
        <w:t xml:space="preserve">  </w:t>
      </w:r>
      <w:r>
        <w:rPr>
          <w:rFonts w:cs="Arial"/>
          <w:szCs w:val="22"/>
        </w:rPr>
        <w:t xml:space="preserve">The PTO should engage its bank, FNB, to inquiry if night deposits could be made so that cash does not have to be kept at </w:t>
      </w:r>
      <w:r w:rsidR="00342C59">
        <w:rPr>
          <w:rFonts w:cs="Arial"/>
          <w:szCs w:val="22"/>
        </w:rPr>
        <w:t xml:space="preserve">a board members </w:t>
      </w:r>
      <w:r>
        <w:rPr>
          <w:rFonts w:cs="Arial"/>
          <w:szCs w:val="22"/>
        </w:rPr>
        <w:t xml:space="preserve">house for more than </w:t>
      </w:r>
      <w:r w:rsidR="00342C59">
        <w:rPr>
          <w:rFonts w:cs="Arial"/>
          <w:szCs w:val="22"/>
        </w:rPr>
        <w:t>24-</w:t>
      </w:r>
      <w:r>
        <w:rPr>
          <w:rFonts w:cs="Arial"/>
          <w:szCs w:val="22"/>
        </w:rPr>
        <w:t>48 hours.</w:t>
      </w:r>
      <w:r w:rsidR="00414AE2">
        <w:rPr>
          <w:rFonts w:cs="Arial"/>
          <w:szCs w:val="22"/>
        </w:rPr>
        <w:t xml:space="preserve">  If FNB doesn’t seem to support this, we recommend reaching out to other banks who may offer this service in addition to a nonprofit </w:t>
      </w:r>
      <w:r w:rsidR="00DC0FB5">
        <w:rPr>
          <w:rFonts w:cs="Arial"/>
          <w:szCs w:val="22"/>
        </w:rPr>
        <w:t>interest-bearing</w:t>
      </w:r>
      <w:r w:rsidR="00414AE2">
        <w:rPr>
          <w:rFonts w:cs="Arial"/>
          <w:szCs w:val="22"/>
        </w:rPr>
        <w:t xml:space="preserve"> checking or savings account.</w:t>
      </w:r>
    </w:p>
    <w:p w14:paraId="0F3A6D89" w14:textId="77777777" w:rsidR="000A2309" w:rsidRDefault="000A2309" w:rsidP="00CA6338">
      <w:pPr>
        <w:tabs>
          <w:tab w:val="left" w:pos="1418"/>
        </w:tabs>
        <w:rPr>
          <w:rFonts w:cs="Arial"/>
          <w:szCs w:val="22"/>
        </w:rPr>
      </w:pPr>
    </w:p>
    <w:p w14:paraId="51D868D0" w14:textId="76824782" w:rsidR="000A2309" w:rsidRPr="000A2309" w:rsidRDefault="000A2309" w:rsidP="00CA6338">
      <w:pPr>
        <w:tabs>
          <w:tab w:val="left" w:pos="1418"/>
        </w:tabs>
        <w:rPr>
          <w:rFonts w:cs="Arial"/>
          <w:b/>
          <w:bCs/>
          <w:szCs w:val="22"/>
        </w:rPr>
      </w:pPr>
      <w:r w:rsidRPr="000A2309">
        <w:rPr>
          <w:rFonts w:cs="Arial"/>
          <w:b/>
          <w:bCs/>
          <w:szCs w:val="22"/>
        </w:rPr>
        <w:t xml:space="preserve">Accounts Payable: </w:t>
      </w:r>
    </w:p>
    <w:p w14:paraId="79A4B55E" w14:textId="77777777" w:rsidR="000A2309" w:rsidRDefault="000A2309" w:rsidP="00CA6338">
      <w:pPr>
        <w:tabs>
          <w:tab w:val="left" w:pos="1418"/>
        </w:tabs>
        <w:rPr>
          <w:rFonts w:cs="Arial"/>
          <w:szCs w:val="22"/>
        </w:rPr>
      </w:pPr>
    </w:p>
    <w:p w14:paraId="6E96FDBB" w14:textId="134A7F61" w:rsidR="000A2309" w:rsidRDefault="00AE6E3E" w:rsidP="00CA6338">
      <w:pPr>
        <w:tabs>
          <w:tab w:val="left" w:pos="1418"/>
        </w:tabs>
        <w:rPr>
          <w:rFonts w:cs="Arial"/>
          <w:szCs w:val="22"/>
        </w:rPr>
      </w:pPr>
      <w:r>
        <w:rPr>
          <w:rFonts w:cs="Arial"/>
          <w:szCs w:val="22"/>
          <w:u w:val="single"/>
        </w:rPr>
        <w:t>#1</w:t>
      </w:r>
      <w:r w:rsidR="000A2309" w:rsidRPr="00530F01">
        <w:rPr>
          <w:rFonts w:cs="Arial"/>
          <w:szCs w:val="22"/>
          <w:u w:val="single"/>
        </w:rPr>
        <w:t xml:space="preserve"> Concern:</w:t>
      </w:r>
      <w:r w:rsidR="000A2309">
        <w:rPr>
          <w:rFonts w:cs="Arial"/>
          <w:szCs w:val="22"/>
        </w:rPr>
        <w:t xml:space="preserve"> Payments are not </w:t>
      </w:r>
      <w:r>
        <w:rPr>
          <w:rFonts w:cs="Arial"/>
          <w:szCs w:val="22"/>
        </w:rPr>
        <w:t xml:space="preserve">tracked and sometimes </w:t>
      </w:r>
      <w:r w:rsidR="00530F01">
        <w:rPr>
          <w:rFonts w:cs="Arial"/>
          <w:szCs w:val="22"/>
        </w:rPr>
        <w:t>made in a timely matter to vendors</w:t>
      </w:r>
      <w:r>
        <w:rPr>
          <w:rFonts w:cs="Arial"/>
          <w:szCs w:val="22"/>
        </w:rPr>
        <w:t>.</w:t>
      </w:r>
    </w:p>
    <w:p w14:paraId="0FB4BE03" w14:textId="77777777" w:rsidR="00530F01" w:rsidRDefault="00530F01" w:rsidP="00CA6338">
      <w:pPr>
        <w:tabs>
          <w:tab w:val="left" w:pos="1418"/>
        </w:tabs>
        <w:rPr>
          <w:rFonts w:cs="Arial"/>
          <w:szCs w:val="22"/>
        </w:rPr>
      </w:pPr>
    </w:p>
    <w:p w14:paraId="6D517F17" w14:textId="027ED0F5" w:rsidR="00530F01" w:rsidRDefault="00530F01" w:rsidP="00CA6338">
      <w:pPr>
        <w:tabs>
          <w:tab w:val="left" w:pos="1418"/>
        </w:tabs>
        <w:rPr>
          <w:rFonts w:cs="Arial"/>
          <w:szCs w:val="22"/>
        </w:rPr>
      </w:pPr>
      <w:r w:rsidRPr="00530F01">
        <w:rPr>
          <w:rFonts w:cs="Arial"/>
          <w:szCs w:val="22"/>
          <w:u w:val="single"/>
        </w:rPr>
        <w:t>Recommendation:</w:t>
      </w:r>
      <w:r>
        <w:rPr>
          <w:rFonts w:cs="Arial"/>
          <w:szCs w:val="22"/>
        </w:rPr>
        <w:t xml:space="preserve"> Treasurer should report out each month the open payable balance and required due date. </w:t>
      </w:r>
      <w:r w:rsidR="00AE6E3E">
        <w:rPr>
          <w:rFonts w:cs="Arial"/>
          <w:szCs w:val="22"/>
        </w:rPr>
        <w:t xml:space="preserve"> Maintain a spreadsheet with all vendor payments due and date paid to ensure what could be missing (issues with invoices going to personal emails instead of PTO email, </w:t>
      </w:r>
      <w:proofErr w:type="spellStart"/>
      <w:r w:rsidR="00AE6E3E">
        <w:rPr>
          <w:rFonts w:cs="Arial"/>
          <w:szCs w:val="22"/>
        </w:rPr>
        <w:t>etc</w:t>
      </w:r>
      <w:proofErr w:type="spellEnd"/>
      <w:r w:rsidR="00AE6E3E">
        <w:rPr>
          <w:rFonts w:cs="Arial"/>
          <w:szCs w:val="22"/>
        </w:rPr>
        <w:t>).</w:t>
      </w:r>
    </w:p>
    <w:p w14:paraId="11F004EF" w14:textId="77777777" w:rsidR="000A2309" w:rsidRDefault="000A2309" w:rsidP="00CA6338">
      <w:pPr>
        <w:tabs>
          <w:tab w:val="left" w:pos="1418"/>
        </w:tabs>
        <w:rPr>
          <w:rFonts w:cs="Arial"/>
          <w:szCs w:val="22"/>
        </w:rPr>
      </w:pPr>
    </w:p>
    <w:p w14:paraId="50C717B3" w14:textId="77777777" w:rsidR="000A2309" w:rsidRDefault="000A2309" w:rsidP="00CA6338">
      <w:pPr>
        <w:tabs>
          <w:tab w:val="left" w:pos="1418"/>
        </w:tabs>
        <w:rPr>
          <w:rFonts w:cs="Arial"/>
          <w:szCs w:val="22"/>
        </w:rPr>
      </w:pPr>
    </w:p>
    <w:p w14:paraId="79995428" w14:textId="77777777" w:rsidR="00752D0E" w:rsidRPr="00CA6338" w:rsidRDefault="00752D0E" w:rsidP="00CA6338">
      <w:pPr>
        <w:tabs>
          <w:tab w:val="left" w:pos="1418"/>
        </w:tabs>
        <w:rPr>
          <w:rFonts w:cs="Arial"/>
          <w:szCs w:val="22"/>
        </w:rPr>
      </w:pPr>
    </w:p>
    <w:sectPr w:rsidR="00752D0E" w:rsidRPr="00CA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1DB"/>
    <w:multiLevelType w:val="hybridMultilevel"/>
    <w:tmpl w:val="EF424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03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54"/>
    <w:rsid w:val="00002071"/>
    <w:rsid w:val="00011454"/>
    <w:rsid w:val="000A2309"/>
    <w:rsid w:val="000B0C90"/>
    <w:rsid w:val="000E2FF5"/>
    <w:rsid w:val="001D6D4F"/>
    <w:rsid w:val="001F3B98"/>
    <w:rsid w:val="002F018A"/>
    <w:rsid w:val="002F15D4"/>
    <w:rsid w:val="002F2FF8"/>
    <w:rsid w:val="003423FE"/>
    <w:rsid w:val="00342C59"/>
    <w:rsid w:val="00414AE2"/>
    <w:rsid w:val="0044566F"/>
    <w:rsid w:val="00456977"/>
    <w:rsid w:val="00487774"/>
    <w:rsid w:val="004D3740"/>
    <w:rsid w:val="004D4FC8"/>
    <w:rsid w:val="00522423"/>
    <w:rsid w:val="00530F01"/>
    <w:rsid w:val="00544F7C"/>
    <w:rsid w:val="005F1F65"/>
    <w:rsid w:val="00630D57"/>
    <w:rsid w:val="00692CB1"/>
    <w:rsid w:val="00752D0E"/>
    <w:rsid w:val="007E302E"/>
    <w:rsid w:val="007F07FD"/>
    <w:rsid w:val="00966C01"/>
    <w:rsid w:val="009874AB"/>
    <w:rsid w:val="009A7419"/>
    <w:rsid w:val="009D2618"/>
    <w:rsid w:val="00A24D88"/>
    <w:rsid w:val="00A271FF"/>
    <w:rsid w:val="00A467E7"/>
    <w:rsid w:val="00A67A48"/>
    <w:rsid w:val="00A9453C"/>
    <w:rsid w:val="00AE6E3E"/>
    <w:rsid w:val="00B17DB0"/>
    <w:rsid w:val="00B33D23"/>
    <w:rsid w:val="00BB1953"/>
    <w:rsid w:val="00C31E1E"/>
    <w:rsid w:val="00CA4F55"/>
    <w:rsid w:val="00CA6338"/>
    <w:rsid w:val="00CB4034"/>
    <w:rsid w:val="00DC0FB5"/>
    <w:rsid w:val="00E02617"/>
    <w:rsid w:val="00E2072D"/>
    <w:rsid w:val="00EC125F"/>
    <w:rsid w:val="00F4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3D9B"/>
  <w15:chartTrackingRefBased/>
  <w15:docId w15:val="{D93D1B4B-645F-48FC-A0C0-69B5F9BE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54"/>
    <w:pPr>
      <w:spacing w:after="0" w:line="260" w:lineRule="exact"/>
    </w:pPr>
    <w:rPr>
      <w:rFonts w:ascii="Arial" w:eastAsia="Times New Roman" w:hAnsi="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Coolidge</dc:creator>
  <cp:keywords/>
  <dc:description/>
  <cp:lastModifiedBy>David Wickard</cp:lastModifiedBy>
  <cp:revision>34</cp:revision>
  <dcterms:created xsi:type="dcterms:W3CDTF">2024-10-13T12:02:00Z</dcterms:created>
  <dcterms:modified xsi:type="dcterms:W3CDTF">2024-10-15T13:27:00Z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f365c-1dcf-438b-9618-2e7c7ba18188_Enabled">
    <vt:lpwstr>true</vt:lpwstr>
  </property>
  <property fmtid="{D5CDD505-2E9C-101B-9397-08002B2CF9AE}" pid="3" name="MSIP_Label_4e0f365c-1dcf-438b-9618-2e7c7ba18188_SetDate">
    <vt:lpwstr>2024-10-13T12:02:45Z</vt:lpwstr>
  </property>
  <property fmtid="{D5CDD505-2E9C-101B-9397-08002B2CF9AE}" pid="4" name="MSIP_Label_4e0f365c-1dcf-438b-9618-2e7c7ba18188_Method">
    <vt:lpwstr>Standard</vt:lpwstr>
  </property>
  <property fmtid="{D5CDD505-2E9C-101B-9397-08002B2CF9AE}" pid="5" name="MSIP_Label_4e0f365c-1dcf-438b-9618-2e7c7ba18188_Name">
    <vt:lpwstr>defa4170-0d19-0005-0004-bc88714345d2</vt:lpwstr>
  </property>
  <property fmtid="{D5CDD505-2E9C-101B-9397-08002B2CF9AE}" pid="6" name="MSIP_Label_4e0f365c-1dcf-438b-9618-2e7c7ba18188_SiteId">
    <vt:lpwstr>61e3e978-4e6b-4bf3-aeae-e86c34e742d5</vt:lpwstr>
  </property>
  <property fmtid="{D5CDD505-2E9C-101B-9397-08002B2CF9AE}" pid="7" name="MSIP_Label_4e0f365c-1dcf-438b-9618-2e7c7ba18188_ActionId">
    <vt:lpwstr>66f777f9-3c32-4165-afbd-5cc3f2a097ab</vt:lpwstr>
  </property>
  <property fmtid="{D5CDD505-2E9C-101B-9397-08002B2CF9AE}" pid="8" name="MSIP_Label_4e0f365c-1dcf-438b-9618-2e7c7ba18188_ContentBits">
    <vt:lpwstr>0</vt:lpwstr>
  </property>
</Properties>
</file>