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460957E1" w:rsidR="00D17F85" w:rsidRDefault="000234D6" w:rsidP="009B41B0">
      <w:pPr>
        <w:widowControl w:val="0"/>
        <w:spacing w:after="0" w:line="240" w:lineRule="auto"/>
        <w:jc w:val="center"/>
        <w:rPr>
          <w:rFonts w:cstheme="minorHAnsi"/>
          <w:b/>
          <w:sz w:val="24"/>
          <w:szCs w:val="24"/>
        </w:rPr>
      </w:pPr>
      <w:r>
        <w:rPr>
          <w:rFonts w:cstheme="minorHAnsi"/>
          <w:b/>
          <w:sz w:val="24"/>
          <w:szCs w:val="24"/>
        </w:rPr>
        <w:t>Allowed and Prohibited Manual Reintegration Procedures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70BC3CBC"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2A7B22DA"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3976C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5C037A9D"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3976C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238E78C1"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56902068"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0D784A86" w14:textId="4B770583" w:rsidR="00D6489F"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02068" w:history="1">
            <w:r w:rsidR="00D6489F" w:rsidRPr="0036725E">
              <w:rPr>
                <w:rStyle w:val="Hyperlink"/>
                <w:noProof/>
              </w:rPr>
              <w:t>1</w:t>
            </w:r>
            <w:r w:rsidR="00D6489F">
              <w:rPr>
                <w:rFonts w:eastAsiaTheme="minorEastAsia"/>
                <w:noProof/>
                <w:kern w:val="2"/>
                <w:sz w:val="24"/>
                <w:szCs w:val="24"/>
                <w14:ligatures w14:val="standardContextual"/>
              </w:rPr>
              <w:tab/>
            </w:r>
            <w:r w:rsidR="00D6489F" w:rsidRPr="0036725E">
              <w:rPr>
                <w:rStyle w:val="Hyperlink"/>
                <w:noProof/>
              </w:rPr>
              <w:t>Table of Contents</w:t>
            </w:r>
            <w:r w:rsidR="00D6489F">
              <w:rPr>
                <w:noProof/>
                <w:webHidden/>
              </w:rPr>
              <w:tab/>
            </w:r>
            <w:r w:rsidR="00D6489F">
              <w:rPr>
                <w:noProof/>
                <w:webHidden/>
              </w:rPr>
              <w:fldChar w:fldCharType="begin"/>
            </w:r>
            <w:r w:rsidR="00D6489F">
              <w:rPr>
                <w:noProof/>
                <w:webHidden/>
              </w:rPr>
              <w:instrText xml:space="preserve"> PAGEREF _Toc156902068 \h </w:instrText>
            </w:r>
            <w:r w:rsidR="00D6489F">
              <w:rPr>
                <w:noProof/>
                <w:webHidden/>
              </w:rPr>
            </w:r>
            <w:r w:rsidR="00D6489F">
              <w:rPr>
                <w:noProof/>
                <w:webHidden/>
              </w:rPr>
              <w:fldChar w:fldCharType="separate"/>
            </w:r>
            <w:r w:rsidR="00D6489F">
              <w:rPr>
                <w:noProof/>
                <w:webHidden/>
              </w:rPr>
              <w:t>3</w:t>
            </w:r>
            <w:r w:rsidR="00D6489F">
              <w:rPr>
                <w:noProof/>
                <w:webHidden/>
              </w:rPr>
              <w:fldChar w:fldCharType="end"/>
            </w:r>
          </w:hyperlink>
        </w:p>
        <w:p w14:paraId="5ACF9CD1" w14:textId="1C34DA36"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69" w:history="1">
            <w:r w:rsidRPr="0036725E">
              <w:rPr>
                <w:rStyle w:val="Hyperlink"/>
                <w:noProof/>
              </w:rPr>
              <w:t>2</w:t>
            </w:r>
            <w:r>
              <w:rPr>
                <w:rFonts w:eastAsiaTheme="minorEastAsia"/>
                <w:noProof/>
                <w:kern w:val="2"/>
                <w:sz w:val="24"/>
                <w:szCs w:val="24"/>
                <w14:ligatures w14:val="standardContextual"/>
              </w:rPr>
              <w:tab/>
            </w:r>
            <w:r w:rsidRPr="0036725E">
              <w:rPr>
                <w:rStyle w:val="Hyperlink"/>
                <w:noProof/>
              </w:rPr>
              <w:t>Manual re-integration of chromatographic peaks.</w:t>
            </w:r>
            <w:r>
              <w:rPr>
                <w:noProof/>
                <w:webHidden/>
              </w:rPr>
              <w:tab/>
            </w:r>
            <w:r>
              <w:rPr>
                <w:noProof/>
                <w:webHidden/>
              </w:rPr>
              <w:fldChar w:fldCharType="begin"/>
            </w:r>
            <w:r>
              <w:rPr>
                <w:noProof/>
                <w:webHidden/>
              </w:rPr>
              <w:instrText xml:space="preserve"> PAGEREF _Toc156902069 \h </w:instrText>
            </w:r>
            <w:r>
              <w:rPr>
                <w:noProof/>
                <w:webHidden/>
              </w:rPr>
            </w:r>
            <w:r>
              <w:rPr>
                <w:noProof/>
                <w:webHidden/>
              </w:rPr>
              <w:fldChar w:fldCharType="separate"/>
            </w:r>
            <w:r>
              <w:rPr>
                <w:noProof/>
                <w:webHidden/>
              </w:rPr>
              <w:t>4</w:t>
            </w:r>
            <w:r>
              <w:rPr>
                <w:noProof/>
                <w:webHidden/>
              </w:rPr>
              <w:fldChar w:fldCharType="end"/>
            </w:r>
          </w:hyperlink>
        </w:p>
        <w:p w14:paraId="69BFE939" w14:textId="22C51084"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70" w:history="1">
            <w:r w:rsidRPr="0036725E">
              <w:rPr>
                <w:rStyle w:val="Hyperlink"/>
                <w:noProof/>
              </w:rPr>
              <w:t>3</w:t>
            </w:r>
            <w:r>
              <w:rPr>
                <w:rFonts w:eastAsiaTheme="minorEastAsia"/>
                <w:noProof/>
                <w:kern w:val="2"/>
                <w:sz w:val="24"/>
                <w:szCs w:val="24"/>
                <w14:ligatures w14:val="standardContextual"/>
              </w:rPr>
              <w:tab/>
            </w:r>
            <w:r w:rsidRPr="0036725E">
              <w:rPr>
                <w:rStyle w:val="Hyperlink"/>
                <w:noProof/>
              </w:rPr>
              <w:t>Allowed modifications and recordkeeping.</w:t>
            </w:r>
            <w:r>
              <w:rPr>
                <w:noProof/>
                <w:webHidden/>
              </w:rPr>
              <w:tab/>
            </w:r>
            <w:r>
              <w:rPr>
                <w:noProof/>
                <w:webHidden/>
              </w:rPr>
              <w:fldChar w:fldCharType="begin"/>
            </w:r>
            <w:r>
              <w:rPr>
                <w:noProof/>
                <w:webHidden/>
              </w:rPr>
              <w:instrText xml:space="preserve"> PAGEREF _Toc156902070 \h </w:instrText>
            </w:r>
            <w:r>
              <w:rPr>
                <w:noProof/>
                <w:webHidden/>
              </w:rPr>
            </w:r>
            <w:r>
              <w:rPr>
                <w:noProof/>
                <w:webHidden/>
              </w:rPr>
              <w:fldChar w:fldCharType="separate"/>
            </w:r>
            <w:r>
              <w:rPr>
                <w:noProof/>
                <w:webHidden/>
              </w:rPr>
              <w:t>4</w:t>
            </w:r>
            <w:r>
              <w:rPr>
                <w:noProof/>
                <w:webHidden/>
              </w:rPr>
              <w:fldChar w:fldCharType="end"/>
            </w:r>
          </w:hyperlink>
        </w:p>
        <w:p w14:paraId="02630DBF" w14:textId="4E2F0A55"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71" w:history="1">
            <w:r w:rsidRPr="0036725E">
              <w:rPr>
                <w:rStyle w:val="Hyperlink"/>
                <w:noProof/>
              </w:rPr>
              <w:t>4</w:t>
            </w:r>
            <w:r>
              <w:rPr>
                <w:rFonts w:eastAsiaTheme="minorEastAsia"/>
                <w:noProof/>
                <w:kern w:val="2"/>
                <w:sz w:val="24"/>
                <w:szCs w:val="24"/>
                <w14:ligatures w14:val="standardContextual"/>
              </w:rPr>
              <w:tab/>
            </w:r>
            <w:r w:rsidRPr="0036725E">
              <w:rPr>
                <w:rStyle w:val="Hyperlink"/>
                <w:noProof/>
              </w:rPr>
              <w:t>Prohibited Manual Reintegration.</w:t>
            </w:r>
            <w:r>
              <w:rPr>
                <w:noProof/>
                <w:webHidden/>
              </w:rPr>
              <w:tab/>
            </w:r>
            <w:r>
              <w:rPr>
                <w:noProof/>
                <w:webHidden/>
              </w:rPr>
              <w:fldChar w:fldCharType="begin"/>
            </w:r>
            <w:r>
              <w:rPr>
                <w:noProof/>
                <w:webHidden/>
              </w:rPr>
              <w:instrText xml:space="preserve"> PAGEREF _Toc156902071 \h </w:instrText>
            </w:r>
            <w:r>
              <w:rPr>
                <w:noProof/>
                <w:webHidden/>
              </w:rPr>
            </w:r>
            <w:r>
              <w:rPr>
                <w:noProof/>
                <w:webHidden/>
              </w:rPr>
              <w:fldChar w:fldCharType="separate"/>
            </w:r>
            <w:r>
              <w:rPr>
                <w:noProof/>
                <w:webHidden/>
              </w:rPr>
              <w:t>4</w:t>
            </w:r>
            <w:r>
              <w:rPr>
                <w:noProof/>
                <w:webHidden/>
              </w:rPr>
              <w:fldChar w:fldCharType="end"/>
            </w:r>
          </w:hyperlink>
        </w:p>
        <w:p w14:paraId="2D130A4A" w14:textId="08E0B5F0"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72" w:history="1">
            <w:r w:rsidRPr="0036725E">
              <w:rPr>
                <w:rStyle w:val="Hyperlink"/>
                <w:noProof/>
              </w:rPr>
              <w:t>5</w:t>
            </w:r>
            <w:r>
              <w:rPr>
                <w:rFonts w:eastAsiaTheme="minorEastAsia"/>
                <w:noProof/>
                <w:kern w:val="2"/>
                <w:sz w:val="24"/>
                <w:szCs w:val="24"/>
                <w14:ligatures w14:val="standardContextual"/>
              </w:rPr>
              <w:tab/>
            </w:r>
            <w:r w:rsidRPr="0036725E">
              <w:rPr>
                <w:rStyle w:val="Hyperlink"/>
                <w:noProof/>
              </w:rPr>
              <w:t>References</w:t>
            </w:r>
            <w:r>
              <w:rPr>
                <w:noProof/>
                <w:webHidden/>
              </w:rPr>
              <w:tab/>
            </w:r>
            <w:r>
              <w:rPr>
                <w:noProof/>
                <w:webHidden/>
              </w:rPr>
              <w:fldChar w:fldCharType="begin"/>
            </w:r>
            <w:r>
              <w:rPr>
                <w:noProof/>
                <w:webHidden/>
              </w:rPr>
              <w:instrText xml:space="preserve"> PAGEREF _Toc156902072 \h </w:instrText>
            </w:r>
            <w:r>
              <w:rPr>
                <w:noProof/>
                <w:webHidden/>
              </w:rPr>
            </w:r>
            <w:r>
              <w:rPr>
                <w:noProof/>
                <w:webHidden/>
              </w:rPr>
              <w:fldChar w:fldCharType="separate"/>
            </w:r>
            <w:r>
              <w:rPr>
                <w:noProof/>
                <w:webHidden/>
              </w:rPr>
              <w:t>5</w:t>
            </w:r>
            <w:r>
              <w:rPr>
                <w:noProof/>
                <w:webHidden/>
              </w:rPr>
              <w:fldChar w:fldCharType="end"/>
            </w:r>
          </w:hyperlink>
        </w:p>
        <w:p w14:paraId="4E7E91AD" w14:textId="77026097"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73" w:history="1">
            <w:r w:rsidRPr="0036725E">
              <w:rPr>
                <w:rStyle w:val="Hyperlink"/>
                <w:noProof/>
              </w:rPr>
              <w:t>6</w:t>
            </w:r>
            <w:r>
              <w:rPr>
                <w:rFonts w:eastAsiaTheme="minorEastAsia"/>
                <w:noProof/>
                <w:kern w:val="2"/>
                <w:sz w:val="24"/>
                <w:szCs w:val="24"/>
                <w14:ligatures w14:val="standardContextual"/>
              </w:rPr>
              <w:tab/>
            </w:r>
            <w:r w:rsidRPr="0036725E">
              <w:rPr>
                <w:rStyle w:val="Hyperlink"/>
                <w:noProof/>
              </w:rPr>
              <w:t>Definitions and Acronyms</w:t>
            </w:r>
            <w:r>
              <w:rPr>
                <w:noProof/>
                <w:webHidden/>
              </w:rPr>
              <w:tab/>
            </w:r>
            <w:r>
              <w:rPr>
                <w:noProof/>
                <w:webHidden/>
              </w:rPr>
              <w:fldChar w:fldCharType="begin"/>
            </w:r>
            <w:r>
              <w:rPr>
                <w:noProof/>
                <w:webHidden/>
              </w:rPr>
              <w:instrText xml:space="preserve"> PAGEREF _Toc156902073 \h </w:instrText>
            </w:r>
            <w:r>
              <w:rPr>
                <w:noProof/>
                <w:webHidden/>
              </w:rPr>
            </w:r>
            <w:r>
              <w:rPr>
                <w:noProof/>
                <w:webHidden/>
              </w:rPr>
              <w:fldChar w:fldCharType="separate"/>
            </w:r>
            <w:r>
              <w:rPr>
                <w:noProof/>
                <w:webHidden/>
              </w:rPr>
              <w:t>5</w:t>
            </w:r>
            <w:r>
              <w:rPr>
                <w:noProof/>
                <w:webHidden/>
              </w:rPr>
              <w:fldChar w:fldCharType="end"/>
            </w:r>
          </w:hyperlink>
        </w:p>
        <w:p w14:paraId="68A76DB1" w14:textId="4B5E15A7" w:rsidR="00D6489F" w:rsidRDefault="00D6489F">
          <w:pPr>
            <w:pStyle w:val="TOC2"/>
            <w:tabs>
              <w:tab w:val="left" w:pos="960"/>
              <w:tab w:val="right" w:leader="dot" w:pos="9350"/>
            </w:tabs>
            <w:rPr>
              <w:rFonts w:eastAsiaTheme="minorEastAsia"/>
              <w:noProof/>
              <w:kern w:val="2"/>
              <w:sz w:val="24"/>
              <w:szCs w:val="24"/>
              <w14:ligatures w14:val="standardContextual"/>
            </w:rPr>
          </w:pPr>
          <w:hyperlink w:anchor="_Toc156902074" w:history="1">
            <w:r w:rsidRPr="0036725E">
              <w:rPr>
                <w:rStyle w:val="Hyperlink"/>
                <w:noProof/>
              </w:rPr>
              <w:t>6.1</w:t>
            </w:r>
            <w:r>
              <w:rPr>
                <w:rFonts w:eastAsiaTheme="minorEastAsia"/>
                <w:noProof/>
                <w:kern w:val="2"/>
                <w:sz w:val="24"/>
                <w:szCs w:val="24"/>
                <w14:ligatures w14:val="standardContextual"/>
              </w:rPr>
              <w:tab/>
            </w:r>
            <w:r w:rsidRPr="0036725E">
              <w:rPr>
                <w:rStyle w:val="Hyperlink"/>
                <w:noProof/>
              </w:rPr>
              <w:t>Definitions</w:t>
            </w:r>
            <w:r>
              <w:rPr>
                <w:noProof/>
                <w:webHidden/>
              </w:rPr>
              <w:tab/>
            </w:r>
            <w:r>
              <w:rPr>
                <w:noProof/>
                <w:webHidden/>
              </w:rPr>
              <w:fldChar w:fldCharType="begin"/>
            </w:r>
            <w:r>
              <w:rPr>
                <w:noProof/>
                <w:webHidden/>
              </w:rPr>
              <w:instrText xml:space="preserve"> PAGEREF _Toc156902074 \h </w:instrText>
            </w:r>
            <w:r>
              <w:rPr>
                <w:noProof/>
                <w:webHidden/>
              </w:rPr>
            </w:r>
            <w:r>
              <w:rPr>
                <w:noProof/>
                <w:webHidden/>
              </w:rPr>
              <w:fldChar w:fldCharType="separate"/>
            </w:r>
            <w:r>
              <w:rPr>
                <w:noProof/>
                <w:webHidden/>
              </w:rPr>
              <w:t>5</w:t>
            </w:r>
            <w:r>
              <w:rPr>
                <w:noProof/>
                <w:webHidden/>
              </w:rPr>
              <w:fldChar w:fldCharType="end"/>
            </w:r>
          </w:hyperlink>
        </w:p>
        <w:p w14:paraId="7A2802F4" w14:textId="5900D689" w:rsidR="00D6489F" w:rsidRDefault="00D6489F">
          <w:pPr>
            <w:pStyle w:val="TOC2"/>
            <w:tabs>
              <w:tab w:val="left" w:pos="960"/>
              <w:tab w:val="right" w:leader="dot" w:pos="9350"/>
            </w:tabs>
            <w:rPr>
              <w:rFonts w:eastAsiaTheme="minorEastAsia"/>
              <w:noProof/>
              <w:kern w:val="2"/>
              <w:sz w:val="24"/>
              <w:szCs w:val="24"/>
              <w14:ligatures w14:val="standardContextual"/>
            </w:rPr>
          </w:pPr>
          <w:hyperlink w:anchor="_Toc156902075" w:history="1">
            <w:r w:rsidRPr="0036725E">
              <w:rPr>
                <w:rStyle w:val="Hyperlink"/>
                <w:noProof/>
              </w:rPr>
              <w:t>6.2</w:t>
            </w:r>
            <w:r>
              <w:rPr>
                <w:rFonts w:eastAsiaTheme="minorEastAsia"/>
                <w:noProof/>
                <w:kern w:val="2"/>
                <w:sz w:val="24"/>
                <w:szCs w:val="24"/>
                <w14:ligatures w14:val="standardContextual"/>
              </w:rPr>
              <w:tab/>
            </w:r>
            <w:r w:rsidRPr="0036725E">
              <w:rPr>
                <w:rStyle w:val="Hyperlink"/>
                <w:noProof/>
              </w:rPr>
              <w:t>Acronyms</w:t>
            </w:r>
            <w:r>
              <w:rPr>
                <w:noProof/>
                <w:webHidden/>
              </w:rPr>
              <w:tab/>
            </w:r>
            <w:r>
              <w:rPr>
                <w:noProof/>
                <w:webHidden/>
              </w:rPr>
              <w:fldChar w:fldCharType="begin"/>
            </w:r>
            <w:r>
              <w:rPr>
                <w:noProof/>
                <w:webHidden/>
              </w:rPr>
              <w:instrText xml:space="preserve"> PAGEREF _Toc156902075 \h </w:instrText>
            </w:r>
            <w:r>
              <w:rPr>
                <w:noProof/>
                <w:webHidden/>
              </w:rPr>
            </w:r>
            <w:r>
              <w:rPr>
                <w:noProof/>
                <w:webHidden/>
              </w:rPr>
              <w:fldChar w:fldCharType="separate"/>
            </w:r>
            <w:r>
              <w:rPr>
                <w:noProof/>
                <w:webHidden/>
              </w:rPr>
              <w:t>5</w:t>
            </w:r>
            <w:r>
              <w:rPr>
                <w:noProof/>
                <w:webHidden/>
              </w:rPr>
              <w:fldChar w:fldCharType="end"/>
            </w:r>
          </w:hyperlink>
        </w:p>
        <w:p w14:paraId="6C063ACE" w14:textId="40215849" w:rsidR="00D6489F" w:rsidRDefault="00D6489F">
          <w:pPr>
            <w:pStyle w:val="TOC1"/>
            <w:tabs>
              <w:tab w:val="left" w:pos="440"/>
              <w:tab w:val="right" w:leader="dot" w:pos="9350"/>
            </w:tabs>
            <w:rPr>
              <w:rFonts w:eastAsiaTheme="minorEastAsia"/>
              <w:noProof/>
              <w:kern w:val="2"/>
              <w:sz w:val="24"/>
              <w:szCs w:val="24"/>
              <w14:ligatures w14:val="standardContextual"/>
            </w:rPr>
          </w:pPr>
          <w:hyperlink w:anchor="_Toc156902076" w:history="1">
            <w:r w:rsidRPr="0036725E">
              <w:rPr>
                <w:rStyle w:val="Hyperlink"/>
                <w:noProof/>
              </w:rPr>
              <w:t>7</w:t>
            </w:r>
            <w:r>
              <w:rPr>
                <w:rFonts w:eastAsiaTheme="minorEastAsia"/>
                <w:noProof/>
                <w:kern w:val="2"/>
                <w:sz w:val="24"/>
                <w:szCs w:val="24"/>
                <w14:ligatures w14:val="standardContextual"/>
              </w:rPr>
              <w:tab/>
            </w:r>
            <w:r w:rsidRPr="0036725E">
              <w:rPr>
                <w:rStyle w:val="Hyperlink"/>
                <w:noProof/>
              </w:rPr>
              <w:t>Appendices</w:t>
            </w:r>
            <w:r>
              <w:rPr>
                <w:noProof/>
                <w:webHidden/>
              </w:rPr>
              <w:tab/>
            </w:r>
            <w:r>
              <w:rPr>
                <w:noProof/>
                <w:webHidden/>
              </w:rPr>
              <w:fldChar w:fldCharType="begin"/>
            </w:r>
            <w:r>
              <w:rPr>
                <w:noProof/>
                <w:webHidden/>
              </w:rPr>
              <w:instrText xml:space="preserve"> PAGEREF _Toc156902076 \h </w:instrText>
            </w:r>
            <w:r>
              <w:rPr>
                <w:noProof/>
                <w:webHidden/>
              </w:rPr>
            </w:r>
            <w:r>
              <w:rPr>
                <w:noProof/>
                <w:webHidden/>
              </w:rPr>
              <w:fldChar w:fldCharType="separate"/>
            </w:r>
            <w:r>
              <w:rPr>
                <w:noProof/>
                <w:webHidden/>
              </w:rPr>
              <w:t>6</w:t>
            </w:r>
            <w:r>
              <w:rPr>
                <w:noProof/>
                <w:webHidden/>
              </w:rPr>
              <w:fldChar w:fldCharType="end"/>
            </w:r>
          </w:hyperlink>
        </w:p>
        <w:p w14:paraId="17B12B1E" w14:textId="460AEDE4"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108F52FC" w14:textId="7F25163C" w:rsidR="000234D6" w:rsidRPr="000234D6" w:rsidRDefault="000234D6" w:rsidP="000234D6">
      <w:pPr>
        <w:pStyle w:val="Heading1"/>
      </w:pPr>
      <w:bookmarkStart w:id="2" w:name="_Toc149814590"/>
      <w:bookmarkStart w:id="3" w:name="_Toc156902069"/>
      <w:r w:rsidRPr="000234D6">
        <w:rPr>
          <w:rStyle w:val="HeaderChar"/>
        </w:rPr>
        <w:t>Manual re-integration of chromatographic</w:t>
      </w:r>
      <w:r w:rsidRPr="000234D6">
        <w:t xml:space="preserve"> peaks</w:t>
      </w:r>
      <w:bookmarkEnd w:id="2"/>
      <w:r>
        <w:t>.</w:t>
      </w:r>
      <w:bookmarkEnd w:id="3"/>
    </w:p>
    <w:p w14:paraId="656F358E" w14:textId="77777777" w:rsidR="000234D6" w:rsidRDefault="000234D6" w:rsidP="000234D6">
      <w:pPr>
        <w:spacing w:after="0" w:line="240" w:lineRule="auto"/>
        <w:rPr>
          <w:rFonts w:cstheme="minorHAnsi"/>
          <w:sz w:val="24"/>
          <w:szCs w:val="24"/>
        </w:rPr>
      </w:pPr>
    </w:p>
    <w:p w14:paraId="7D89B18C" w14:textId="77777777" w:rsidR="000234D6" w:rsidRDefault="000234D6" w:rsidP="000234D6">
      <w:pPr>
        <w:spacing w:after="0" w:line="240" w:lineRule="auto"/>
        <w:rPr>
          <w:rFonts w:eastAsiaTheme="minorEastAsia" w:cstheme="minorHAnsi"/>
          <w:sz w:val="24"/>
          <w:szCs w:val="24"/>
        </w:rPr>
      </w:pPr>
      <w:r>
        <w:rPr>
          <w:rFonts w:eastAsiaTheme="minorEastAsia" w:cstheme="minorHAnsi"/>
          <w:sz w:val="24"/>
          <w:szCs w:val="24"/>
        </w:rPr>
        <w:t>All efforts have been made to assure that chromatographic software properly recognizes the starting and ending points of a chromatographic peak so that proper integration will happen.  However, as columns age or the result of complex samples, chromatographic software does not always adequately recognize one or both points and either over or underestimates the peak area.</w:t>
      </w:r>
    </w:p>
    <w:p w14:paraId="4BB9ABF7" w14:textId="3CAE15DE" w:rsidR="000234D6" w:rsidRDefault="000234D6" w:rsidP="000234D6">
      <w:pPr>
        <w:spacing w:after="0" w:line="240" w:lineRule="auto"/>
        <w:rPr>
          <w:rFonts w:eastAsiaTheme="minorEastAsia" w:cstheme="minorHAnsi"/>
          <w:sz w:val="24"/>
          <w:szCs w:val="24"/>
        </w:rPr>
      </w:pPr>
      <w:r>
        <w:rPr>
          <w:rFonts w:eastAsiaTheme="minorEastAsia" w:cstheme="minorHAnsi"/>
          <w:sz w:val="24"/>
          <w:szCs w:val="24"/>
        </w:rPr>
        <w:t xml:space="preserve">  </w:t>
      </w:r>
    </w:p>
    <w:p w14:paraId="67595504" w14:textId="4CD2F58E" w:rsidR="0078374A" w:rsidRDefault="000234D6" w:rsidP="0078374A">
      <w:pPr>
        <w:pStyle w:val="Heading1"/>
      </w:pPr>
      <w:bookmarkStart w:id="4" w:name="_Toc156902070"/>
      <w:r>
        <w:t>Allowed modifications and recordkeeping.</w:t>
      </w:r>
      <w:bookmarkEnd w:id="4"/>
    </w:p>
    <w:p w14:paraId="691F569D" w14:textId="59E16B3D" w:rsidR="0078374A" w:rsidRPr="00E006FC" w:rsidRDefault="0078374A" w:rsidP="00D57721">
      <w:pPr>
        <w:spacing w:after="0" w:line="240" w:lineRule="auto"/>
        <w:rPr>
          <w:sz w:val="24"/>
          <w:szCs w:val="24"/>
        </w:rPr>
      </w:pPr>
    </w:p>
    <w:p w14:paraId="10E4D32E" w14:textId="77777777" w:rsidR="000234D6" w:rsidRDefault="000234D6" w:rsidP="000234D6">
      <w:pPr>
        <w:spacing w:after="0" w:line="240" w:lineRule="auto"/>
        <w:rPr>
          <w:rFonts w:eastAsiaTheme="minorEastAsia" w:cstheme="minorHAnsi"/>
          <w:sz w:val="24"/>
          <w:szCs w:val="24"/>
        </w:rPr>
      </w:pPr>
      <w:r>
        <w:rPr>
          <w:rFonts w:eastAsiaTheme="minorEastAsia" w:cstheme="minorHAnsi"/>
          <w:sz w:val="24"/>
          <w:szCs w:val="24"/>
        </w:rPr>
        <w:t>When this is recognized by the analyst, they are authorized to change either or both endpoints to correct for the failure by the analytical software.  When performing reintegration, the analyst is to do the following.</w:t>
      </w:r>
    </w:p>
    <w:p w14:paraId="35864F4C" w14:textId="77777777" w:rsidR="000234D6" w:rsidRDefault="000234D6" w:rsidP="000234D6">
      <w:pPr>
        <w:spacing w:after="0" w:line="240" w:lineRule="auto"/>
        <w:rPr>
          <w:rFonts w:eastAsiaTheme="minorEastAsia" w:cstheme="minorHAnsi"/>
          <w:sz w:val="24"/>
          <w:szCs w:val="24"/>
        </w:rPr>
      </w:pPr>
    </w:p>
    <w:p w14:paraId="7C9CEA4D" w14:textId="77777777" w:rsidR="000234D6" w:rsidRPr="007B2719" w:rsidRDefault="000234D6" w:rsidP="000234D6">
      <w:pPr>
        <w:pStyle w:val="ListParagraph"/>
        <w:numPr>
          <w:ilvl w:val="0"/>
          <w:numId w:val="13"/>
        </w:numPr>
        <w:spacing w:after="0" w:line="240" w:lineRule="auto"/>
        <w:rPr>
          <w:rFonts w:eastAsiaTheme="minorEastAsia" w:cstheme="minorHAnsi"/>
          <w:sz w:val="24"/>
          <w:szCs w:val="24"/>
        </w:rPr>
      </w:pPr>
      <w:bookmarkStart w:id="5" w:name="_Hlk118989345"/>
      <w:r w:rsidRPr="007B2719">
        <w:rPr>
          <w:rFonts w:eastAsiaTheme="minorEastAsia" w:cstheme="minorHAnsi"/>
          <w:sz w:val="24"/>
          <w:szCs w:val="24"/>
        </w:rPr>
        <w:t>Record the date when the correction was made.</w:t>
      </w:r>
    </w:p>
    <w:p w14:paraId="2AD5880E" w14:textId="77777777" w:rsidR="000234D6" w:rsidRDefault="000234D6" w:rsidP="000234D6">
      <w:pPr>
        <w:pStyle w:val="ListParagraph"/>
        <w:numPr>
          <w:ilvl w:val="0"/>
          <w:numId w:val="13"/>
        </w:numPr>
        <w:spacing w:after="0" w:line="240" w:lineRule="auto"/>
        <w:rPr>
          <w:rFonts w:eastAsiaTheme="minorEastAsia" w:cstheme="minorHAnsi"/>
          <w:sz w:val="24"/>
          <w:szCs w:val="24"/>
        </w:rPr>
      </w:pPr>
      <w:r w:rsidRPr="007B2719">
        <w:rPr>
          <w:rFonts w:eastAsiaTheme="minorEastAsia" w:cstheme="minorHAnsi"/>
          <w:sz w:val="24"/>
          <w:szCs w:val="24"/>
        </w:rPr>
        <w:t>Record the changes made.</w:t>
      </w:r>
    </w:p>
    <w:p w14:paraId="5CD15322" w14:textId="77777777" w:rsidR="000234D6" w:rsidRPr="007B2719" w:rsidRDefault="000234D6" w:rsidP="000234D6">
      <w:pPr>
        <w:pStyle w:val="ListParagraph"/>
        <w:numPr>
          <w:ilvl w:val="0"/>
          <w:numId w:val="13"/>
        </w:numPr>
        <w:spacing w:after="0" w:line="240" w:lineRule="auto"/>
        <w:rPr>
          <w:rFonts w:eastAsiaTheme="minorEastAsia" w:cstheme="minorHAnsi"/>
          <w:sz w:val="24"/>
          <w:szCs w:val="24"/>
        </w:rPr>
      </w:pPr>
      <w:r>
        <w:rPr>
          <w:rFonts w:eastAsiaTheme="minorEastAsia" w:cstheme="minorHAnsi"/>
          <w:sz w:val="24"/>
          <w:szCs w:val="24"/>
        </w:rPr>
        <w:t>Initial or otherwise mark who made the correction.</w:t>
      </w:r>
    </w:p>
    <w:p w14:paraId="656F1538" w14:textId="77777777" w:rsidR="000234D6" w:rsidRPr="003629D1" w:rsidRDefault="000234D6" w:rsidP="000234D6">
      <w:pPr>
        <w:pStyle w:val="ListParagraph"/>
        <w:numPr>
          <w:ilvl w:val="0"/>
          <w:numId w:val="13"/>
        </w:numPr>
        <w:spacing w:after="0" w:line="240" w:lineRule="auto"/>
        <w:rPr>
          <w:rFonts w:eastAsiaTheme="minorEastAsia" w:cstheme="minorHAnsi"/>
          <w:sz w:val="24"/>
          <w:szCs w:val="24"/>
        </w:rPr>
      </w:pPr>
      <w:r w:rsidRPr="007B2719">
        <w:rPr>
          <w:rFonts w:eastAsiaTheme="minorEastAsia" w:cstheme="minorHAnsi"/>
          <w:sz w:val="24"/>
          <w:szCs w:val="24"/>
        </w:rPr>
        <w:t>Record the new area and new concentration.</w:t>
      </w:r>
    </w:p>
    <w:p w14:paraId="718DE553" w14:textId="77777777" w:rsidR="000234D6" w:rsidRPr="007B2719" w:rsidRDefault="000234D6" w:rsidP="000234D6">
      <w:pPr>
        <w:pStyle w:val="ListParagraph"/>
        <w:numPr>
          <w:ilvl w:val="0"/>
          <w:numId w:val="13"/>
        </w:numPr>
        <w:spacing w:after="0" w:line="240" w:lineRule="auto"/>
        <w:rPr>
          <w:rFonts w:eastAsiaTheme="minorEastAsia" w:cstheme="minorHAnsi"/>
          <w:sz w:val="24"/>
          <w:szCs w:val="24"/>
        </w:rPr>
      </w:pPr>
      <w:r w:rsidRPr="007B2719">
        <w:rPr>
          <w:rFonts w:eastAsiaTheme="minorEastAsia" w:cstheme="minorHAnsi"/>
          <w:sz w:val="24"/>
          <w:szCs w:val="24"/>
        </w:rPr>
        <w:t>Retain the original chromatogram including the original calculations for area and concentration</w:t>
      </w:r>
      <w:bookmarkEnd w:id="5"/>
      <w:r w:rsidRPr="007B2719">
        <w:rPr>
          <w:rFonts w:eastAsiaTheme="minorEastAsia" w:cstheme="minorHAnsi"/>
          <w:sz w:val="24"/>
          <w:szCs w:val="24"/>
        </w:rPr>
        <w:t>.</w:t>
      </w:r>
    </w:p>
    <w:p w14:paraId="6BA39524" w14:textId="77777777" w:rsidR="000234D6" w:rsidRDefault="000234D6" w:rsidP="000234D6">
      <w:pPr>
        <w:spacing w:after="0" w:line="240" w:lineRule="auto"/>
        <w:rPr>
          <w:rFonts w:eastAsiaTheme="minorEastAsia" w:cstheme="minorHAnsi"/>
          <w:sz w:val="24"/>
          <w:szCs w:val="24"/>
        </w:rPr>
      </w:pPr>
    </w:p>
    <w:p w14:paraId="41B32F5A" w14:textId="542328DE" w:rsidR="00C457BE" w:rsidRDefault="000234D6" w:rsidP="004E71B9">
      <w:pPr>
        <w:pStyle w:val="Heading1"/>
      </w:pPr>
      <w:bookmarkStart w:id="6" w:name="_Toc156902071"/>
      <w:r>
        <w:t>Prohibited Manual Reintegration.</w:t>
      </w:r>
      <w:bookmarkEnd w:id="6"/>
    </w:p>
    <w:p w14:paraId="122C615F" w14:textId="47790751" w:rsidR="004E71B9" w:rsidRPr="00E006FC" w:rsidRDefault="004E71B9" w:rsidP="00C457BE">
      <w:pPr>
        <w:spacing w:after="0" w:line="240" w:lineRule="auto"/>
        <w:rPr>
          <w:sz w:val="24"/>
          <w:szCs w:val="24"/>
        </w:rPr>
      </w:pPr>
    </w:p>
    <w:p w14:paraId="266D4823" w14:textId="77777777" w:rsidR="000234D6" w:rsidRDefault="000234D6" w:rsidP="000234D6">
      <w:pPr>
        <w:spacing w:after="0" w:line="240" w:lineRule="auto"/>
        <w:rPr>
          <w:rFonts w:eastAsiaTheme="minorEastAsia" w:cstheme="minorHAnsi"/>
          <w:sz w:val="24"/>
          <w:szCs w:val="24"/>
        </w:rPr>
      </w:pPr>
      <w:r>
        <w:rPr>
          <w:rFonts w:eastAsiaTheme="minorEastAsia" w:cstheme="minorHAnsi"/>
          <w:sz w:val="24"/>
          <w:szCs w:val="24"/>
        </w:rPr>
        <w:t>Although it is left to the judgement of the analyst whether to reintegrate a chromatographic peak, the following situations are prohibited from reintegration.</w:t>
      </w:r>
    </w:p>
    <w:p w14:paraId="49753F5B" w14:textId="77777777" w:rsidR="000234D6" w:rsidRDefault="000234D6" w:rsidP="000234D6">
      <w:pPr>
        <w:spacing w:after="0" w:line="240" w:lineRule="auto"/>
        <w:rPr>
          <w:rFonts w:eastAsiaTheme="minorEastAsia" w:cstheme="minorHAnsi"/>
          <w:sz w:val="24"/>
          <w:szCs w:val="24"/>
        </w:rPr>
      </w:pPr>
    </w:p>
    <w:p w14:paraId="320C5B54" w14:textId="77777777" w:rsidR="000234D6" w:rsidRPr="007B2719" w:rsidRDefault="000234D6" w:rsidP="000234D6">
      <w:pPr>
        <w:pStyle w:val="ListParagraph"/>
        <w:numPr>
          <w:ilvl w:val="0"/>
          <w:numId w:val="14"/>
        </w:numPr>
        <w:spacing w:after="0" w:line="240" w:lineRule="auto"/>
        <w:rPr>
          <w:rFonts w:eastAsiaTheme="minorEastAsia" w:cstheme="minorHAnsi"/>
          <w:sz w:val="24"/>
          <w:szCs w:val="24"/>
        </w:rPr>
      </w:pPr>
      <w:r w:rsidRPr="007B2719">
        <w:rPr>
          <w:rFonts w:eastAsiaTheme="minorEastAsia" w:cstheme="minorHAnsi"/>
          <w:sz w:val="24"/>
          <w:szCs w:val="24"/>
        </w:rPr>
        <w:t>A peak that is more than ½ outside of the retention time window.</w:t>
      </w:r>
    </w:p>
    <w:p w14:paraId="1F18741E" w14:textId="77777777" w:rsidR="000234D6" w:rsidRPr="007B2719" w:rsidRDefault="000234D6" w:rsidP="000234D6">
      <w:pPr>
        <w:pStyle w:val="ListParagraph"/>
        <w:numPr>
          <w:ilvl w:val="0"/>
          <w:numId w:val="14"/>
        </w:numPr>
        <w:spacing w:after="0" w:line="240" w:lineRule="auto"/>
        <w:rPr>
          <w:rFonts w:eastAsiaTheme="minorEastAsia" w:cstheme="minorHAnsi"/>
          <w:sz w:val="24"/>
          <w:szCs w:val="24"/>
        </w:rPr>
      </w:pPr>
      <w:r w:rsidRPr="007B2719">
        <w:rPr>
          <w:rFonts w:eastAsiaTheme="minorEastAsia" w:cstheme="minorHAnsi"/>
          <w:sz w:val="24"/>
          <w:szCs w:val="24"/>
        </w:rPr>
        <w:t>A peak associated with a calibration standard, Negative or Positive Control, or any Calibration Verification sample.</w:t>
      </w:r>
    </w:p>
    <w:p w14:paraId="082B6B22" w14:textId="77777777" w:rsidR="000234D6" w:rsidRPr="007B2719" w:rsidRDefault="000234D6" w:rsidP="000234D6">
      <w:pPr>
        <w:pStyle w:val="ListParagraph"/>
        <w:numPr>
          <w:ilvl w:val="0"/>
          <w:numId w:val="14"/>
        </w:numPr>
        <w:spacing w:after="0" w:line="240" w:lineRule="auto"/>
        <w:rPr>
          <w:rFonts w:eastAsiaTheme="minorEastAsia" w:cstheme="minorHAnsi"/>
          <w:sz w:val="24"/>
          <w:szCs w:val="24"/>
        </w:rPr>
      </w:pPr>
      <w:r w:rsidRPr="007B2719">
        <w:rPr>
          <w:rFonts w:eastAsiaTheme="minorEastAsia" w:cstheme="minorHAnsi"/>
          <w:sz w:val="24"/>
          <w:szCs w:val="24"/>
        </w:rPr>
        <w:t>A peak associated with a Performance Test sample.</w:t>
      </w:r>
    </w:p>
    <w:p w14:paraId="04B9AEBA" w14:textId="77777777" w:rsidR="000234D6" w:rsidRPr="007B2719" w:rsidRDefault="000234D6" w:rsidP="000234D6">
      <w:pPr>
        <w:pStyle w:val="ListParagraph"/>
        <w:numPr>
          <w:ilvl w:val="0"/>
          <w:numId w:val="14"/>
        </w:numPr>
        <w:spacing w:after="0" w:line="240" w:lineRule="auto"/>
        <w:rPr>
          <w:rFonts w:eastAsiaTheme="minorEastAsia" w:cstheme="minorHAnsi"/>
          <w:sz w:val="24"/>
          <w:szCs w:val="24"/>
        </w:rPr>
      </w:pPr>
      <w:r w:rsidRPr="007B2719">
        <w:rPr>
          <w:rFonts w:eastAsiaTheme="minorEastAsia" w:cstheme="minorHAnsi"/>
          <w:sz w:val="24"/>
          <w:szCs w:val="24"/>
        </w:rPr>
        <w:t>The reintegration of a Matrix spike sample when the original sample did not need reintegration and vis versa.  Both must be reintegrated for the same reasons and the adjustment must be proportional.</w:t>
      </w:r>
    </w:p>
    <w:p w14:paraId="6270D1F6" w14:textId="77777777" w:rsidR="000234D6" w:rsidRDefault="000234D6" w:rsidP="000234D6">
      <w:pPr>
        <w:spacing w:after="0" w:line="240" w:lineRule="auto"/>
        <w:rPr>
          <w:rFonts w:eastAsiaTheme="minorEastAsia" w:cstheme="minorHAnsi"/>
          <w:sz w:val="24"/>
          <w:szCs w:val="24"/>
        </w:rPr>
      </w:pPr>
    </w:p>
    <w:p w14:paraId="1D33B3A5" w14:textId="77777777" w:rsidR="000234D6" w:rsidRDefault="000234D6" w:rsidP="000234D6">
      <w:pPr>
        <w:spacing w:after="0" w:line="240" w:lineRule="auto"/>
        <w:rPr>
          <w:rFonts w:eastAsiaTheme="minorEastAsia" w:cstheme="minorHAnsi"/>
          <w:sz w:val="24"/>
          <w:szCs w:val="24"/>
        </w:rPr>
      </w:pPr>
      <w:r>
        <w:rPr>
          <w:rFonts w:eastAsiaTheme="minorEastAsia" w:cstheme="minorHAnsi"/>
          <w:sz w:val="24"/>
          <w:szCs w:val="24"/>
        </w:rPr>
        <w:t>In the above cases, the analyst is to halt analyses and conduct any indicated repair or maintenance, then redo the entire analytical batch.</w:t>
      </w:r>
    </w:p>
    <w:p w14:paraId="5F111A15" w14:textId="77777777" w:rsidR="00D17F85" w:rsidRPr="00E006FC" w:rsidRDefault="00D17F85" w:rsidP="00C457BE">
      <w:pPr>
        <w:spacing w:after="0" w:line="240" w:lineRule="auto"/>
        <w:rPr>
          <w:sz w:val="24"/>
          <w:szCs w:val="24"/>
        </w:rPr>
      </w:pPr>
    </w:p>
    <w:p w14:paraId="7C3688D8" w14:textId="08B0C785" w:rsidR="00D8348A" w:rsidRDefault="000137CC" w:rsidP="00D17F85">
      <w:pPr>
        <w:pStyle w:val="Heading1"/>
      </w:pPr>
      <w:bookmarkStart w:id="7" w:name="_Toc156902072"/>
      <w:r>
        <w:lastRenderedPageBreak/>
        <w:t>References</w:t>
      </w:r>
      <w:bookmarkEnd w:id="7"/>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3E58CE98" w14:textId="77777777" w:rsidR="00D17F85" w:rsidRDefault="00D17F85" w:rsidP="00C457BE">
      <w:pPr>
        <w:spacing w:after="0" w:line="240" w:lineRule="auto"/>
      </w:pPr>
    </w:p>
    <w:p w14:paraId="24D61471" w14:textId="1B3309F9" w:rsidR="000137CC" w:rsidRDefault="000137CC" w:rsidP="00D17F85">
      <w:pPr>
        <w:pStyle w:val="Heading1"/>
      </w:pPr>
      <w:bookmarkStart w:id="8" w:name="_Toc156902073"/>
      <w:r>
        <w:t xml:space="preserve">Definitions and </w:t>
      </w:r>
      <w:r w:rsidR="00D17F85">
        <w:t>Acronyms</w:t>
      </w:r>
      <w:bookmarkEnd w:id="8"/>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9"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10" w:name="_Toc156902074"/>
      <w:r>
        <w:t>Definitions</w:t>
      </w:r>
      <w:bookmarkEnd w:id="10"/>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11" w:name="_Toc156902075"/>
      <w:r>
        <w:t>Acronyms</w:t>
      </w:r>
      <w:bookmarkEnd w:id="11"/>
    </w:p>
    <w:bookmarkEnd w:id="9"/>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12" w:name="_Toc156902076"/>
      <w:r>
        <w:t>Appendices</w:t>
      </w:r>
      <w:bookmarkEnd w:id="12"/>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697493">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D67" w14:textId="77777777" w:rsidR="00697493" w:rsidRDefault="00697493" w:rsidP="00C457BE">
      <w:pPr>
        <w:spacing w:after="0" w:line="240" w:lineRule="auto"/>
      </w:pPr>
      <w:r>
        <w:separator/>
      </w:r>
    </w:p>
  </w:endnote>
  <w:endnote w:type="continuationSeparator" w:id="0">
    <w:p w14:paraId="75E56303" w14:textId="77777777" w:rsidR="00697493" w:rsidRDefault="00697493"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668EAE8" w:rsidR="00D17F85" w:rsidRDefault="003976C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E77F" w14:textId="77777777" w:rsidR="00697493" w:rsidRDefault="00697493" w:rsidP="00C457BE">
      <w:pPr>
        <w:spacing w:after="0" w:line="240" w:lineRule="auto"/>
      </w:pPr>
      <w:r>
        <w:separator/>
      </w:r>
    </w:p>
  </w:footnote>
  <w:footnote w:type="continuationSeparator" w:id="0">
    <w:p w14:paraId="2EE556EE" w14:textId="77777777" w:rsidR="00697493" w:rsidRDefault="00697493"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39C34874" w:rsidR="00CC16C5" w:rsidRDefault="00D17F85">
    <w:pPr>
      <w:pStyle w:val="Header"/>
    </w:pPr>
    <w:r>
      <w:ptab w:relativeTo="margin" w:alignment="center" w:leader="none"/>
    </w:r>
    <w:r w:rsidR="000234D6">
      <w:t>Allowed and Prohibited Manual Reintegration Procedures</w:t>
    </w:r>
    <w:r>
      <w:t>]</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233342">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690E07"/>
    <w:multiLevelType w:val="hybridMultilevel"/>
    <w:tmpl w:val="C1A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C336B"/>
    <w:multiLevelType w:val="hybridMultilevel"/>
    <w:tmpl w:val="7D2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7B3572B"/>
    <w:multiLevelType w:val="hybridMultilevel"/>
    <w:tmpl w:val="19E0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23514">
    <w:abstractNumId w:val="8"/>
  </w:num>
  <w:num w:numId="2" w16cid:durableId="1850677699">
    <w:abstractNumId w:val="9"/>
  </w:num>
  <w:num w:numId="3" w16cid:durableId="827671926">
    <w:abstractNumId w:val="2"/>
  </w:num>
  <w:num w:numId="4" w16cid:durableId="66806865">
    <w:abstractNumId w:val="3"/>
  </w:num>
  <w:num w:numId="5" w16cid:durableId="2098213636">
    <w:abstractNumId w:val="12"/>
  </w:num>
  <w:num w:numId="6" w16cid:durableId="985553970">
    <w:abstractNumId w:val="10"/>
  </w:num>
  <w:num w:numId="7" w16cid:durableId="911162277">
    <w:abstractNumId w:val="0"/>
  </w:num>
  <w:num w:numId="8" w16cid:durableId="1692103507">
    <w:abstractNumId w:val="13"/>
  </w:num>
  <w:num w:numId="9" w16cid:durableId="16934252">
    <w:abstractNumId w:val="5"/>
  </w:num>
  <w:num w:numId="10" w16cid:durableId="786237962">
    <w:abstractNumId w:val="11"/>
  </w:num>
  <w:num w:numId="11" w16cid:durableId="1373506376">
    <w:abstractNumId w:val="6"/>
  </w:num>
  <w:num w:numId="12" w16cid:durableId="383335268">
    <w:abstractNumId w:val="4"/>
  </w:num>
  <w:num w:numId="13" w16cid:durableId="413671582">
    <w:abstractNumId w:val="7"/>
  </w:num>
  <w:num w:numId="14" w16cid:durableId="213906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68B6"/>
    <w:rsid w:val="00020654"/>
    <w:rsid w:val="00022B56"/>
    <w:rsid w:val="000234D6"/>
    <w:rsid w:val="00023668"/>
    <w:rsid w:val="00030B22"/>
    <w:rsid w:val="0004017B"/>
    <w:rsid w:val="000654C3"/>
    <w:rsid w:val="000735B8"/>
    <w:rsid w:val="000800B1"/>
    <w:rsid w:val="000B0CFD"/>
    <w:rsid w:val="000C3B10"/>
    <w:rsid w:val="000F2FD9"/>
    <w:rsid w:val="000F6FB5"/>
    <w:rsid w:val="001031E2"/>
    <w:rsid w:val="00105247"/>
    <w:rsid w:val="001124A0"/>
    <w:rsid w:val="001133E0"/>
    <w:rsid w:val="0012261B"/>
    <w:rsid w:val="00123588"/>
    <w:rsid w:val="001278E6"/>
    <w:rsid w:val="00135B25"/>
    <w:rsid w:val="001405EF"/>
    <w:rsid w:val="00151405"/>
    <w:rsid w:val="00157608"/>
    <w:rsid w:val="001657D1"/>
    <w:rsid w:val="0017042D"/>
    <w:rsid w:val="00185270"/>
    <w:rsid w:val="001935F8"/>
    <w:rsid w:val="001A63E6"/>
    <w:rsid w:val="001B5189"/>
    <w:rsid w:val="001C06C2"/>
    <w:rsid w:val="001C656C"/>
    <w:rsid w:val="001F3B75"/>
    <w:rsid w:val="00201EA2"/>
    <w:rsid w:val="00202946"/>
    <w:rsid w:val="00223B88"/>
    <w:rsid w:val="00233342"/>
    <w:rsid w:val="00240E5C"/>
    <w:rsid w:val="00262683"/>
    <w:rsid w:val="002A6740"/>
    <w:rsid w:val="002B6B99"/>
    <w:rsid w:val="002E67B8"/>
    <w:rsid w:val="00303CF0"/>
    <w:rsid w:val="00316F5D"/>
    <w:rsid w:val="003278FB"/>
    <w:rsid w:val="00356521"/>
    <w:rsid w:val="003569F3"/>
    <w:rsid w:val="003622A6"/>
    <w:rsid w:val="00365251"/>
    <w:rsid w:val="00386252"/>
    <w:rsid w:val="00387802"/>
    <w:rsid w:val="00393087"/>
    <w:rsid w:val="00394A12"/>
    <w:rsid w:val="003976C8"/>
    <w:rsid w:val="003A2600"/>
    <w:rsid w:val="003A6441"/>
    <w:rsid w:val="003B6575"/>
    <w:rsid w:val="003C5128"/>
    <w:rsid w:val="003E5CCE"/>
    <w:rsid w:val="003F35E9"/>
    <w:rsid w:val="004044E4"/>
    <w:rsid w:val="00436B8E"/>
    <w:rsid w:val="00464B30"/>
    <w:rsid w:val="00464F35"/>
    <w:rsid w:val="00466024"/>
    <w:rsid w:val="004712AE"/>
    <w:rsid w:val="004718F8"/>
    <w:rsid w:val="004977ED"/>
    <w:rsid w:val="004B0F1E"/>
    <w:rsid w:val="004D530E"/>
    <w:rsid w:val="004E2F6D"/>
    <w:rsid w:val="004E71B9"/>
    <w:rsid w:val="00505B96"/>
    <w:rsid w:val="00513EAB"/>
    <w:rsid w:val="0052629E"/>
    <w:rsid w:val="005325F6"/>
    <w:rsid w:val="005403F0"/>
    <w:rsid w:val="00540988"/>
    <w:rsid w:val="00556FFB"/>
    <w:rsid w:val="005606FD"/>
    <w:rsid w:val="00565460"/>
    <w:rsid w:val="00571574"/>
    <w:rsid w:val="005A1A46"/>
    <w:rsid w:val="005B4C98"/>
    <w:rsid w:val="005B54FF"/>
    <w:rsid w:val="005C03F0"/>
    <w:rsid w:val="005D6C8D"/>
    <w:rsid w:val="005E0011"/>
    <w:rsid w:val="005F5E21"/>
    <w:rsid w:val="00600083"/>
    <w:rsid w:val="00612B06"/>
    <w:rsid w:val="00624128"/>
    <w:rsid w:val="00630296"/>
    <w:rsid w:val="0063470B"/>
    <w:rsid w:val="0064429C"/>
    <w:rsid w:val="0065111E"/>
    <w:rsid w:val="00656597"/>
    <w:rsid w:val="00662360"/>
    <w:rsid w:val="00686802"/>
    <w:rsid w:val="0069108C"/>
    <w:rsid w:val="006954C5"/>
    <w:rsid w:val="00697493"/>
    <w:rsid w:val="006B71AA"/>
    <w:rsid w:val="006C7862"/>
    <w:rsid w:val="006D5F11"/>
    <w:rsid w:val="006E5B35"/>
    <w:rsid w:val="007063A2"/>
    <w:rsid w:val="00710693"/>
    <w:rsid w:val="007345AB"/>
    <w:rsid w:val="00751651"/>
    <w:rsid w:val="00752BFB"/>
    <w:rsid w:val="00760D3D"/>
    <w:rsid w:val="00762DEC"/>
    <w:rsid w:val="00773AC0"/>
    <w:rsid w:val="00781EA2"/>
    <w:rsid w:val="0078374A"/>
    <w:rsid w:val="00790868"/>
    <w:rsid w:val="007A15DE"/>
    <w:rsid w:val="007D786D"/>
    <w:rsid w:val="007E5F51"/>
    <w:rsid w:val="007E697A"/>
    <w:rsid w:val="00810377"/>
    <w:rsid w:val="0081365E"/>
    <w:rsid w:val="00821AB0"/>
    <w:rsid w:val="00835011"/>
    <w:rsid w:val="00835C80"/>
    <w:rsid w:val="00845347"/>
    <w:rsid w:val="00855582"/>
    <w:rsid w:val="00862BC9"/>
    <w:rsid w:val="00867F92"/>
    <w:rsid w:val="00877C93"/>
    <w:rsid w:val="008B4273"/>
    <w:rsid w:val="008C1776"/>
    <w:rsid w:val="008E6027"/>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A0003A"/>
    <w:rsid w:val="00A0061E"/>
    <w:rsid w:val="00A0388B"/>
    <w:rsid w:val="00A2498F"/>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3F57"/>
    <w:rsid w:val="00BE1638"/>
    <w:rsid w:val="00BE21B3"/>
    <w:rsid w:val="00BE7ED8"/>
    <w:rsid w:val="00BF709F"/>
    <w:rsid w:val="00BF7988"/>
    <w:rsid w:val="00C2267F"/>
    <w:rsid w:val="00C25189"/>
    <w:rsid w:val="00C457BE"/>
    <w:rsid w:val="00C842C9"/>
    <w:rsid w:val="00C973FE"/>
    <w:rsid w:val="00CA0410"/>
    <w:rsid w:val="00CB299D"/>
    <w:rsid w:val="00CC16C5"/>
    <w:rsid w:val="00CC4917"/>
    <w:rsid w:val="00CD0735"/>
    <w:rsid w:val="00CD4ECD"/>
    <w:rsid w:val="00D07293"/>
    <w:rsid w:val="00D17F85"/>
    <w:rsid w:val="00D23915"/>
    <w:rsid w:val="00D23EA8"/>
    <w:rsid w:val="00D3340E"/>
    <w:rsid w:val="00D3384E"/>
    <w:rsid w:val="00D36F15"/>
    <w:rsid w:val="00D3717C"/>
    <w:rsid w:val="00D442FD"/>
    <w:rsid w:val="00D51183"/>
    <w:rsid w:val="00D57721"/>
    <w:rsid w:val="00D64831"/>
    <w:rsid w:val="00D6489F"/>
    <w:rsid w:val="00D70AD9"/>
    <w:rsid w:val="00D743FF"/>
    <w:rsid w:val="00D8348A"/>
    <w:rsid w:val="00D953F3"/>
    <w:rsid w:val="00DA0012"/>
    <w:rsid w:val="00DA5AAF"/>
    <w:rsid w:val="00DB1837"/>
    <w:rsid w:val="00DB4B6B"/>
    <w:rsid w:val="00DC08B0"/>
    <w:rsid w:val="00DC471D"/>
    <w:rsid w:val="00DD7218"/>
    <w:rsid w:val="00DE5807"/>
    <w:rsid w:val="00DF2E19"/>
    <w:rsid w:val="00DF7796"/>
    <w:rsid w:val="00E006FC"/>
    <w:rsid w:val="00E072BA"/>
    <w:rsid w:val="00E17C63"/>
    <w:rsid w:val="00E34D8B"/>
    <w:rsid w:val="00E36ABE"/>
    <w:rsid w:val="00E63AEF"/>
    <w:rsid w:val="00E76944"/>
    <w:rsid w:val="00E925AB"/>
    <w:rsid w:val="00E93C92"/>
    <w:rsid w:val="00EA3EEA"/>
    <w:rsid w:val="00EB561C"/>
    <w:rsid w:val="00EB59DB"/>
    <w:rsid w:val="00EC5656"/>
    <w:rsid w:val="00ED1DE8"/>
    <w:rsid w:val="00ED54CA"/>
    <w:rsid w:val="00F12BF7"/>
    <w:rsid w:val="00F23CCA"/>
    <w:rsid w:val="00F3598F"/>
    <w:rsid w:val="00F478A4"/>
    <w:rsid w:val="00F652EC"/>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76C8"/>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6C8"/>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3976C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3976C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0234D6"/>
    <w:pPr>
      <w:ind w:left="1040"/>
    </w:pPr>
    <w:rPr>
      <w:rFonts w:ascii="Verdana" w:eastAsia="Verdana" w:hAnsi="Verdana" w:cstheme="majorBidi"/>
      <w:sz w:val="20"/>
      <w:szCs w:val="20"/>
    </w:rPr>
  </w:style>
  <w:style w:type="character" w:customStyle="1" w:styleId="BodyTextChar">
    <w:name w:val="Body Text Char"/>
    <w:basedOn w:val="DefaultParagraphFont"/>
    <w:link w:val="BodyText"/>
    <w:uiPriority w:val="1"/>
    <w:rsid w:val="000234D6"/>
    <w:rPr>
      <w:rFonts w:ascii="Verdana" w:eastAsia="Verdana" w:hAnsi="Verdan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2024-01-23T19:34:00Z</dcterms:created>
  <dcterms:modified xsi:type="dcterms:W3CDTF">2024-01-23T19:34:00Z</dcterms:modified>
</cp:coreProperties>
</file>