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C6B71" w14:textId="6916DD40" w:rsidR="009E6B7D" w:rsidRDefault="00403CF4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24336A">
        <w:rPr>
          <w:rFonts w:ascii="Garamond" w:hAnsi="Garamond"/>
          <w:sz w:val="24"/>
          <w:szCs w:val="24"/>
        </w:rPr>
        <w:t>Last quarter we opened with “What a Year</w:t>
      </w:r>
      <w:r w:rsidR="00C81AE6">
        <w:rPr>
          <w:rFonts w:ascii="Garamond" w:hAnsi="Garamond"/>
          <w:sz w:val="24"/>
          <w:szCs w:val="24"/>
        </w:rPr>
        <w:t>”</w:t>
      </w:r>
      <w:r w:rsidR="0024336A">
        <w:rPr>
          <w:rFonts w:ascii="Garamond" w:hAnsi="Garamond"/>
          <w:sz w:val="24"/>
          <w:szCs w:val="24"/>
        </w:rPr>
        <w:t xml:space="preserve"> and “What a Quarter”.  Well, the first quarter of 2021 was another big deal.  A mob stormed the Capit</w:t>
      </w:r>
      <w:r w:rsidR="000B2B7F">
        <w:rPr>
          <w:rFonts w:ascii="Garamond" w:hAnsi="Garamond"/>
          <w:sz w:val="24"/>
          <w:szCs w:val="24"/>
        </w:rPr>
        <w:t>o</w:t>
      </w:r>
      <w:r w:rsidR="0024336A">
        <w:rPr>
          <w:rFonts w:ascii="Garamond" w:hAnsi="Garamond"/>
          <w:sz w:val="24"/>
          <w:szCs w:val="24"/>
        </w:rPr>
        <w:t>l in Washington on January 6</w:t>
      </w:r>
      <w:r w:rsidR="0024336A" w:rsidRPr="0024336A">
        <w:rPr>
          <w:rFonts w:ascii="Garamond" w:hAnsi="Garamond"/>
          <w:sz w:val="24"/>
          <w:szCs w:val="24"/>
          <w:vertAlign w:val="superscript"/>
        </w:rPr>
        <w:t>th</w:t>
      </w:r>
      <w:r w:rsidR="000B2B7F">
        <w:rPr>
          <w:rFonts w:ascii="Garamond" w:hAnsi="Garamond"/>
          <w:sz w:val="24"/>
          <w:szCs w:val="24"/>
        </w:rPr>
        <w:t>, the former President was impeached and acquitted and a new administration was sworn in.</w:t>
      </w:r>
      <w:r w:rsidR="0024336A">
        <w:rPr>
          <w:rFonts w:ascii="Garamond" w:hAnsi="Garamond"/>
          <w:sz w:val="24"/>
          <w:szCs w:val="24"/>
        </w:rPr>
        <w:t xml:space="preserve">  </w:t>
      </w:r>
      <w:r w:rsidR="004605BE">
        <w:rPr>
          <w:rFonts w:ascii="Garamond" w:hAnsi="Garamond"/>
          <w:sz w:val="24"/>
          <w:szCs w:val="24"/>
        </w:rPr>
        <w:t xml:space="preserve">Also, a </w:t>
      </w:r>
      <w:r w:rsidR="004605BE" w:rsidRPr="00221888">
        <w:rPr>
          <w:rFonts w:ascii="Garamond" w:hAnsi="Garamond"/>
          <w:sz w:val="24"/>
          <w:szCs w:val="24"/>
        </w:rPr>
        <w:t xml:space="preserve">surge </w:t>
      </w:r>
      <w:r w:rsidR="00A6607B" w:rsidRPr="00221888">
        <w:rPr>
          <w:rFonts w:ascii="Garamond" w:hAnsi="Garamond"/>
          <w:sz w:val="24"/>
          <w:szCs w:val="24"/>
        </w:rPr>
        <w:t>of</w:t>
      </w:r>
      <w:r w:rsidR="004605BE" w:rsidRPr="00221888">
        <w:rPr>
          <w:rFonts w:ascii="Garamond" w:hAnsi="Garamond"/>
          <w:sz w:val="24"/>
          <w:szCs w:val="24"/>
        </w:rPr>
        <w:t xml:space="preserve"> immigrants overwhelmed the southern border leading to chaotic conditions there.  </w:t>
      </w:r>
      <w:r w:rsidR="0024336A" w:rsidRPr="00221888">
        <w:rPr>
          <w:rFonts w:ascii="Garamond" w:hAnsi="Garamond"/>
          <w:sz w:val="24"/>
          <w:szCs w:val="24"/>
        </w:rPr>
        <w:t>T</w:t>
      </w:r>
      <w:r w:rsidR="00C23301" w:rsidRPr="00221888">
        <w:rPr>
          <w:rFonts w:ascii="Garamond" w:hAnsi="Garamond"/>
          <w:sz w:val="24"/>
          <w:szCs w:val="24"/>
        </w:rPr>
        <w:t>he</w:t>
      </w:r>
      <w:r w:rsidR="004605BE" w:rsidRPr="00221888">
        <w:rPr>
          <w:rFonts w:ascii="Garamond" w:hAnsi="Garamond"/>
          <w:sz w:val="24"/>
          <w:szCs w:val="24"/>
        </w:rPr>
        <w:t xml:space="preserve"> </w:t>
      </w:r>
      <w:r w:rsidR="0024336A" w:rsidRPr="00221888">
        <w:rPr>
          <w:rFonts w:ascii="Garamond" w:hAnsi="Garamond"/>
          <w:sz w:val="24"/>
          <w:szCs w:val="24"/>
        </w:rPr>
        <w:t xml:space="preserve">Operation Warp Speed Program provided a number of Covid vaccines which </w:t>
      </w:r>
      <w:r w:rsidR="00C81AE6" w:rsidRPr="00221888">
        <w:rPr>
          <w:rFonts w:ascii="Garamond" w:hAnsi="Garamond"/>
          <w:sz w:val="24"/>
          <w:szCs w:val="24"/>
        </w:rPr>
        <w:t>are</w:t>
      </w:r>
      <w:r w:rsidR="0024336A" w:rsidRPr="00221888">
        <w:rPr>
          <w:rFonts w:ascii="Garamond" w:hAnsi="Garamond"/>
          <w:sz w:val="24"/>
          <w:szCs w:val="24"/>
        </w:rPr>
        <w:t xml:space="preserve"> </w:t>
      </w:r>
      <w:r w:rsidR="005C596D" w:rsidRPr="00221888">
        <w:rPr>
          <w:rFonts w:ascii="Garamond" w:hAnsi="Garamond"/>
          <w:sz w:val="24"/>
          <w:szCs w:val="24"/>
        </w:rPr>
        <w:t xml:space="preserve">rapidly </w:t>
      </w:r>
      <w:r w:rsidR="00C81AE6" w:rsidRPr="00221888">
        <w:rPr>
          <w:rFonts w:ascii="Garamond" w:hAnsi="Garamond"/>
          <w:sz w:val="24"/>
          <w:szCs w:val="24"/>
        </w:rPr>
        <w:t xml:space="preserve">being </w:t>
      </w:r>
      <w:r w:rsidR="0024336A" w:rsidRPr="00221888">
        <w:rPr>
          <w:rFonts w:ascii="Garamond" w:hAnsi="Garamond"/>
          <w:sz w:val="24"/>
          <w:szCs w:val="24"/>
        </w:rPr>
        <w:t>distribut</w:t>
      </w:r>
      <w:r w:rsidR="00C81AE6" w:rsidRPr="00221888">
        <w:rPr>
          <w:rFonts w:ascii="Garamond" w:hAnsi="Garamond"/>
          <w:sz w:val="24"/>
          <w:szCs w:val="24"/>
        </w:rPr>
        <w:t>ed</w:t>
      </w:r>
      <w:r w:rsidR="0024336A" w:rsidRPr="00221888">
        <w:rPr>
          <w:rFonts w:ascii="Garamond" w:hAnsi="Garamond"/>
          <w:sz w:val="24"/>
          <w:szCs w:val="24"/>
        </w:rPr>
        <w:t xml:space="preserve"> around the country.  </w:t>
      </w:r>
      <w:proofErr w:type="gramStart"/>
      <w:r w:rsidR="0024336A" w:rsidRPr="00221888">
        <w:rPr>
          <w:rFonts w:ascii="Garamond" w:hAnsi="Garamond"/>
          <w:sz w:val="24"/>
          <w:szCs w:val="24"/>
        </w:rPr>
        <w:t>A number of</w:t>
      </w:r>
      <w:proofErr w:type="gramEnd"/>
      <w:r w:rsidR="0024336A" w:rsidRPr="00221888">
        <w:rPr>
          <w:rFonts w:ascii="Garamond" w:hAnsi="Garamond"/>
          <w:sz w:val="24"/>
          <w:szCs w:val="24"/>
        </w:rPr>
        <w:t xml:space="preserve"> huge relief programs, costing billions of dollars, </w:t>
      </w:r>
      <w:r w:rsidR="00A6607B" w:rsidRPr="00221888">
        <w:rPr>
          <w:rFonts w:ascii="Garamond" w:hAnsi="Garamond"/>
          <w:sz w:val="24"/>
          <w:szCs w:val="24"/>
        </w:rPr>
        <w:t>were</w:t>
      </w:r>
      <w:r w:rsidR="0024336A" w:rsidRPr="00221888">
        <w:rPr>
          <w:rFonts w:ascii="Garamond" w:hAnsi="Garamond"/>
          <w:sz w:val="24"/>
          <w:szCs w:val="24"/>
        </w:rPr>
        <w:t xml:space="preserve"> put into </w:t>
      </w:r>
      <w:r w:rsidR="00C23301" w:rsidRPr="00221888">
        <w:rPr>
          <w:rFonts w:ascii="Garamond" w:hAnsi="Garamond"/>
          <w:sz w:val="24"/>
          <w:szCs w:val="24"/>
        </w:rPr>
        <w:t>place</w:t>
      </w:r>
      <w:r w:rsidR="00F61916" w:rsidRPr="00221888">
        <w:rPr>
          <w:rFonts w:ascii="Garamond" w:hAnsi="Garamond"/>
          <w:sz w:val="24"/>
          <w:szCs w:val="24"/>
        </w:rPr>
        <w:t xml:space="preserve"> despite </w:t>
      </w:r>
      <w:r w:rsidR="00737282" w:rsidRPr="00221888">
        <w:rPr>
          <w:rFonts w:ascii="Garamond" w:hAnsi="Garamond"/>
          <w:sz w:val="24"/>
          <w:szCs w:val="24"/>
        </w:rPr>
        <w:t xml:space="preserve">a deeply divided </w:t>
      </w:r>
      <w:r w:rsidR="000B2B7F" w:rsidRPr="00221888">
        <w:rPr>
          <w:rFonts w:ascii="Garamond" w:hAnsi="Garamond"/>
          <w:sz w:val="24"/>
          <w:szCs w:val="24"/>
        </w:rPr>
        <w:t>C</w:t>
      </w:r>
      <w:r w:rsidR="00737282" w:rsidRPr="00221888">
        <w:rPr>
          <w:rFonts w:ascii="Garamond" w:hAnsi="Garamond"/>
          <w:sz w:val="24"/>
          <w:szCs w:val="24"/>
        </w:rPr>
        <w:t>ongress</w:t>
      </w:r>
      <w:r w:rsidR="007A5B2B" w:rsidRPr="00221888">
        <w:rPr>
          <w:rFonts w:ascii="Garamond" w:hAnsi="Garamond"/>
          <w:sz w:val="24"/>
          <w:szCs w:val="24"/>
        </w:rPr>
        <w:t>.  The climate change agend</w:t>
      </w:r>
      <w:r w:rsidR="00737282" w:rsidRPr="00221888">
        <w:rPr>
          <w:rFonts w:ascii="Garamond" w:hAnsi="Garamond"/>
          <w:sz w:val="24"/>
          <w:szCs w:val="24"/>
        </w:rPr>
        <w:t>a</w:t>
      </w:r>
      <w:r w:rsidR="007A5B2B" w:rsidRPr="00221888">
        <w:rPr>
          <w:rFonts w:ascii="Garamond" w:hAnsi="Garamond"/>
          <w:sz w:val="24"/>
          <w:szCs w:val="24"/>
        </w:rPr>
        <w:t xml:space="preserve"> </w:t>
      </w:r>
      <w:r w:rsidR="00A6607B" w:rsidRPr="00221888">
        <w:rPr>
          <w:rFonts w:ascii="Garamond" w:hAnsi="Garamond"/>
          <w:sz w:val="24"/>
          <w:szCs w:val="24"/>
        </w:rPr>
        <w:t xml:space="preserve">moved to </w:t>
      </w:r>
      <w:r w:rsidR="007A5B2B" w:rsidRPr="00221888">
        <w:rPr>
          <w:rFonts w:ascii="Garamond" w:hAnsi="Garamond"/>
          <w:sz w:val="24"/>
          <w:szCs w:val="24"/>
        </w:rPr>
        <w:t>the front burner</w:t>
      </w:r>
      <w:r w:rsidR="00BA5494" w:rsidRPr="00221888">
        <w:rPr>
          <w:rFonts w:ascii="Garamond" w:hAnsi="Garamond"/>
          <w:sz w:val="24"/>
          <w:szCs w:val="24"/>
        </w:rPr>
        <w:t xml:space="preserve"> along with </w:t>
      </w:r>
      <w:r w:rsidR="00A6607B" w:rsidRPr="00221888">
        <w:rPr>
          <w:rFonts w:ascii="Garamond" w:hAnsi="Garamond"/>
          <w:sz w:val="24"/>
          <w:szCs w:val="24"/>
        </w:rPr>
        <w:t xml:space="preserve">discussion of </w:t>
      </w:r>
      <w:r w:rsidR="00BA5494" w:rsidRPr="00221888">
        <w:rPr>
          <w:rFonts w:ascii="Garamond" w:hAnsi="Garamond"/>
          <w:sz w:val="24"/>
          <w:szCs w:val="24"/>
        </w:rPr>
        <w:t xml:space="preserve">tax increases and </w:t>
      </w:r>
      <w:r w:rsidR="00C23301" w:rsidRPr="00221888">
        <w:rPr>
          <w:rFonts w:ascii="Garamond" w:hAnsi="Garamond"/>
          <w:sz w:val="24"/>
          <w:szCs w:val="24"/>
        </w:rPr>
        <w:t xml:space="preserve">a </w:t>
      </w:r>
      <w:r w:rsidR="00BA5494" w:rsidRPr="00221888">
        <w:rPr>
          <w:rFonts w:ascii="Garamond" w:hAnsi="Garamond"/>
          <w:sz w:val="24"/>
          <w:szCs w:val="24"/>
        </w:rPr>
        <w:t xml:space="preserve">focus on income inequities.  </w:t>
      </w:r>
      <w:r w:rsidR="007A5B2B" w:rsidRPr="00221888">
        <w:rPr>
          <w:rFonts w:ascii="Garamond" w:hAnsi="Garamond"/>
          <w:sz w:val="24"/>
          <w:szCs w:val="24"/>
        </w:rPr>
        <w:t xml:space="preserve">  Our relationship</w:t>
      </w:r>
      <w:r w:rsidR="00C23301" w:rsidRPr="00221888">
        <w:rPr>
          <w:rFonts w:ascii="Garamond" w:hAnsi="Garamond"/>
          <w:sz w:val="24"/>
          <w:szCs w:val="24"/>
        </w:rPr>
        <w:t>s</w:t>
      </w:r>
      <w:r w:rsidR="007A5B2B" w:rsidRPr="00221888">
        <w:rPr>
          <w:rFonts w:ascii="Garamond" w:hAnsi="Garamond"/>
          <w:sz w:val="24"/>
          <w:szCs w:val="24"/>
        </w:rPr>
        <w:t xml:space="preserve"> with China, Russia and North Korea </w:t>
      </w:r>
      <w:r w:rsidR="00A6607B" w:rsidRPr="00221888">
        <w:rPr>
          <w:rFonts w:ascii="Garamond" w:hAnsi="Garamond"/>
          <w:sz w:val="24"/>
          <w:szCs w:val="24"/>
        </w:rPr>
        <w:t>continued to be</w:t>
      </w:r>
      <w:r w:rsidR="007A5B2B" w:rsidRPr="00221888">
        <w:rPr>
          <w:rFonts w:ascii="Garamond" w:hAnsi="Garamond"/>
          <w:sz w:val="24"/>
          <w:szCs w:val="24"/>
        </w:rPr>
        <w:t xml:space="preserve"> </w:t>
      </w:r>
      <w:r w:rsidR="00C23301" w:rsidRPr="00221888">
        <w:rPr>
          <w:rFonts w:ascii="Garamond" w:hAnsi="Garamond"/>
          <w:sz w:val="24"/>
          <w:szCs w:val="24"/>
        </w:rPr>
        <w:t>strained as well.</w:t>
      </w:r>
    </w:p>
    <w:p w14:paraId="799F1BCA" w14:textId="67FA176E" w:rsidR="007A5B2B" w:rsidRDefault="007A5B2B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4725A8FB" w14:textId="259560B7" w:rsidR="008E549C" w:rsidRDefault="007A5B2B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 spite of</w:t>
      </w:r>
      <w:proofErr w:type="gramEnd"/>
      <w:r>
        <w:rPr>
          <w:rFonts w:ascii="Garamond" w:hAnsi="Garamond"/>
          <w:sz w:val="24"/>
          <w:szCs w:val="24"/>
        </w:rPr>
        <w:t xml:space="preserve"> all of this, the U.S. economy continue</w:t>
      </w:r>
      <w:r w:rsidR="00A6607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to improve.  Employment, </w:t>
      </w:r>
      <w:r w:rsidR="00D21E60">
        <w:rPr>
          <w:rFonts w:ascii="Garamond" w:hAnsi="Garamond"/>
          <w:sz w:val="24"/>
          <w:szCs w:val="24"/>
        </w:rPr>
        <w:t>while displaying</w:t>
      </w:r>
      <w:r>
        <w:rPr>
          <w:rFonts w:ascii="Garamond" w:hAnsi="Garamond"/>
          <w:sz w:val="24"/>
          <w:szCs w:val="24"/>
        </w:rPr>
        <w:t xml:space="preserve"> some swings, is generally on an upward trajectory.  There are, of course, problems.  Covid </w:t>
      </w:r>
      <w:r w:rsidR="00D21E60">
        <w:rPr>
          <w:rFonts w:ascii="Garamond" w:hAnsi="Garamond"/>
          <w:sz w:val="24"/>
          <w:szCs w:val="24"/>
        </w:rPr>
        <w:t>cases are</w:t>
      </w:r>
      <w:r>
        <w:rPr>
          <w:rFonts w:ascii="Garamond" w:hAnsi="Garamond"/>
          <w:sz w:val="24"/>
          <w:szCs w:val="24"/>
        </w:rPr>
        <w:t xml:space="preserve"> rising again with New York</w:t>
      </w:r>
      <w:r w:rsidR="00700A3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New Jersey</w:t>
      </w:r>
      <w:r w:rsidR="00F61109">
        <w:rPr>
          <w:rFonts w:ascii="Garamond" w:hAnsi="Garamond"/>
          <w:sz w:val="24"/>
          <w:szCs w:val="24"/>
        </w:rPr>
        <w:t>,</w:t>
      </w:r>
      <w:r w:rsidR="00700A35">
        <w:rPr>
          <w:rFonts w:ascii="Garamond" w:hAnsi="Garamond"/>
          <w:sz w:val="24"/>
          <w:szCs w:val="24"/>
        </w:rPr>
        <w:t xml:space="preserve"> Michigan </w:t>
      </w:r>
      <w:r w:rsidR="00420022">
        <w:rPr>
          <w:rFonts w:ascii="Garamond" w:hAnsi="Garamond"/>
          <w:sz w:val="24"/>
          <w:szCs w:val="24"/>
        </w:rPr>
        <w:t xml:space="preserve">and Florida </w:t>
      </w:r>
      <w:r>
        <w:rPr>
          <w:rFonts w:ascii="Garamond" w:hAnsi="Garamond"/>
          <w:sz w:val="24"/>
          <w:szCs w:val="24"/>
        </w:rPr>
        <w:t>being the current hot spots.</w:t>
      </w:r>
      <w:r w:rsidR="008E549C">
        <w:rPr>
          <w:rFonts w:ascii="Garamond" w:hAnsi="Garamond"/>
          <w:sz w:val="24"/>
          <w:szCs w:val="24"/>
        </w:rPr>
        <w:t xml:space="preserve">   This resurgence could hurt the continued opening of the economy (smaller</w:t>
      </w:r>
      <w:r w:rsidR="00420022">
        <w:rPr>
          <w:rFonts w:ascii="Garamond" w:hAnsi="Garamond"/>
          <w:sz w:val="24"/>
          <w:szCs w:val="24"/>
        </w:rPr>
        <w:t xml:space="preserve"> service</w:t>
      </w:r>
      <w:r w:rsidR="008E549C">
        <w:rPr>
          <w:rFonts w:ascii="Garamond" w:hAnsi="Garamond"/>
          <w:sz w:val="24"/>
          <w:szCs w:val="24"/>
        </w:rPr>
        <w:t xml:space="preserve"> businesses are really hurting).  The huge stimulus programs – and maybe more to come- will result in higher taxes and </w:t>
      </w:r>
      <w:r w:rsidR="005D09BC">
        <w:rPr>
          <w:rFonts w:ascii="Garamond" w:hAnsi="Garamond"/>
          <w:sz w:val="24"/>
          <w:szCs w:val="24"/>
        </w:rPr>
        <w:t xml:space="preserve">potentially </w:t>
      </w:r>
      <w:r w:rsidR="008E549C">
        <w:rPr>
          <w:rFonts w:ascii="Garamond" w:hAnsi="Garamond"/>
          <w:sz w:val="24"/>
          <w:szCs w:val="24"/>
        </w:rPr>
        <w:t xml:space="preserve">higher inflation down the line.  </w:t>
      </w:r>
      <w:r w:rsidR="000D3031">
        <w:rPr>
          <w:rFonts w:ascii="Garamond" w:hAnsi="Garamond"/>
          <w:sz w:val="24"/>
          <w:szCs w:val="24"/>
        </w:rPr>
        <w:t>Market forces are driving i</w:t>
      </w:r>
      <w:r w:rsidR="008E549C">
        <w:rPr>
          <w:rFonts w:ascii="Garamond" w:hAnsi="Garamond"/>
          <w:sz w:val="24"/>
          <w:szCs w:val="24"/>
        </w:rPr>
        <w:t xml:space="preserve">nterest rates </w:t>
      </w:r>
      <w:r w:rsidR="000D3031">
        <w:rPr>
          <w:rFonts w:ascii="Garamond" w:hAnsi="Garamond"/>
          <w:sz w:val="24"/>
          <w:szCs w:val="24"/>
        </w:rPr>
        <w:t>higher</w:t>
      </w:r>
      <w:r w:rsidR="000B2B7F">
        <w:rPr>
          <w:rFonts w:ascii="Garamond" w:hAnsi="Garamond"/>
          <w:sz w:val="24"/>
          <w:szCs w:val="24"/>
        </w:rPr>
        <w:t xml:space="preserve"> particularly on the ten</w:t>
      </w:r>
      <w:r w:rsidR="004605BE">
        <w:rPr>
          <w:rFonts w:ascii="Garamond" w:hAnsi="Garamond"/>
          <w:sz w:val="24"/>
          <w:szCs w:val="24"/>
        </w:rPr>
        <w:t>-</w:t>
      </w:r>
      <w:r w:rsidR="000B2B7F">
        <w:rPr>
          <w:rFonts w:ascii="Garamond" w:hAnsi="Garamond"/>
          <w:sz w:val="24"/>
          <w:szCs w:val="24"/>
        </w:rPr>
        <w:t xml:space="preserve">year Treasury </w:t>
      </w:r>
      <w:r w:rsidR="007D6013">
        <w:rPr>
          <w:rFonts w:ascii="Garamond" w:hAnsi="Garamond"/>
          <w:sz w:val="24"/>
          <w:szCs w:val="24"/>
        </w:rPr>
        <w:t>even though</w:t>
      </w:r>
      <w:r w:rsidR="008E549C">
        <w:rPr>
          <w:rFonts w:ascii="Garamond" w:hAnsi="Garamond"/>
          <w:sz w:val="24"/>
          <w:szCs w:val="24"/>
        </w:rPr>
        <w:t xml:space="preserve"> the Federal Reserve has pledged to keep inflation in the 2% range and to keep short term interest rates low through bond buy</w:t>
      </w:r>
      <w:r w:rsidR="00C23301">
        <w:rPr>
          <w:rFonts w:ascii="Garamond" w:hAnsi="Garamond"/>
          <w:sz w:val="24"/>
          <w:szCs w:val="24"/>
        </w:rPr>
        <w:t>-</w:t>
      </w:r>
      <w:r w:rsidR="008E549C">
        <w:rPr>
          <w:rFonts w:ascii="Garamond" w:hAnsi="Garamond"/>
          <w:sz w:val="24"/>
          <w:szCs w:val="24"/>
        </w:rPr>
        <w:t>back programs.</w:t>
      </w:r>
      <w:r w:rsidR="000C333E">
        <w:rPr>
          <w:rFonts w:ascii="Garamond" w:hAnsi="Garamond"/>
          <w:sz w:val="24"/>
          <w:szCs w:val="24"/>
        </w:rPr>
        <w:t xml:space="preserve">  Also, this quarter witnessed a</w:t>
      </w:r>
      <w:r w:rsidR="00573227">
        <w:rPr>
          <w:rFonts w:ascii="Garamond" w:hAnsi="Garamond"/>
          <w:sz w:val="24"/>
          <w:szCs w:val="24"/>
        </w:rPr>
        <w:t xml:space="preserve"> significant</w:t>
      </w:r>
      <w:r w:rsidR="000C333E">
        <w:rPr>
          <w:rFonts w:ascii="Garamond" w:hAnsi="Garamond"/>
          <w:sz w:val="24"/>
          <w:szCs w:val="24"/>
        </w:rPr>
        <w:t xml:space="preserve"> increase in speculative trading and </w:t>
      </w:r>
      <w:r w:rsidR="00C81AE6">
        <w:rPr>
          <w:rFonts w:ascii="Garamond" w:hAnsi="Garamond"/>
          <w:sz w:val="24"/>
          <w:szCs w:val="24"/>
        </w:rPr>
        <w:t xml:space="preserve">the formation of </w:t>
      </w:r>
      <w:r w:rsidR="000C333E">
        <w:rPr>
          <w:rFonts w:ascii="Garamond" w:hAnsi="Garamond"/>
          <w:sz w:val="24"/>
          <w:szCs w:val="24"/>
        </w:rPr>
        <w:t>an increasing number of Special Purpose Acquisition Companies (SPAC’s) that raise money with the goal of finding an acquisition target.</w:t>
      </w:r>
    </w:p>
    <w:p w14:paraId="545E5374" w14:textId="41B4703E" w:rsidR="008E549C" w:rsidRDefault="008E549C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4242D1F7" w14:textId="34004B7D" w:rsidR="008E549C" w:rsidRDefault="008E549C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Europe and South America are not in good sh</w:t>
      </w:r>
      <w:r w:rsidR="00ED2E92">
        <w:rPr>
          <w:rFonts w:ascii="Garamond" w:hAnsi="Garamond"/>
          <w:sz w:val="24"/>
          <w:szCs w:val="24"/>
        </w:rPr>
        <w:t>ap</w:t>
      </w:r>
      <w:r>
        <w:rPr>
          <w:rFonts w:ascii="Garamond" w:hAnsi="Garamond"/>
          <w:sz w:val="24"/>
          <w:szCs w:val="24"/>
        </w:rPr>
        <w:t>e.  Their economies have been severely hurt by Covid and unfortunately Covid seems to be surging</w:t>
      </w:r>
      <w:r w:rsidR="00B408C6">
        <w:rPr>
          <w:rFonts w:ascii="Garamond" w:hAnsi="Garamond"/>
          <w:sz w:val="24"/>
          <w:szCs w:val="24"/>
        </w:rPr>
        <w:t xml:space="preserve"> there</w:t>
      </w:r>
      <w:r>
        <w:rPr>
          <w:rFonts w:ascii="Garamond" w:hAnsi="Garamond"/>
          <w:sz w:val="24"/>
          <w:szCs w:val="24"/>
        </w:rPr>
        <w:t xml:space="preserve"> again.  France has gone back to total lockdown mode.  Not good for their economy, and Brazil </w:t>
      </w:r>
      <w:r w:rsidR="004541BD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 xml:space="preserve"> a disaster with Covid running rampant</w:t>
      </w:r>
      <w:r w:rsidR="004541BD">
        <w:rPr>
          <w:rFonts w:ascii="Garamond" w:hAnsi="Garamond"/>
          <w:sz w:val="24"/>
          <w:szCs w:val="24"/>
        </w:rPr>
        <w:t xml:space="preserve"> </w:t>
      </w:r>
      <w:r w:rsidR="000B2B7F">
        <w:rPr>
          <w:rFonts w:ascii="Garamond" w:hAnsi="Garamond"/>
          <w:sz w:val="24"/>
          <w:szCs w:val="24"/>
        </w:rPr>
        <w:t xml:space="preserve">amid </w:t>
      </w:r>
      <w:r w:rsidR="004541BD">
        <w:rPr>
          <w:rFonts w:ascii="Garamond" w:hAnsi="Garamond"/>
          <w:sz w:val="24"/>
          <w:szCs w:val="24"/>
        </w:rPr>
        <w:t>government instability.</w:t>
      </w:r>
    </w:p>
    <w:p w14:paraId="70D507E2" w14:textId="67F8A570" w:rsidR="008E549C" w:rsidRDefault="008E549C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Chin</w:t>
      </w:r>
      <w:r w:rsidR="000B2B7F">
        <w:rPr>
          <w:rFonts w:ascii="Garamond" w:hAnsi="Garamond"/>
          <w:sz w:val="24"/>
          <w:szCs w:val="24"/>
        </w:rPr>
        <w:t>a’s economy continued to recover.</w:t>
      </w:r>
      <w:r w:rsidR="004605BE">
        <w:rPr>
          <w:rFonts w:ascii="Garamond" w:hAnsi="Garamond"/>
          <w:sz w:val="24"/>
          <w:szCs w:val="24"/>
        </w:rPr>
        <w:t xml:space="preserve">  Additionally, N. Korea, Russia and Iran may test the new administration.  Economic recovery in Europe will remain challenged as the vaccination of a significant portion of the population there is proceeding at a slow pace.</w:t>
      </w:r>
    </w:p>
    <w:p w14:paraId="78854954" w14:textId="77777777" w:rsidR="000948A6" w:rsidRDefault="000948A6" w:rsidP="00DF38EC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0A266D46" w14:textId="77777777" w:rsidR="00881217" w:rsidRPr="0034680B" w:rsidRDefault="00881217" w:rsidP="00DF38EC">
      <w:pPr>
        <w:spacing w:after="280" w:line="240" w:lineRule="auto"/>
        <w:contextualSpacing/>
        <w:rPr>
          <w:rFonts w:ascii="Garamond" w:eastAsia="Garamond" w:hAnsi="Garamond" w:cs="Garamond"/>
          <w:sz w:val="24"/>
          <w:szCs w:val="24"/>
        </w:rPr>
      </w:pPr>
    </w:p>
    <w:tbl>
      <w:tblPr>
        <w:tblStyle w:val="3"/>
        <w:tblW w:w="9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530"/>
        <w:gridCol w:w="1685"/>
        <w:gridCol w:w="2005"/>
        <w:gridCol w:w="1685"/>
      </w:tblGrid>
      <w:tr w:rsidR="0052480B" w:rsidRPr="0034680B" w14:paraId="7C139993" w14:textId="77777777" w:rsidTr="00F0333B">
        <w:tc>
          <w:tcPr>
            <w:tcW w:w="261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328309" w14:textId="4110FB0B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  <w:r w:rsidR="0042186D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42186D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022EA32F" w:rsidR="0052480B" w:rsidRPr="0034680B" w:rsidRDefault="00B47B0C" w:rsidP="006F40FD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42186D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42186D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013571CA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42186D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42186D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31558E80" w:rsidR="0052480B" w:rsidRPr="0034680B" w:rsidRDefault="0042186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</w:tr>
      <w:tr w:rsidR="0052480B" w:rsidRPr="0034680B" w14:paraId="0906A7BB" w14:textId="77777777" w:rsidTr="00F0333B">
        <w:tc>
          <w:tcPr>
            <w:tcW w:w="2610" w:type="dxa"/>
          </w:tcPr>
          <w:p w14:paraId="16F79650" w14:textId="77777777" w:rsidR="0052480B" w:rsidRPr="0034680B" w:rsidRDefault="001B21E4">
            <w:pPr>
              <w:pStyle w:val="Heading2"/>
              <w:outlineLvl w:val="1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530" w:type="dxa"/>
          </w:tcPr>
          <w:p w14:paraId="334E42EB" w14:textId="28E82F3F" w:rsidR="0052480B" w:rsidRPr="0034680B" w:rsidRDefault="003932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8.3</w:t>
            </w:r>
            <w:r w:rsidR="004D296D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5C6A12A0" w14:textId="78B42AAE" w:rsidR="0052480B" w:rsidRPr="0034680B" w:rsidRDefault="00BB61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53.8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2005" w:type="dxa"/>
          </w:tcPr>
          <w:p w14:paraId="6C597B7C" w14:textId="2B27E30B" w:rsidR="0052480B" w:rsidRPr="0034680B" w:rsidRDefault="006902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3.6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3FE32B73" w14:textId="6A4F171D" w:rsidR="0052480B" w:rsidRPr="0034680B" w:rsidRDefault="004D296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690288">
              <w:rPr>
                <w:rFonts w:ascii="Garamond" w:eastAsia="Garamond" w:hAnsi="Garamond" w:cs="Garamond"/>
                <w:sz w:val="24"/>
                <w:szCs w:val="24"/>
              </w:rPr>
              <w:t>6.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F0333B">
        <w:tc>
          <w:tcPr>
            <w:tcW w:w="261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530" w:type="dxa"/>
          </w:tcPr>
          <w:p w14:paraId="2003DDBD" w14:textId="7485478E" w:rsidR="0052480B" w:rsidRPr="0034680B" w:rsidRDefault="003932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</w:t>
            </w:r>
            <w:r w:rsidR="00BB5B9A">
              <w:rPr>
                <w:rFonts w:ascii="Garamond" w:eastAsia="Garamond" w:hAnsi="Garamond" w:cs="Garamond"/>
                <w:sz w:val="24"/>
                <w:szCs w:val="24"/>
              </w:rPr>
              <w:t>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4F5E4FCF" w14:textId="307B85DD" w:rsidR="0052480B" w:rsidRPr="0034680B" w:rsidRDefault="00963D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56.4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2005" w:type="dxa"/>
          </w:tcPr>
          <w:p w14:paraId="7028A238" w14:textId="6B5E6E61" w:rsidR="0052480B" w:rsidRPr="0034680B" w:rsidRDefault="004D296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6.8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61E43F5E" w14:textId="3C5372F7" w:rsidR="0052480B" w:rsidRPr="0034680B" w:rsidRDefault="004D296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6.3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F0333B">
        <w:tc>
          <w:tcPr>
            <w:tcW w:w="261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530" w:type="dxa"/>
          </w:tcPr>
          <w:p w14:paraId="2EB81A59" w14:textId="21419C17" w:rsidR="0052480B" w:rsidRPr="0034680B" w:rsidRDefault="003932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2.8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67D79475" w14:textId="3FF994CC" w:rsidR="0052480B" w:rsidRPr="0034680B" w:rsidRDefault="005C4AE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72.0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2005" w:type="dxa"/>
          </w:tcPr>
          <w:p w14:paraId="54673B52" w14:textId="6D78E7C0" w:rsidR="0052480B" w:rsidRPr="0034680B" w:rsidRDefault="00C81A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23.3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175BAB6F" w14:textId="6308ACDD" w:rsidR="0052480B" w:rsidRPr="0034680B" w:rsidRDefault="00BB5B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2.0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F0333B">
        <w:tc>
          <w:tcPr>
            <w:tcW w:w="2610" w:type="dxa"/>
            <w:tcBorders>
              <w:bottom w:val="single" w:sz="4" w:space="0" w:color="auto"/>
            </w:tcBorders>
          </w:tcPr>
          <w:p w14:paraId="68257417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Barclay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E393DB" w14:textId="1FD2D1E9" w:rsidR="0052480B" w:rsidRPr="0034680B" w:rsidRDefault="0039328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-3.</w:t>
            </w:r>
            <w:r w:rsidR="00BB61A4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8AC4247" w14:textId="36553AD1" w:rsidR="0052480B" w:rsidRPr="0034680B" w:rsidRDefault="005C4AEB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6377723C" w14:textId="39934F27" w:rsidR="0052480B" w:rsidRPr="0034680B" w:rsidRDefault="006902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8665CD5" w14:textId="0EA9AEC3" w:rsidR="0052480B" w:rsidRPr="004E78D2" w:rsidRDefault="00D81C0A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  <w:r w:rsidR="00C81AE6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3D3F527B" w:rsidR="00F0333B" w:rsidRDefault="00C939D7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2.2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2BEFFD5D" w:rsidR="00F0333B" w:rsidRDefault="00FF6BF2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63.6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26FA065F" w:rsidR="00F0333B" w:rsidRDefault="00FF6BF2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20.4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1DEC7327" w:rsidR="00F0333B" w:rsidRDefault="00A52573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19</w:t>
            </w:r>
            <w:r w:rsidR="00C81AE6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4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17DDD54A" w:rsidR="00031BF8" w:rsidRPr="0034680B" w:rsidRDefault="008C79AE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11.4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00D22DD9" w:rsidR="00031BF8" w:rsidRPr="0034680B" w:rsidRDefault="008C79AE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57.0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635062D5" w:rsidR="00031BF8" w:rsidRPr="0034680B" w:rsidRDefault="008C79AE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10.5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6C0DCC20" w:rsidR="00031BF8" w:rsidRPr="0034680B" w:rsidRDefault="00A52573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11.4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0188FFC9" w:rsidR="00031BF8" w:rsidRPr="0034680B" w:rsidRDefault="004E680F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6.9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016ADA4D" w:rsidR="00031BF8" w:rsidRPr="0034680B" w:rsidRDefault="004E680F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96.0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0CD7B633" w:rsidR="00031BF8" w:rsidRPr="0034680B" w:rsidRDefault="00E15971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20.5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6EF0AD92" w:rsidR="00031BF8" w:rsidRPr="0034680B" w:rsidRDefault="00E15971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20.5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6F4CEA" w14:paraId="67226B66" w14:textId="77777777" w:rsidTr="00F03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06210FB1" w:rsidR="00031BF8" w:rsidRPr="006F4CEA" w:rsidRDefault="00C81AE6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21.4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45FE05E2" w:rsidR="00031BF8" w:rsidRPr="000E58F1" w:rsidRDefault="003D2531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100.7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566C60F1" w:rsidR="00031BF8" w:rsidRPr="006F4CEA" w:rsidRDefault="003D2531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9.9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2A9FFFCB" w:rsidR="00031BF8" w:rsidRPr="006F4CEA" w:rsidRDefault="005A32C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11.7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9515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530"/>
        <w:gridCol w:w="1685"/>
        <w:gridCol w:w="2005"/>
        <w:gridCol w:w="1685"/>
      </w:tblGrid>
      <w:tr w:rsidR="009E6B7D" w:rsidRPr="006F4CEA" w14:paraId="6882554E" w14:textId="77777777" w:rsidTr="004B7DA6">
        <w:tc>
          <w:tcPr>
            <w:tcW w:w="2610" w:type="dxa"/>
          </w:tcPr>
          <w:p w14:paraId="74530B22" w14:textId="33516DAB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530" w:type="dxa"/>
          </w:tcPr>
          <w:p w14:paraId="30DF1EF9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7AB4079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005" w:type="dxa"/>
          </w:tcPr>
          <w:p w14:paraId="67949448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4A09796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15BE94FF" w14:textId="77777777" w:rsidTr="004B7DA6">
        <w:tc>
          <w:tcPr>
            <w:tcW w:w="261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53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005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4B7DA6">
        <w:tc>
          <w:tcPr>
            <w:tcW w:w="2610" w:type="dxa"/>
          </w:tcPr>
          <w:p w14:paraId="6B0F6DB8" w14:textId="5F0077D0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(MSCI Index)</w:t>
            </w:r>
          </w:p>
        </w:tc>
        <w:tc>
          <w:tcPr>
            <w:tcW w:w="1530" w:type="dxa"/>
          </w:tcPr>
          <w:p w14:paraId="49F12A9F" w14:textId="6A338D59" w:rsidR="009E6B7D" w:rsidRPr="000A5ADF" w:rsidRDefault="00C81AE6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43FCFC7D" w14:textId="6CF5808F" w:rsidR="009E6B7D" w:rsidRPr="000A5ADF" w:rsidRDefault="000A5ADF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</w:t>
            </w:r>
            <w:r w:rsidR="00CF725C">
              <w:rPr>
                <w:rFonts w:ascii="Garamond" w:eastAsia="Garamond" w:hAnsi="Garamond" w:cs="Garamond"/>
              </w:rPr>
              <w:t>0.9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5B6F225F" w14:textId="1ED06A5D" w:rsidR="009E6B7D" w:rsidRPr="000A5ADF" w:rsidRDefault="00CF725C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6.4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518683FB" w14:textId="093BE2E2" w:rsidR="009E6B7D" w:rsidRPr="000A5ADF" w:rsidRDefault="00A90136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8.5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6FAE24A4" w14:textId="77777777" w:rsidTr="004B7DA6">
        <w:tc>
          <w:tcPr>
            <w:tcW w:w="2610" w:type="dxa"/>
          </w:tcPr>
          <w:p w14:paraId="0A8B94E5" w14:textId="67952D0E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A26706">
              <w:rPr>
                <w:rFonts w:ascii="Garamond" w:eastAsia="Garamond" w:hAnsi="Garamond" w:cs="Garamond"/>
              </w:rPr>
              <w:t>. (MSCI Index)</w:t>
            </w:r>
          </w:p>
        </w:tc>
        <w:tc>
          <w:tcPr>
            <w:tcW w:w="1530" w:type="dxa"/>
          </w:tcPr>
          <w:p w14:paraId="27DBD27C" w14:textId="01EB636B" w:rsidR="009E6B7D" w:rsidRPr="006F4CEA" w:rsidRDefault="00A90136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C81AE6">
              <w:rPr>
                <w:rFonts w:ascii="Garamond" w:eastAsia="Garamond" w:hAnsi="Garamond" w:cs="Garamond"/>
              </w:rPr>
              <w:t>6.9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3726A8DA" w14:textId="6E58791D" w:rsidR="009E6B7D" w:rsidRPr="006F4CEA" w:rsidRDefault="0020441A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50.5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612889D0" w14:textId="5D4A5946" w:rsidR="009E6B7D" w:rsidRPr="006F4CEA" w:rsidRDefault="009B4BB5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20441A">
              <w:rPr>
                <w:rFonts w:ascii="Garamond" w:eastAsia="Garamond" w:hAnsi="Garamond" w:cs="Garamond"/>
              </w:rPr>
              <w:t>3.7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B3BC980" w14:textId="73C18289" w:rsidR="009E6B7D" w:rsidRPr="006F4CEA" w:rsidRDefault="009B4BB5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8.</w:t>
            </w:r>
            <w:r w:rsidR="0020441A">
              <w:rPr>
                <w:rFonts w:ascii="Garamond" w:eastAsia="Garamond" w:hAnsi="Garamond" w:cs="Garamond"/>
              </w:rPr>
              <w:t>7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4B7DA6">
        <w:trPr>
          <w:trHeight w:val="58"/>
        </w:trPr>
        <w:tc>
          <w:tcPr>
            <w:tcW w:w="2610" w:type="dxa"/>
          </w:tcPr>
          <w:p w14:paraId="06C08C36" w14:textId="3EBD6290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(MSCI Index)</w:t>
            </w:r>
          </w:p>
        </w:tc>
        <w:tc>
          <w:tcPr>
            <w:tcW w:w="1530" w:type="dxa"/>
          </w:tcPr>
          <w:p w14:paraId="23CFA4FF" w14:textId="79AB3D3E" w:rsidR="009E6B7D" w:rsidRPr="00CC577E" w:rsidRDefault="006A6F86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3.2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FF99902" w14:textId="78DDB30C" w:rsidR="009E6B7D" w:rsidRPr="00CC577E" w:rsidRDefault="006A6F86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40.5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556FE1C7" w14:textId="6A05E4B8" w:rsidR="009E6B7D" w:rsidRPr="00CC577E" w:rsidRDefault="006A6F86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5.5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40357977" w14:textId="02FEE9D4" w:rsidR="009E6B7D" w:rsidRPr="00CC577E" w:rsidRDefault="00D6293B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10.4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4B7DA6">
        <w:tc>
          <w:tcPr>
            <w:tcW w:w="2610" w:type="dxa"/>
          </w:tcPr>
          <w:p w14:paraId="30B65EBC" w14:textId="4E2C99A9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(MSCI)</w:t>
            </w:r>
          </w:p>
        </w:tc>
        <w:tc>
          <w:tcPr>
            <w:tcW w:w="1530" w:type="dxa"/>
          </w:tcPr>
          <w:p w14:paraId="5F5D2577" w14:textId="4810EBC8" w:rsidR="009E6B7D" w:rsidRPr="000A5ADF" w:rsidRDefault="000A5AD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  <w:r w:rsidR="00D6293B">
              <w:rPr>
                <w:rFonts w:ascii="Garamond" w:eastAsia="Garamond" w:hAnsi="Garamond" w:cs="Garamond"/>
              </w:rPr>
              <w:t>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137337E6" w14:textId="5E89CE3C" w:rsidR="009E6B7D" w:rsidRPr="000A5ADF" w:rsidRDefault="000A5ADF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</w:t>
            </w:r>
            <w:r w:rsidR="00791A1F">
              <w:rPr>
                <w:rFonts w:ascii="Garamond" w:eastAsia="Garamond" w:hAnsi="Garamond" w:cs="Garamond"/>
              </w:rPr>
              <w:t>4.7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46343B16" w14:textId="66486FD6" w:rsidR="009E6B7D" w:rsidRPr="000A5ADF" w:rsidRDefault="00791A1F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11.0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5CCB8E3C" w14:textId="15A5FE03" w:rsidR="009E6B7D" w:rsidRPr="000A5ADF" w:rsidRDefault="00791A1F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14.6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4B7DA6">
        <w:tc>
          <w:tcPr>
            <w:tcW w:w="2610" w:type="dxa"/>
          </w:tcPr>
          <w:p w14:paraId="4A4442BC" w14:textId="58E823E8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  <w:r w:rsidR="00A26706">
              <w:rPr>
                <w:rFonts w:ascii="Garamond" w:eastAsia="Garamond" w:hAnsi="Garamond" w:cs="Garamond"/>
              </w:rPr>
              <w:t>(Shanghai Index)</w:t>
            </w:r>
          </w:p>
        </w:tc>
        <w:tc>
          <w:tcPr>
            <w:tcW w:w="1530" w:type="dxa"/>
          </w:tcPr>
          <w:p w14:paraId="37C0F9EB" w14:textId="5D9DF228" w:rsidR="009E6B7D" w:rsidRPr="000A5ADF" w:rsidRDefault="00E64C24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0.4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01407B20" w14:textId="503C26F8" w:rsidR="009E6B7D" w:rsidRPr="000A5ADF" w:rsidRDefault="00E64C24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54.7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21C02A6E" w14:textId="412834ED" w:rsidR="009E6B7D" w:rsidRPr="000A5ADF" w:rsidRDefault="009B4BB5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9.</w:t>
            </w:r>
            <w:r w:rsidR="000C0C2B">
              <w:rPr>
                <w:rFonts w:ascii="Garamond" w:eastAsia="Garamond" w:hAnsi="Garamond" w:cs="Garamond"/>
              </w:rPr>
              <w:t>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4289374" w14:textId="0349693C" w:rsidR="009E6B7D" w:rsidRPr="000A5ADF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0A5ADF">
              <w:rPr>
                <w:rFonts w:ascii="Garamond" w:eastAsia="Garamond" w:hAnsi="Garamond" w:cs="Garamond"/>
              </w:rPr>
              <w:t>1</w:t>
            </w:r>
            <w:r w:rsidR="000C0C2B">
              <w:rPr>
                <w:rFonts w:ascii="Garamond" w:eastAsia="Garamond" w:hAnsi="Garamond" w:cs="Garamond"/>
              </w:rPr>
              <w:t>4.2</w:t>
            </w:r>
            <w:r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4B7DA6">
        <w:tc>
          <w:tcPr>
            <w:tcW w:w="2610" w:type="dxa"/>
          </w:tcPr>
          <w:p w14:paraId="3A7E5449" w14:textId="5CBDD779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(Sensex Index)</w:t>
            </w:r>
          </w:p>
        </w:tc>
        <w:tc>
          <w:tcPr>
            <w:tcW w:w="1530" w:type="dxa"/>
          </w:tcPr>
          <w:p w14:paraId="1B743D21" w14:textId="0B293CCE" w:rsidR="009E6B7D" w:rsidRPr="00A26706" w:rsidRDefault="000C0C2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5.9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5559CED6" w14:textId="3B762D38" w:rsidR="009E6B7D" w:rsidRPr="00A26706" w:rsidRDefault="00625901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78.3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7160DC41" w14:textId="0C1EAA95" w:rsidR="009E6B7D" w:rsidRPr="00A26706" w:rsidRDefault="00625901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5.1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2BEE94C3" w14:textId="5657FA00" w:rsidR="009E6B7D" w:rsidRPr="00A26706" w:rsidRDefault="00625901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10.2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p w14:paraId="68053668" w14:textId="7293CBEC" w:rsidR="00B72428" w:rsidRDefault="00B72428"/>
    <w:tbl>
      <w:tblPr>
        <w:tblStyle w:val="3"/>
        <w:tblW w:w="9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530"/>
        <w:gridCol w:w="1685"/>
        <w:gridCol w:w="2005"/>
        <w:gridCol w:w="1685"/>
      </w:tblGrid>
      <w:tr w:rsidR="002D6DE8" w:rsidRPr="0034680B" w14:paraId="397A8FD1" w14:textId="77777777" w:rsidTr="00ED5AE3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B3340F" w14:textId="5AC754DD" w:rsidR="002D6DE8" w:rsidRPr="0034680B" w:rsidRDefault="002D6DE8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  <w:r w:rsidR="00DF08D1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DF08D1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38C8DF54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DF08D1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DF08D1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06CCCF7E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DF08D1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DF08D1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3FB11AAB" w:rsidR="002D6DE8" w:rsidRPr="0034680B" w:rsidRDefault="00DF08D1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E198A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1"/>
        <w:tblW w:w="9515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530"/>
        <w:gridCol w:w="1685"/>
        <w:gridCol w:w="2005"/>
        <w:gridCol w:w="1685"/>
      </w:tblGrid>
      <w:tr w:rsidR="004E78D2" w:rsidRPr="0034680B" w14:paraId="3995C701" w14:textId="77777777" w:rsidTr="000E58F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53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005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0E58F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53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005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85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0E58F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530" w:type="dxa"/>
          </w:tcPr>
          <w:p w14:paraId="0C42BC0E" w14:textId="1A312BE6" w:rsidR="0034680B" w:rsidRPr="0034680B" w:rsidRDefault="00A733C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-7.0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77351B1B" w14:textId="5D0A5643" w:rsidR="0034680B" w:rsidRPr="0034680B" w:rsidRDefault="000C030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</w:t>
            </w:r>
            <w:r w:rsidR="00C81AE6">
              <w:rPr>
                <w:rFonts w:ascii="Garamond" w:eastAsia="Garamond" w:hAnsi="Garamond" w:cs="Garamond"/>
              </w:rPr>
              <w:t>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4B5DD996" w14:textId="6A109650" w:rsidR="0034680B" w:rsidRPr="0034680B" w:rsidRDefault="0058175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7.</w:t>
            </w:r>
            <w:r w:rsidR="00C81AE6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A713637" w14:textId="1CD65099" w:rsidR="0034680B" w:rsidRPr="0034680B" w:rsidRDefault="0058175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0E58F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530" w:type="dxa"/>
          </w:tcPr>
          <w:p w14:paraId="17025524" w14:textId="2BA1A345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D93AE9"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4F88F38F" w14:textId="76FDCBD3" w:rsidR="0034680B" w:rsidRPr="0034680B" w:rsidRDefault="00D93AE9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53F4989A" w14:textId="628B17D0" w:rsidR="0034680B" w:rsidRPr="0034680B" w:rsidRDefault="00A6601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98F3C1C" w14:textId="62F4E3FC" w:rsidR="0034680B" w:rsidRPr="0034680B" w:rsidRDefault="00A6601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0E58F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530" w:type="dxa"/>
          </w:tcPr>
          <w:p w14:paraId="22FE5CF4" w14:textId="1085A987" w:rsidR="0034680B" w:rsidRPr="0034680B" w:rsidRDefault="00011C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1340BAC2" w14:textId="5CBC3E95" w:rsidR="0034680B" w:rsidRPr="0034680B" w:rsidRDefault="00011C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35496E35" w14:textId="5B0A30C8" w:rsidR="0034680B" w:rsidRPr="0034680B" w:rsidRDefault="00011C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5D15B6E7" w14:textId="26918511" w:rsidR="0034680B" w:rsidRPr="0034680B" w:rsidRDefault="00DE0C3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  <w:r w:rsidR="00011C7D">
              <w:rPr>
                <w:rFonts w:ascii="Garamond" w:eastAsia="Garamond" w:hAnsi="Garamond" w:cs="Garamond"/>
              </w:rPr>
              <w:t>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0E58F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53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2005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0E58F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530" w:type="dxa"/>
          </w:tcPr>
          <w:p w14:paraId="75A73CBC" w14:textId="42A54943" w:rsidR="0034680B" w:rsidRPr="008847F9" w:rsidRDefault="00E67642" w:rsidP="008847F9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D52D60">
              <w:rPr>
                <w:rFonts w:ascii="Garamond" w:eastAsia="Garamond" w:hAnsi="Garamond" w:cs="Garamond"/>
              </w:rPr>
              <w:t>12.8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2BD1FCFF" w14:textId="4E8A4E91" w:rsidR="0034680B" w:rsidRPr="0034680B" w:rsidRDefault="00D52D6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-15.7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31E3907D" w14:textId="3B4CBBB0" w:rsidR="0034680B" w:rsidRPr="0034680B" w:rsidRDefault="00D52D6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022ADAB0" w14:textId="5F801824" w:rsidR="0034680B" w:rsidRPr="0034680B" w:rsidRDefault="00EB5EC8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0E58F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530" w:type="dxa"/>
          </w:tcPr>
          <w:p w14:paraId="06D5A044" w14:textId="15839D68" w:rsidR="0034680B" w:rsidRPr="0034680B" w:rsidRDefault="00EB5EC8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-2.</w:t>
            </w:r>
            <w:r w:rsidR="00C81AE6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4C721137" w14:textId="34646784" w:rsidR="0034680B" w:rsidRPr="0034680B" w:rsidRDefault="008F2202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</w:t>
            </w:r>
            <w:r w:rsidR="00C81AE6">
              <w:rPr>
                <w:rFonts w:ascii="Garamond" w:eastAsia="Garamond" w:hAnsi="Garamond" w:cs="Garamond"/>
              </w:rPr>
              <w:t>8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4F0B53E1" w14:textId="2F3638AB" w:rsidR="0034680B" w:rsidRPr="0034680B" w:rsidRDefault="008F2202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009DC3F8" w14:textId="0F703784" w:rsidR="0034680B" w:rsidRPr="0034680B" w:rsidRDefault="00A00E9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</w:t>
            </w:r>
            <w:r w:rsidR="008F2202">
              <w:rPr>
                <w:rFonts w:ascii="Garamond" w:eastAsia="Garamond" w:hAnsi="Garamond" w:cs="Garamond"/>
              </w:rPr>
              <w:t>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0E58F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530" w:type="dxa"/>
          </w:tcPr>
          <w:p w14:paraId="18C120C7" w14:textId="5DBDF273" w:rsidR="0034680B" w:rsidRPr="0034680B" w:rsidRDefault="00C7746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441337D4" w14:textId="4F693D91" w:rsidR="0034680B" w:rsidRPr="0034680B" w:rsidRDefault="00B12F5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30518912" w14:textId="263E4F0B" w:rsidR="0034680B" w:rsidRPr="0034680B" w:rsidRDefault="00A00E9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</w:t>
            </w:r>
            <w:r w:rsidR="00B12F5C">
              <w:rPr>
                <w:rFonts w:ascii="Garamond" w:eastAsia="Garamond" w:hAnsi="Garamond" w:cs="Garamond"/>
              </w:rPr>
              <w:t>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43045533" w14:textId="0A84FBB7" w:rsidR="0034680B" w:rsidRPr="0034680B" w:rsidRDefault="00A660C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</w:t>
            </w:r>
            <w:r w:rsidR="00B12F5C">
              <w:rPr>
                <w:rFonts w:ascii="Garamond" w:eastAsia="Garamond" w:hAnsi="Garamond" w:cs="Garamond"/>
              </w:rPr>
              <w:t>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0E58F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53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2005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0E58F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530" w:type="dxa"/>
          </w:tcPr>
          <w:p w14:paraId="3D406549" w14:textId="1CAA0FC7" w:rsidR="0034680B" w:rsidRPr="0034680B" w:rsidRDefault="00EA52B1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F7160F">
              <w:rPr>
                <w:rFonts w:ascii="Garamond" w:eastAsia="Garamond" w:hAnsi="Garamond" w:cs="Garamond"/>
              </w:rPr>
              <w:t>0.1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A7A79EF" w14:textId="484AAFA2" w:rsidR="0034680B" w:rsidRPr="0034680B" w:rsidRDefault="00F7160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7.3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77A4AC8C" w14:textId="2B421A48" w:rsidR="0034680B" w:rsidRPr="0034680B" w:rsidRDefault="00F7160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037C7831" w14:textId="13D1D25D" w:rsidR="0034680B" w:rsidRPr="0034680B" w:rsidRDefault="00CA690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0E58F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530" w:type="dxa"/>
          </w:tcPr>
          <w:p w14:paraId="14D595BD" w14:textId="1214DC09" w:rsidR="0034680B" w:rsidRPr="0034680B" w:rsidRDefault="00D518F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60DE31B3" w14:textId="0472E92E" w:rsidR="0034680B" w:rsidRPr="0034680B" w:rsidRDefault="003C0D8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47258927" w14:textId="06535CDA" w:rsidR="0034680B" w:rsidRPr="0034680B" w:rsidRDefault="00E67642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</w:t>
            </w:r>
            <w:r w:rsidR="003C0D8B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060B70F1" w14:textId="79A74E6E" w:rsidR="0034680B" w:rsidRPr="0034680B" w:rsidRDefault="004142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0E58F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530" w:type="dxa"/>
          </w:tcPr>
          <w:p w14:paraId="0CE0BE38" w14:textId="7B235175" w:rsidR="0034680B" w:rsidRPr="0034680B" w:rsidRDefault="00C33B97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932722">
              <w:rPr>
                <w:rFonts w:ascii="Garamond" w:eastAsia="Garamond" w:hAnsi="Garamond" w:cs="Garamond"/>
              </w:rPr>
              <w:t>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24EE2085" w14:textId="501A373C" w:rsidR="0034680B" w:rsidRPr="0034680B" w:rsidRDefault="00080F39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2005" w:type="dxa"/>
          </w:tcPr>
          <w:p w14:paraId="5E624E4E" w14:textId="44EDEB75" w:rsidR="0034680B" w:rsidRPr="0034680B" w:rsidRDefault="00E67642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7C62E4D1" w14:textId="125AFA60" w:rsidR="0034680B" w:rsidRPr="002161DA" w:rsidRDefault="00514A1F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  <w:r w:rsidR="00080F39">
              <w:rPr>
                <w:rFonts w:ascii="Garamond" w:eastAsia="Garamond" w:hAnsi="Garamond" w:cs="Garamond"/>
              </w:rPr>
              <w:t>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7F747B45" w14:textId="77777777" w:rsidR="008954AC" w:rsidRDefault="008954AC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62919624" w14:textId="016C400D" w:rsidR="00696D24" w:rsidRDefault="003915C5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</w:p>
    <w:p w14:paraId="2E684951" w14:textId="6FCD0134" w:rsidR="0038597A" w:rsidRPr="0038597A" w:rsidRDefault="0038597A" w:rsidP="00307775">
      <w:pPr>
        <w:spacing w:before="100" w:after="280" w:line="240" w:lineRule="auto"/>
        <w:rPr>
          <w:rFonts w:ascii="Garamond" w:eastAsia="Garamond" w:hAnsi="Garamond" w:cs="Garamond"/>
          <w:bCs/>
          <w:sz w:val="24"/>
          <w:szCs w:val="24"/>
        </w:rPr>
      </w:pPr>
      <w:r w:rsidRPr="0038597A">
        <w:rPr>
          <w:rFonts w:ascii="Garamond" w:eastAsia="Garamond" w:hAnsi="Garamond" w:cs="Garamond"/>
          <w:bCs/>
          <w:sz w:val="24"/>
          <w:szCs w:val="24"/>
        </w:rPr>
        <w:t>Uncertain.  The tax and spend plans of the new Administration are risky.  Have increased taxes and higher inflation ever worked that well</w:t>
      </w:r>
      <w:r w:rsidR="00C81AE6">
        <w:rPr>
          <w:rFonts w:ascii="Garamond" w:eastAsia="Garamond" w:hAnsi="Garamond" w:cs="Garamond"/>
          <w:bCs/>
          <w:sz w:val="24"/>
          <w:szCs w:val="24"/>
        </w:rPr>
        <w:t>?</w:t>
      </w:r>
      <w:r w:rsidRPr="0038597A">
        <w:rPr>
          <w:rFonts w:ascii="Garamond" w:eastAsia="Garamond" w:hAnsi="Garamond" w:cs="Garamond"/>
          <w:bCs/>
          <w:sz w:val="24"/>
          <w:szCs w:val="24"/>
        </w:rPr>
        <w:t xml:space="preserve">   Also, although billed as higher taxes on the rich, the so-called middle class will also be affected in some form or other.  We will have to wait and see how these </w:t>
      </w:r>
      <w:r w:rsidR="00826C4F" w:rsidRPr="0038597A">
        <w:rPr>
          <w:rFonts w:ascii="Garamond" w:eastAsia="Garamond" w:hAnsi="Garamond" w:cs="Garamond"/>
          <w:bCs/>
          <w:sz w:val="24"/>
          <w:szCs w:val="24"/>
        </w:rPr>
        <w:t>programs</w:t>
      </w:r>
      <w:r w:rsidRPr="0038597A">
        <w:rPr>
          <w:rFonts w:ascii="Garamond" w:eastAsia="Garamond" w:hAnsi="Garamond" w:cs="Garamond"/>
          <w:bCs/>
          <w:sz w:val="24"/>
          <w:szCs w:val="24"/>
        </w:rPr>
        <w:t xml:space="preserve"> all work out for the economy, employment and the stock market.</w:t>
      </w:r>
    </w:p>
    <w:p w14:paraId="0DB5D9EC" w14:textId="0E3007E9" w:rsidR="0038597A" w:rsidRPr="0038597A" w:rsidRDefault="0038597A" w:rsidP="00307775">
      <w:pPr>
        <w:spacing w:before="100" w:after="280" w:line="240" w:lineRule="auto"/>
        <w:rPr>
          <w:rFonts w:ascii="Garamond" w:eastAsia="Garamond" w:hAnsi="Garamond" w:cs="Garamond"/>
          <w:bCs/>
          <w:sz w:val="24"/>
          <w:szCs w:val="24"/>
        </w:rPr>
      </w:pPr>
      <w:r w:rsidRPr="0038597A">
        <w:rPr>
          <w:rFonts w:ascii="Garamond" w:eastAsia="Garamond" w:hAnsi="Garamond" w:cs="Garamond"/>
          <w:bCs/>
          <w:sz w:val="24"/>
          <w:szCs w:val="24"/>
        </w:rPr>
        <w:t>The impact of the stimulus programs and inflation pressure may</w:t>
      </w:r>
      <w:r w:rsidR="00B408C6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Pr="0038597A">
        <w:rPr>
          <w:rFonts w:ascii="Garamond" w:eastAsia="Garamond" w:hAnsi="Garamond" w:cs="Garamond"/>
          <w:bCs/>
          <w:sz w:val="24"/>
          <w:szCs w:val="24"/>
        </w:rPr>
        <w:t>be somewhat in the future.  But the stock market is relatively high and has been rotating between high tech and financial related sto</w:t>
      </w:r>
      <w:r w:rsidR="00B408C6">
        <w:rPr>
          <w:rFonts w:ascii="Garamond" w:eastAsia="Garamond" w:hAnsi="Garamond" w:cs="Garamond"/>
          <w:bCs/>
          <w:sz w:val="24"/>
          <w:szCs w:val="24"/>
        </w:rPr>
        <w:t>ck</w:t>
      </w:r>
      <w:r w:rsidRPr="0038597A">
        <w:rPr>
          <w:rFonts w:ascii="Garamond" w:eastAsia="Garamond" w:hAnsi="Garamond" w:cs="Garamond"/>
          <w:bCs/>
          <w:sz w:val="24"/>
          <w:szCs w:val="24"/>
        </w:rPr>
        <w:t>s.  Therefore, we continue to be cautious</w:t>
      </w:r>
      <w:r w:rsidR="007D6013">
        <w:rPr>
          <w:rFonts w:ascii="Garamond" w:eastAsia="Garamond" w:hAnsi="Garamond" w:cs="Garamond"/>
          <w:bCs/>
          <w:sz w:val="24"/>
          <w:szCs w:val="24"/>
        </w:rPr>
        <w:t>.</w:t>
      </w:r>
      <w:r w:rsidR="000B2B7F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7D6013">
        <w:rPr>
          <w:rFonts w:ascii="Garamond" w:eastAsia="Garamond" w:hAnsi="Garamond" w:cs="Garamond"/>
          <w:bCs/>
          <w:sz w:val="24"/>
          <w:szCs w:val="24"/>
        </w:rPr>
        <w:t>E</w:t>
      </w:r>
      <w:r w:rsidR="000B2B7F">
        <w:rPr>
          <w:rFonts w:ascii="Garamond" w:eastAsia="Garamond" w:hAnsi="Garamond" w:cs="Garamond"/>
          <w:bCs/>
          <w:sz w:val="24"/>
          <w:szCs w:val="24"/>
        </w:rPr>
        <w:t>xcept for possible modest investmen</w:t>
      </w:r>
      <w:r w:rsidR="007D6013">
        <w:rPr>
          <w:rFonts w:ascii="Garamond" w:eastAsia="Garamond" w:hAnsi="Garamond" w:cs="Garamond"/>
          <w:bCs/>
          <w:sz w:val="24"/>
          <w:szCs w:val="24"/>
        </w:rPr>
        <w:t>t</w:t>
      </w:r>
      <w:r w:rsidR="000B2B7F">
        <w:rPr>
          <w:rFonts w:ascii="Garamond" w:eastAsia="Garamond" w:hAnsi="Garamond" w:cs="Garamond"/>
          <w:bCs/>
          <w:sz w:val="24"/>
          <w:szCs w:val="24"/>
        </w:rPr>
        <w:t xml:space="preserve"> in a broadly di</w:t>
      </w:r>
      <w:r w:rsidR="007D6013">
        <w:rPr>
          <w:rFonts w:ascii="Garamond" w:eastAsia="Garamond" w:hAnsi="Garamond" w:cs="Garamond"/>
          <w:bCs/>
          <w:sz w:val="24"/>
          <w:szCs w:val="24"/>
        </w:rPr>
        <w:t>v</w:t>
      </w:r>
      <w:r w:rsidR="000B2B7F">
        <w:rPr>
          <w:rFonts w:ascii="Garamond" w:eastAsia="Garamond" w:hAnsi="Garamond" w:cs="Garamond"/>
          <w:bCs/>
          <w:sz w:val="24"/>
          <w:szCs w:val="24"/>
        </w:rPr>
        <w:t>ersif</w:t>
      </w:r>
      <w:r w:rsidR="007D6013">
        <w:rPr>
          <w:rFonts w:ascii="Garamond" w:eastAsia="Garamond" w:hAnsi="Garamond" w:cs="Garamond"/>
          <w:bCs/>
          <w:sz w:val="24"/>
          <w:szCs w:val="24"/>
        </w:rPr>
        <w:t>i</w:t>
      </w:r>
      <w:r w:rsidR="000B2B7F">
        <w:rPr>
          <w:rFonts w:ascii="Garamond" w:eastAsia="Garamond" w:hAnsi="Garamond" w:cs="Garamond"/>
          <w:bCs/>
          <w:sz w:val="24"/>
          <w:szCs w:val="24"/>
        </w:rPr>
        <w:t>ed stock market</w:t>
      </w:r>
      <w:r w:rsidR="00C81AE6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0B2B7F">
        <w:rPr>
          <w:rFonts w:ascii="Garamond" w:eastAsia="Garamond" w:hAnsi="Garamond" w:cs="Garamond"/>
          <w:bCs/>
          <w:sz w:val="24"/>
          <w:szCs w:val="24"/>
        </w:rPr>
        <w:t>fund</w:t>
      </w:r>
      <w:r w:rsidR="00C81AE6">
        <w:rPr>
          <w:rFonts w:ascii="Garamond" w:eastAsia="Garamond" w:hAnsi="Garamond" w:cs="Garamond"/>
          <w:bCs/>
          <w:sz w:val="24"/>
          <w:szCs w:val="24"/>
        </w:rPr>
        <w:t>,</w:t>
      </w:r>
      <w:r w:rsidR="000B2B7F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7D6013">
        <w:rPr>
          <w:rFonts w:ascii="Garamond" w:eastAsia="Garamond" w:hAnsi="Garamond" w:cs="Garamond"/>
          <w:bCs/>
          <w:sz w:val="24"/>
          <w:szCs w:val="24"/>
        </w:rPr>
        <w:t xml:space="preserve">we do not recommend any new equity investment.  This </w:t>
      </w:r>
      <w:r w:rsidR="00C81AE6">
        <w:rPr>
          <w:rFonts w:ascii="Garamond" w:eastAsia="Garamond" w:hAnsi="Garamond" w:cs="Garamond"/>
          <w:bCs/>
          <w:sz w:val="24"/>
          <w:szCs w:val="24"/>
        </w:rPr>
        <w:t xml:space="preserve">investment </w:t>
      </w:r>
      <w:r w:rsidR="007D6013">
        <w:rPr>
          <w:rFonts w:ascii="Garamond" w:eastAsia="Garamond" w:hAnsi="Garamond" w:cs="Garamond"/>
          <w:bCs/>
          <w:sz w:val="24"/>
          <w:szCs w:val="24"/>
        </w:rPr>
        <w:t>would depend</w:t>
      </w:r>
      <w:r w:rsidR="000B2B7F">
        <w:rPr>
          <w:rFonts w:ascii="Garamond" w:eastAsia="Garamond" w:hAnsi="Garamond" w:cs="Garamond"/>
          <w:bCs/>
          <w:sz w:val="24"/>
          <w:szCs w:val="24"/>
        </w:rPr>
        <w:t xml:space="preserve"> on current and target equity allocation positions.</w:t>
      </w:r>
      <w:r w:rsidRPr="0038597A">
        <w:rPr>
          <w:rFonts w:ascii="Garamond" w:eastAsia="Garamond" w:hAnsi="Garamond" w:cs="Garamond"/>
          <w:bCs/>
          <w:sz w:val="24"/>
          <w:szCs w:val="24"/>
        </w:rPr>
        <w:t xml:space="preserve"> Also, short term bond funds are OK and we may recommend moving from intermediate term to shor</w:t>
      </w:r>
      <w:r w:rsidR="00896FF1">
        <w:rPr>
          <w:rFonts w:ascii="Garamond" w:eastAsia="Garamond" w:hAnsi="Garamond" w:cs="Garamond"/>
          <w:bCs/>
          <w:sz w:val="24"/>
          <w:szCs w:val="24"/>
        </w:rPr>
        <w:t>t</w:t>
      </w:r>
      <w:r w:rsidRPr="0038597A">
        <w:rPr>
          <w:rFonts w:ascii="Garamond" w:eastAsia="Garamond" w:hAnsi="Garamond" w:cs="Garamond"/>
          <w:bCs/>
          <w:sz w:val="24"/>
          <w:szCs w:val="24"/>
        </w:rPr>
        <w:t xml:space="preserve"> term bonds as the year unfolds.</w:t>
      </w:r>
    </w:p>
    <w:p w14:paraId="15EEDB62" w14:textId="77777777" w:rsidR="00996F6D" w:rsidRDefault="00996F6D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1272CB4" w14:textId="7DE6E712" w:rsidR="009D638B" w:rsidRPr="00DA5208" w:rsidRDefault="001B21E4" w:rsidP="009D638B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102ABE3C" w:rsidR="0090706C" w:rsidRPr="00DA5208" w:rsidRDefault="009D638B" w:rsidP="002E198A">
      <w:pPr>
        <w:spacing w:after="0" w:line="240" w:lineRule="auto"/>
        <w:ind w:left="7920" w:firstLine="720"/>
        <w:rPr>
          <w:rFonts w:ascii="Garamond" w:eastAsia="Garamond" w:hAnsi="Garamond" w:cs="Garamond"/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597A">
        <w:rPr>
          <w:rFonts w:ascii="Garamond" w:eastAsia="Garamond" w:hAnsi="Garamond" w:cs="Garamond"/>
          <w:b/>
          <w:sz w:val="24"/>
          <w:szCs w:val="24"/>
        </w:rPr>
        <w:t>4</w:t>
      </w:r>
      <w:r w:rsidR="007301DF" w:rsidRPr="00DA5208">
        <w:rPr>
          <w:rFonts w:ascii="Garamond" w:eastAsia="Garamond" w:hAnsi="Garamond" w:cs="Garamond"/>
          <w:b/>
          <w:sz w:val="24"/>
          <w:szCs w:val="24"/>
        </w:rPr>
        <w:t>/</w:t>
      </w:r>
      <w:r w:rsidR="00A6607B">
        <w:rPr>
          <w:rFonts w:ascii="Garamond" w:eastAsia="Garamond" w:hAnsi="Garamond" w:cs="Garamond"/>
          <w:b/>
          <w:sz w:val="24"/>
          <w:szCs w:val="24"/>
        </w:rPr>
        <w:t>1</w:t>
      </w:r>
      <w:r w:rsidR="00221888">
        <w:rPr>
          <w:rFonts w:ascii="Garamond" w:eastAsia="Garamond" w:hAnsi="Garamond" w:cs="Garamond"/>
          <w:b/>
          <w:sz w:val="24"/>
          <w:szCs w:val="24"/>
        </w:rPr>
        <w:t>3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/20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 w:rsidR="002E198A" w:rsidRPr="00DA5208">
        <w:rPr>
          <w:rFonts w:ascii="Garamond" w:eastAsia="Garamond" w:hAnsi="Garamond" w:cs="Garamond"/>
          <w:b/>
          <w:sz w:val="24"/>
          <w:szCs w:val="24"/>
        </w:rPr>
        <w:t>1</w:t>
      </w:r>
    </w:p>
    <w:p w14:paraId="127FC848" w14:textId="6A3B5453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2E198A">
        <w:rPr>
          <w:rFonts w:ascii="Garamond" w:eastAsia="Garamond" w:hAnsi="Garamond" w:cs="Garamond"/>
          <w:i/>
          <w:sz w:val="16"/>
          <w:szCs w:val="16"/>
        </w:rPr>
        <w:t>1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726469">
      <w:headerReference w:type="default" r:id="rId7"/>
      <w:pgSz w:w="12240" w:h="15840" w:code="1"/>
      <w:pgMar w:top="1152" w:right="1152" w:bottom="432" w:left="1152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270F" w14:textId="77777777" w:rsidR="00E747A7" w:rsidRDefault="00E747A7">
      <w:pPr>
        <w:spacing w:after="0" w:line="240" w:lineRule="auto"/>
      </w:pPr>
      <w:r>
        <w:separator/>
      </w:r>
    </w:p>
  </w:endnote>
  <w:endnote w:type="continuationSeparator" w:id="0">
    <w:p w14:paraId="439AF3E5" w14:textId="77777777" w:rsidR="00E747A7" w:rsidRDefault="00E7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5E3A" w14:textId="77777777" w:rsidR="00E747A7" w:rsidRDefault="00E747A7">
      <w:pPr>
        <w:spacing w:after="0" w:line="240" w:lineRule="auto"/>
      </w:pPr>
      <w:r>
        <w:separator/>
      </w:r>
    </w:p>
  </w:footnote>
  <w:footnote w:type="continuationSeparator" w:id="0">
    <w:p w14:paraId="1CC0F5D5" w14:textId="77777777" w:rsidR="00E747A7" w:rsidRDefault="00E7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002" w14:textId="77EB4D94" w:rsidR="00E854D4" w:rsidRPr="00D767B6" w:rsidRDefault="002A202E" w:rsidP="00996F6D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>F</w:t>
    </w:r>
    <w:r w:rsidR="0057143F">
      <w:rPr>
        <w:rFonts w:ascii="Garamond" w:eastAsia="Garamond" w:hAnsi="Garamond" w:cs="Garamond"/>
        <w:sz w:val="32"/>
        <w:szCs w:val="32"/>
      </w:rPr>
      <w:t>irst</w:t>
    </w:r>
    <w:r>
      <w:rPr>
        <w:rFonts w:ascii="Garamond" w:eastAsia="Garamond" w:hAnsi="Garamond" w:cs="Garamond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57143F">
      <w:rPr>
        <w:rFonts w:ascii="Garamond" w:eastAsia="Garamond" w:hAnsi="Garamond" w:cs="Garamond"/>
        <w:sz w:val="32"/>
        <w:szCs w:val="32"/>
      </w:rPr>
      <w:t>1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4577"/>
    <w:rsid w:val="000048A3"/>
    <w:rsid w:val="00011C7D"/>
    <w:rsid w:val="00012D31"/>
    <w:rsid w:val="00014F60"/>
    <w:rsid w:val="00022208"/>
    <w:rsid w:val="00022C99"/>
    <w:rsid w:val="00031490"/>
    <w:rsid w:val="00031BF8"/>
    <w:rsid w:val="00040BDA"/>
    <w:rsid w:val="00041997"/>
    <w:rsid w:val="000435EB"/>
    <w:rsid w:val="00044CBF"/>
    <w:rsid w:val="00056AC9"/>
    <w:rsid w:val="00080F39"/>
    <w:rsid w:val="00087BFD"/>
    <w:rsid w:val="000934DF"/>
    <w:rsid w:val="000948A6"/>
    <w:rsid w:val="000A0E2F"/>
    <w:rsid w:val="000A193F"/>
    <w:rsid w:val="000A5ADF"/>
    <w:rsid w:val="000A60AA"/>
    <w:rsid w:val="000B1B9E"/>
    <w:rsid w:val="000B2B7F"/>
    <w:rsid w:val="000B5A30"/>
    <w:rsid w:val="000B755C"/>
    <w:rsid w:val="000C0307"/>
    <w:rsid w:val="000C0C2B"/>
    <w:rsid w:val="000C1DAC"/>
    <w:rsid w:val="000C333E"/>
    <w:rsid w:val="000C6FA4"/>
    <w:rsid w:val="000D3031"/>
    <w:rsid w:val="000D6EA0"/>
    <w:rsid w:val="000E3A53"/>
    <w:rsid w:val="000E58F1"/>
    <w:rsid w:val="000F5D82"/>
    <w:rsid w:val="000F781C"/>
    <w:rsid w:val="001078CD"/>
    <w:rsid w:val="00124D05"/>
    <w:rsid w:val="00125B51"/>
    <w:rsid w:val="00125DDB"/>
    <w:rsid w:val="00125ED4"/>
    <w:rsid w:val="00134CB9"/>
    <w:rsid w:val="001424F0"/>
    <w:rsid w:val="0015094E"/>
    <w:rsid w:val="00155806"/>
    <w:rsid w:val="00163097"/>
    <w:rsid w:val="00163F6C"/>
    <w:rsid w:val="00170F51"/>
    <w:rsid w:val="00172593"/>
    <w:rsid w:val="00184231"/>
    <w:rsid w:val="00190358"/>
    <w:rsid w:val="00191C19"/>
    <w:rsid w:val="001A4366"/>
    <w:rsid w:val="001A7647"/>
    <w:rsid w:val="001B21E4"/>
    <w:rsid w:val="001B5228"/>
    <w:rsid w:val="001D1D8D"/>
    <w:rsid w:val="001D6E15"/>
    <w:rsid w:val="001E5A6A"/>
    <w:rsid w:val="001E632D"/>
    <w:rsid w:val="001F47A0"/>
    <w:rsid w:val="001F6F06"/>
    <w:rsid w:val="0020441A"/>
    <w:rsid w:val="00204950"/>
    <w:rsid w:val="00205F8B"/>
    <w:rsid w:val="00207C56"/>
    <w:rsid w:val="00210FCC"/>
    <w:rsid w:val="00213E7E"/>
    <w:rsid w:val="002147B4"/>
    <w:rsid w:val="002161DA"/>
    <w:rsid w:val="00221365"/>
    <w:rsid w:val="00221888"/>
    <w:rsid w:val="00223190"/>
    <w:rsid w:val="00237BCD"/>
    <w:rsid w:val="00240066"/>
    <w:rsid w:val="0024236A"/>
    <w:rsid w:val="0024336A"/>
    <w:rsid w:val="0024364A"/>
    <w:rsid w:val="002621C7"/>
    <w:rsid w:val="00273154"/>
    <w:rsid w:val="0028603C"/>
    <w:rsid w:val="00294DD8"/>
    <w:rsid w:val="0029501D"/>
    <w:rsid w:val="002A202E"/>
    <w:rsid w:val="002B25CF"/>
    <w:rsid w:val="002B4A90"/>
    <w:rsid w:val="002B4B28"/>
    <w:rsid w:val="002C512D"/>
    <w:rsid w:val="002D17BE"/>
    <w:rsid w:val="002D6711"/>
    <w:rsid w:val="002D6DE8"/>
    <w:rsid w:val="002E198A"/>
    <w:rsid w:val="002F4CF6"/>
    <w:rsid w:val="00305FAC"/>
    <w:rsid w:val="003073E9"/>
    <w:rsid w:val="00307775"/>
    <w:rsid w:val="00307A6A"/>
    <w:rsid w:val="00311041"/>
    <w:rsid w:val="003169D0"/>
    <w:rsid w:val="00335EFA"/>
    <w:rsid w:val="00337855"/>
    <w:rsid w:val="00337DAB"/>
    <w:rsid w:val="003437F9"/>
    <w:rsid w:val="0034680B"/>
    <w:rsid w:val="003566D2"/>
    <w:rsid w:val="00360E9A"/>
    <w:rsid w:val="00365C8C"/>
    <w:rsid w:val="003718AB"/>
    <w:rsid w:val="00375924"/>
    <w:rsid w:val="00377856"/>
    <w:rsid w:val="0038597A"/>
    <w:rsid w:val="003915C5"/>
    <w:rsid w:val="00393280"/>
    <w:rsid w:val="0039439A"/>
    <w:rsid w:val="00394833"/>
    <w:rsid w:val="00396214"/>
    <w:rsid w:val="003A0380"/>
    <w:rsid w:val="003C0D8B"/>
    <w:rsid w:val="003C4434"/>
    <w:rsid w:val="003D2531"/>
    <w:rsid w:val="00403CF4"/>
    <w:rsid w:val="00404EB8"/>
    <w:rsid w:val="00407BA7"/>
    <w:rsid w:val="00411DBA"/>
    <w:rsid w:val="00413991"/>
    <w:rsid w:val="0041420B"/>
    <w:rsid w:val="00420022"/>
    <w:rsid w:val="0042186D"/>
    <w:rsid w:val="00426D93"/>
    <w:rsid w:val="00434A3A"/>
    <w:rsid w:val="0043563C"/>
    <w:rsid w:val="004541BD"/>
    <w:rsid w:val="00456356"/>
    <w:rsid w:val="00456ED7"/>
    <w:rsid w:val="004605BE"/>
    <w:rsid w:val="004A05C2"/>
    <w:rsid w:val="004A73AF"/>
    <w:rsid w:val="004B37CA"/>
    <w:rsid w:val="004B7629"/>
    <w:rsid w:val="004C3C5D"/>
    <w:rsid w:val="004C6A13"/>
    <w:rsid w:val="004D296D"/>
    <w:rsid w:val="004E5C89"/>
    <w:rsid w:val="004E6765"/>
    <w:rsid w:val="004E680F"/>
    <w:rsid w:val="004E78D2"/>
    <w:rsid w:val="00500370"/>
    <w:rsid w:val="005012EB"/>
    <w:rsid w:val="00510673"/>
    <w:rsid w:val="00511044"/>
    <w:rsid w:val="00514A1F"/>
    <w:rsid w:val="0052480B"/>
    <w:rsid w:val="00526E83"/>
    <w:rsid w:val="005321C5"/>
    <w:rsid w:val="00551170"/>
    <w:rsid w:val="005528E7"/>
    <w:rsid w:val="00554024"/>
    <w:rsid w:val="00555DAC"/>
    <w:rsid w:val="0057143F"/>
    <w:rsid w:val="00573227"/>
    <w:rsid w:val="00574864"/>
    <w:rsid w:val="0058175D"/>
    <w:rsid w:val="00584234"/>
    <w:rsid w:val="005858EB"/>
    <w:rsid w:val="00587813"/>
    <w:rsid w:val="00592C29"/>
    <w:rsid w:val="005976F3"/>
    <w:rsid w:val="005A233D"/>
    <w:rsid w:val="005A32CA"/>
    <w:rsid w:val="005A5E34"/>
    <w:rsid w:val="005A6A4E"/>
    <w:rsid w:val="005B7B08"/>
    <w:rsid w:val="005C22FF"/>
    <w:rsid w:val="005C4AEB"/>
    <w:rsid w:val="005C5221"/>
    <w:rsid w:val="005C596D"/>
    <w:rsid w:val="005C7C6E"/>
    <w:rsid w:val="005D09BC"/>
    <w:rsid w:val="005E1332"/>
    <w:rsid w:val="005E4D4E"/>
    <w:rsid w:val="005F0D95"/>
    <w:rsid w:val="005F3A37"/>
    <w:rsid w:val="0060191E"/>
    <w:rsid w:val="00603604"/>
    <w:rsid w:val="0062340C"/>
    <w:rsid w:val="00625901"/>
    <w:rsid w:val="00626C46"/>
    <w:rsid w:val="00635B7C"/>
    <w:rsid w:val="00635F56"/>
    <w:rsid w:val="006429AA"/>
    <w:rsid w:val="00644B2E"/>
    <w:rsid w:val="006456FC"/>
    <w:rsid w:val="006520A4"/>
    <w:rsid w:val="006612F5"/>
    <w:rsid w:val="006648DC"/>
    <w:rsid w:val="00664905"/>
    <w:rsid w:val="006678DB"/>
    <w:rsid w:val="00674D7E"/>
    <w:rsid w:val="00677517"/>
    <w:rsid w:val="006818A5"/>
    <w:rsid w:val="00681DB4"/>
    <w:rsid w:val="00684450"/>
    <w:rsid w:val="006855D1"/>
    <w:rsid w:val="00690288"/>
    <w:rsid w:val="006916E2"/>
    <w:rsid w:val="00692CBE"/>
    <w:rsid w:val="006930B9"/>
    <w:rsid w:val="0069314F"/>
    <w:rsid w:val="00696D24"/>
    <w:rsid w:val="006A3621"/>
    <w:rsid w:val="006A6F86"/>
    <w:rsid w:val="006B268C"/>
    <w:rsid w:val="006B6BE6"/>
    <w:rsid w:val="006D4219"/>
    <w:rsid w:val="006D6E01"/>
    <w:rsid w:val="006E0932"/>
    <w:rsid w:val="006E629E"/>
    <w:rsid w:val="006F21C6"/>
    <w:rsid w:val="006F40FD"/>
    <w:rsid w:val="006F4CEA"/>
    <w:rsid w:val="006F599B"/>
    <w:rsid w:val="00700A35"/>
    <w:rsid w:val="00705CA2"/>
    <w:rsid w:val="00705F1C"/>
    <w:rsid w:val="00713EF4"/>
    <w:rsid w:val="007145BD"/>
    <w:rsid w:val="00714AB6"/>
    <w:rsid w:val="00717AA7"/>
    <w:rsid w:val="00721F0A"/>
    <w:rsid w:val="007242C6"/>
    <w:rsid w:val="00726469"/>
    <w:rsid w:val="00726E57"/>
    <w:rsid w:val="007301DF"/>
    <w:rsid w:val="007307F7"/>
    <w:rsid w:val="00732359"/>
    <w:rsid w:val="00733781"/>
    <w:rsid w:val="00735EA3"/>
    <w:rsid w:val="00736926"/>
    <w:rsid w:val="00737282"/>
    <w:rsid w:val="00743BD0"/>
    <w:rsid w:val="007509A5"/>
    <w:rsid w:val="00760979"/>
    <w:rsid w:val="00763DBD"/>
    <w:rsid w:val="0076627E"/>
    <w:rsid w:val="0077621D"/>
    <w:rsid w:val="0078160C"/>
    <w:rsid w:val="00781EBE"/>
    <w:rsid w:val="00783F4D"/>
    <w:rsid w:val="00787D1B"/>
    <w:rsid w:val="00790230"/>
    <w:rsid w:val="00791A1F"/>
    <w:rsid w:val="007A5B2B"/>
    <w:rsid w:val="007A73AE"/>
    <w:rsid w:val="007C7717"/>
    <w:rsid w:val="007D30E1"/>
    <w:rsid w:val="007D6013"/>
    <w:rsid w:val="007D7DC3"/>
    <w:rsid w:val="007E2418"/>
    <w:rsid w:val="007F1FE4"/>
    <w:rsid w:val="007F296E"/>
    <w:rsid w:val="007F4EA4"/>
    <w:rsid w:val="007F618C"/>
    <w:rsid w:val="007F78B2"/>
    <w:rsid w:val="008041B1"/>
    <w:rsid w:val="00810EB7"/>
    <w:rsid w:val="00824635"/>
    <w:rsid w:val="008253CE"/>
    <w:rsid w:val="00825946"/>
    <w:rsid w:val="00826C4F"/>
    <w:rsid w:val="00834257"/>
    <w:rsid w:val="00845471"/>
    <w:rsid w:val="0087011C"/>
    <w:rsid w:val="0087510E"/>
    <w:rsid w:val="008757E1"/>
    <w:rsid w:val="00876581"/>
    <w:rsid w:val="0087700E"/>
    <w:rsid w:val="008807F4"/>
    <w:rsid w:val="00881217"/>
    <w:rsid w:val="00881252"/>
    <w:rsid w:val="008847F9"/>
    <w:rsid w:val="00887360"/>
    <w:rsid w:val="008954AC"/>
    <w:rsid w:val="00895EC7"/>
    <w:rsid w:val="00896FF1"/>
    <w:rsid w:val="008A0AFA"/>
    <w:rsid w:val="008A0EB5"/>
    <w:rsid w:val="008A2A8A"/>
    <w:rsid w:val="008A3771"/>
    <w:rsid w:val="008A7912"/>
    <w:rsid w:val="008B2F1F"/>
    <w:rsid w:val="008B405F"/>
    <w:rsid w:val="008C0B69"/>
    <w:rsid w:val="008C79AE"/>
    <w:rsid w:val="008E549C"/>
    <w:rsid w:val="008F0E46"/>
    <w:rsid w:val="008F2202"/>
    <w:rsid w:val="008F38BC"/>
    <w:rsid w:val="009005AD"/>
    <w:rsid w:val="0090338A"/>
    <w:rsid w:val="00905AB4"/>
    <w:rsid w:val="0090706C"/>
    <w:rsid w:val="00920E58"/>
    <w:rsid w:val="0092215C"/>
    <w:rsid w:val="00932722"/>
    <w:rsid w:val="00932988"/>
    <w:rsid w:val="0094127B"/>
    <w:rsid w:val="009417DE"/>
    <w:rsid w:val="00942C6E"/>
    <w:rsid w:val="00944E72"/>
    <w:rsid w:val="00946C4E"/>
    <w:rsid w:val="0094767E"/>
    <w:rsid w:val="00950C9C"/>
    <w:rsid w:val="00951AB2"/>
    <w:rsid w:val="0095497A"/>
    <w:rsid w:val="00963DC5"/>
    <w:rsid w:val="009760B8"/>
    <w:rsid w:val="00980F3F"/>
    <w:rsid w:val="00993BEB"/>
    <w:rsid w:val="00996F6D"/>
    <w:rsid w:val="009A40F3"/>
    <w:rsid w:val="009A7687"/>
    <w:rsid w:val="009A7A16"/>
    <w:rsid w:val="009B4A43"/>
    <w:rsid w:val="009B4BB5"/>
    <w:rsid w:val="009D638B"/>
    <w:rsid w:val="009E4C3E"/>
    <w:rsid w:val="009E4CF6"/>
    <w:rsid w:val="009E6B7D"/>
    <w:rsid w:val="009F09B9"/>
    <w:rsid w:val="00A00E95"/>
    <w:rsid w:val="00A0777A"/>
    <w:rsid w:val="00A127E7"/>
    <w:rsid w:val="00A13790"/>
    <w:rsid w:val="00A14D5B"/>
    <w:rsid w:val="00A1682C"/>
    <w:rsid w:val="00A21CF9"/>
    <w:rsid w:val="00A26706"/>
    <w:rsid w:val="00A3046C"/>
    <w:rsid w:val="00A52573"/>
    <w:rsid w:val="00A52E20"/>
    <w:rsid w:val="00A547D0"/>
    <w:rsid w:val="00A5543B"/>
    <w:rsid w:val="00A56FBA"/>
    <w:rsid w:val="00A639E4"/>
    <w:rsid w:val="00A66013"/>
    <w:rsid w:val="00A6607B"/>
    <w:rsid w:val="00A660C4"/>
    <w:rsid w:val="00A733CC"/>
    <w:rsid w:val="00A812F1"/>
    <w:rsid w:val="00A84AD8"/>
    <w:rsid w:val="00A90136"/>
    <w:rsid w:val="00AA3C5B"/>
    <w:rsid w:val="00AC18CB"/>
    <w:rsid w:val="00AF2BA1"/>
    <w:rsid w:val="00B00313"/>
    <w:rsid w:val="00B02404"/>
    <w:rsid w:val="00B10912"/>
    <w:rsid w:val="00B11695"/>
    <w:rsid w:val="00B12866"/>
    <w:rsid w:val="00B12F5C"/>
    <w:rsid w:val="00B31E7C"/>
    <w:rsid w:val="00B408C6"/>
    <w:rsid w:val="00B4346F"/>
    <w:rsid w:val="00B43FAB"/>
    <w:rsid w:val="00B46837"/>
    <w:rsid w:val="00B47B0C"/>
    <w:rsid w:val="00B72428"/>
    <w:rsid w:val="00B737F8"/>
    <w:rsid w:val="00B83202"/>
    <w:rsid w:val="00B95174"/>
    <w:rsid w:val="00B97100"/>
    <w:rsid w:val="00BA293A"/>
    <w:rsid w:val="00BA5494"/>
    <w:rsid w:val="00BA73FE"/>
    <w:rsid w:val="00BB5B9A"/>
    <w:rsid w:val="00BB61A4"/>
    <w:rsid w:val="00BB7992"/>
    <w:rsid w:val="00BD32CC"/>
    <w:rsid w:val="00BD6C21"/>
    <w:rsid w:val="00BD6E20"/>
    <w:rsid w:val="00BD7AFB"/>
    <w:rsid w:val="00BE4A31"/>
    <w:rsid w:val="00BE5779"/>
    <w:rsid w:val="00BF5544"/>
    <w:rsid w:val="00BF5E08"/>
    <w:rsid w:val="00C01476"/>
    <w:rsid w:val="00C05872"/>
    <w:rsid w:val="00C160CD"/>
    <w:rsid w:val="00C20FF5"/>
    <w:rsid w:val="00C230DE"/>
    <w:rsid w:val="00C23301"/>
    <w:rsid w:val="00C339F8"/>
    <w:rsid w:val="00C33B97"/>
    <w:rsid w:val="00C42CCF"/>
    <w:rsid w:val="00C4507A"/>
    <w:rsid w:val="00C4580C"/>
    <w:rsid w:val="00C47550"/>
    <w:rsid w:val="00C713B9"/>
    <w:rsid w:val="00C76F92"/>
    <w:rsid w:val="00C7746C"/>
    <w:rsid w:val="00C81AE6"/>
    <w:rsid w:val="00C853A3"/>
    <w:rsid w:val="00C85CD5"/>
    <w:rsid w:val="00C90BC0"/>
    <w:rsid w:val="00C90F0B"/>
    <w:rsid w:val="00C92C43"/>
    <w:rsid w:val="00C939D7"/>
    <w:rsid w:val="00C97BF1"/>
    <w:rsid w:val="00C97F9B"/>
    <w:rsid w:val="00CA0EB4"/>
    <w:rsid w:val="00CA690E"/>
    <w:rsid w:val="00CB494D"/>
    <w:rsid w:val="00CC577E"/>
    <w:rsid w:val="00CD3DB2"/>
    <w:rsid w:val="00CE123B"/>
    <w:rsid w:val="00CE1DD1"/>
    <w:rsid w:val="00CF5877"/>
    <w:rsid w:val="00CF725C"/>
    <w:rsid w:val="00D1280D"/>
    <w:rsid w:val="00D15C67"/>
    <w:rsid w:val="00D21E60"/>
    <w:rsid w:val="00D23640"/>
    <w:rsid w:val="00D270AF"/>
    <w:rsid w:val="00D31825"/>
    <w:rsid w:val="00D518FD"/>
    <w:rsid w:val="00D52D60"/>
    <w:rsid w:val="00D6293B"/>
    <w:rsid w:val="00D75427"/>
    <w:rsid w:val="00D76171"/>
    <w:rsid w:val="00D765D5"/>
    <w:rsid w:val="00D767B6"/>
    <w:rsid w:val="00D808CF"/>
    <w:rsid w:val="00D81C0A"/>
    <w:rsid w:val="00D90B3B"/>
    <w:rsid w:val="00D93AE9"/>
    <w:rsid w:val="00DA096B"/>
    <w:rsid w:val="00DA4D9C"/>
    <w:rsid w:val="00DA5208"/>
    <w:rsid w:val="00DA54E3"/>
    <w:rsid w:val="00DA586D"/>
    <w:rsid w:val="00DA6A53"/>
    <w:rsid w:val="00DB075D"/>
    <w:rsid w:val="00DB6DA2"/>
    <w:rsid w:val="00DC5F39"/>
    <w:rsid w:val="00DC678B"/>
    <w:rsid w:val="00DD4158"/>
    <w:rsid w:val="00DD4FD2"/>
    <w:rsid w:val="00DE0C32"/>
    <w:rsid w:val="00DE1C19"/>
    <w:rsid w:val="00DF08D1"/>
    <w:rsid w:val="00DF38EC"/>
    <w:rsid w:val="00E035C5"/>
    <w:rsid w:val="00E04F46"/>
    <w:rsid w:val="00E05E66"/>
    <w:rsid w:val="00E113CD"/>
    <w:rsid w:val="00E118A6"/>
    <w:rsid w:val="00E11B93"/>
    <w:rsid w:val="00E15971"/>
    <w:rsid w:val="00E43A93"/>
    <w:rsid w:val="00E545CB"/>
    <w:rsid w:val="00E568BE"/>
    <w:rsid w:val="00E6169B"/>
    <w:rsid w:val="00E64C24"/>
    <w:rsid w:val="00E67642"/>
    <w:rsid w:val="00E71742"/>
    <w:rsid w:val="00E7279D"/>
    <w:rsid w:val="00E7406E"/>
    <w:rsid w:val="00E747A7"/>
    <w:rsid w:val="00E76DAF"/>
    <w:rsid w:val="00E80E2D"/>
    <w:rsid w:val="00E83B84"/>
    <w:rsid w:val="00E854D4"/>
    <w:rsid w:val="00E959BC"/>
    <w:rsid w:val="00EA459E"/>
    <w:rsid w:val="00EA52B1"/>
    <w:rsid w:val="00EB5D88"/>
    <w:rsid w:val="00EB5EC8"/>
    <w:rsid w:val="00EC0E01"/>
    <w:rsid w:val="00EC1A72"/>
    <w:rsid w:val="00EC1D61"/>
    <w:rsid w:val="00EC63AB"/>
    <w:rsid w:val="00ED2E92"/>
    <w:rsid w:val="00ED5AE3"/>
    <w:rsid w:val="00EE1D66"/>
    <w:rsid w:val="00EF2943"/>
    <w:rsid w:val="00F0333B"/>
    <w:rsid w:val="00F100D1"/>
    <w:rsid w:val="00F172F1"/>
    <w:rsid w:val="00F254C0"/>
    <w:rsid w:val="00F56058"/>
    <w:rsid w:val="00F61109"/>
    <w:rsid w:val="00F61916"/>
    <w:rsid w:val="00F7160F"/>
    <w:rsid w:val="00F825E7"/>
    <w:rsid w:val="00F85FE7"/>
    <w:rsid w:val="00F86AD4"/>
    <w:rsid w:val="00F90240"/>
    <w:rsid w:val="00F951B2"/>
    <w:rsid w:val="00F9527B"/>
    <w:rsid w:val="00F95A61"/>
    <w:rsid w:val="00F96B33"/>
    <w:rsid w:val="00F97DF8"/>
    <w:rsid w:val="00FA05EB"/>
    <w:rsid w:val="00FA5651"/>
    <w:rsid w:val="00FA7011"/>
    <w:rsid w:val="00FB0866"/>
    <w:rsid w:val="00FD1AE7"/>
    <w:rsid w:val="00FD2AE8"/>
    <w:rsid w:val="00FD3469"/>
    <w:rsid w:val="00FD3B15"/>
    <w:rsid w:val="00FD4515"/>
    <w:rsid w:val="00FE313E"/>
    <w:rsid w:val="00FF5A6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C. Scott</cp:lastModifiedBy>
  <cp:revision>2</cp:revision>
  <cp:lastPrinted>2021-04-10T19:01:00Z</cp:lastPrinted>
  <dcterms:created xsi:type="dcterms:W3CDTF">2021-04-13T18:27:00Z</dcterms:created>
  <dcterms:modified xsi:type="dcterms:W3CDTF">2021-04-13T18:27:00Z</dcterms:modified>
</cp:coreProperties>
</file>