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1C9A2" w14:textId="77777777" w:rsidR="003F76D8" w:rsidRDefault="003F76D8" w:rsidP="003F76D8">
      <w:pPr>
        <w:rPr>
          <w:b/>
          <w:bCs/>
        </w:rPr>
      </w:pPr>
      <w:r w:rsidRPr="003F76D8">
        <w:rPr>
          <w:b/>
          <w:bCs/>
        </w:rPr>
        <w:t>Legislature Approves $604M Helene Relief Bill</w:t>
      </w:r>
    </w:p>
    <w:p w14:paraId="52C4FEA2" w14:textId="5DBFBCC9" w:rsidR="003F76D8" w:rsidRPr="003F76D8" w:rsidRDefault="003F76D8" w:rsidP="003F76D8">
      <w:r>
        <w:rPr>
          <w:b/>
          <w:bCs/>
        </w:rPr>
        <w:t>10/29/24</w:t>
      </w:r>
    </w:p>
    <w:p w14:paraId="16C12E3C" w14:textId="77777777" w:rsidR="003F76D8" w:rsidRPr="003F76D8" w:rsidRDefault="003F76D8" w:rsidP="003F76D8">
      <w:r w:rsidRPr="003F76D8">
        <w:rPr>
          <w:b/>
          <w:bCs/>
        </w:rPr>
        <w:t> </w:t>
      </w:r>
    </w:p>
    <w:p w14:paraId="0C177A3C" w14:textId="77777777" w:rsidR="003F76D8" w:rsidRPr="003F76D8" w:rsidRDefault="003F76D8" w:rsidP="003F76D8">
      <w:r w:rsidRPr="003F76D8">
        <w:t>The North Carolina legislature unanimously approved a new $604 million relief bill last Thursday — the latest step aimed at helping western North Carolina counties ravaged by Hurricane Helene last month. The measure passed with a 46-0 vote in the state Senate and 108-0 in the House of Representatives — adding to the $273 million that was approved and signed into law earlier this month.</w:t>
      </w:r>
    </w:p>
    <w:p w14:paraId="7BB8F961" w14:textId="77777777" w:rsidR="003F76D8" w:rsidRPr="003F76D8" w:rsidRDefault="003F76D8" w:rsidP="003F76D8">
      <w:r w:rsidRPr="003F76D8">
        <w:t> </w:t>
      </w:r>
    </w:p>
    <w:p w14:paraId="0243F72D" w14:textId="77777777" w:rsidR="003F76D8" w:rsidRPr="003F76D8" w:rsidRDefault="003F76D8" w:rsidP="003F76D8">
      <w:r w:rsidRPr="003F76D8">
        <w:t>The total of both measures is the equivalent of more than $30 million per day in state funds since President Joe Biden declared a disaster in western North Carolina. And this bill likely will not be the last infusion of state money, state Senator Michael Lee said during debate on the Senate floor. In fact, the legislature is expected to reconvene the legislative session on Tuesday November 19, where they can consider and enact another hurricane relief bill. </w:t>
      </w:r>
    </w:p>
    <w:p w14:paraId="046E3345" w14:textId="77777777" w:rsidR="003F76D8" w:rsidRPr="003F76D8" w:rsidRDefault="003F76D8" w:rsidP="003F76D8">
      <w:r w:rsidRPr="003F76D8">
        <w:t> </w:t>
      </w:r>
    </w:p>
    <w:p w14:paraId="12B1A135" w14:textId="77777777" w:rsidR="003F76D8" w:rsidRPr="003F76D8" w:rsidRDefault="003F76D8" w:rsidP="003F76D8">
      <w:r w:rsidRPr="003F76D8">
        <w:t>Governor Cooper signed the bill into law on Friday, although the amount of funding is less than the $3.9 billion in state aid proposed by Governor Cooper last Wednesday. </w:t>
      </w:r>
    </w:p>
    <w:p w14:paraId="43822F23" w14:textId="77777777" w:rsidR="003F76D8" w:rsidRPr="003F76D8" w:rsidRDefault="003F76D8" w:rsidP="003F76D8">
      <w:r w:rsidRPr="003F76D8">
        <w:t> </w:t>
      </w:r>
    </w:p>
    <w:p w14:paraId="74572F77" w14:textId="77777777" w:rsidR="003F76D8" w:rsidRPr="003F76D8" w:rsidRDefault="003F76D8" w:rsidP="003F76D8">
      <w:r w:rsidRPr="003F76D8">
        <w:t>The $604 million in the bill would come from the state's reserves. The bill would allocate the following funds:</w:t>
      </w:r>
    </w:p>
    <w:p w14:paraId="4FC4E97B" w14:textId="77777777" w:rsidR="003F76D8" w:rsidRPr="003F76D8" w:rsidRDefault="003F76D8" w:rsidP="003F76D8">
      <w:pPr>
        <w:numPr>
          <w:ilvl w:val="0"/>
          <w:numId w:val="1"/>
        </w:numPr>
      </w:pPr>
      <w:r w:rsidRPr="003F76D8">
        <w:t>$100 million for water and wastewater infrastructure repair loans</w:t>
      </w:r>
    </w:p>
    <w:p w14:paraId="503DFA42" w14:textId="77777777" w:rsidR="003F76D8" w:rsidRPr="003F76D8" w:rsidRDefault="003F76D8" w:rsidP="003F76D8">
      <w:pPr>
        <w:numPr>
          <w:ilvl w:val="0"/>
          <w:numId w:val="1"/>
        </w:numPr>
      </w:pPr>
      <w:r w:rsidRPr="003F76D8">
        <w:t>$100 million for cash flow loans to local governments</w:t>
      </w:r>
    </w:p>
    <w:p w14:paraId="74B6A95D" w14:textId="77777777" w:rsidR="003F76D8" w:rsidRPr="003F76D8" w:rsidRDefault="003F76D8" w:rsidP="003F76D8">
      <w:pPr>
        <w:numPr>
          <w:ilvl w:val="0"/>
          <w:numId w:val="1"/>
        </w:numPr>
      </w:pPr>
      <w:r w:rsidRPr="003F76D8">
        <w:t>$75 million to match federal disaster relief funds</w:t>
      </w:r>
    </w:p>
    <w:p w14:paraId="1E8C4A80" w14:textId="77777777" w:rsidR="003F76D8" w:rsidRPr="003F76D8" w:rsidRDefault="003F76D8" w:rsidP="003F76D8">
      <w:pPr>
        <w:numPr>
          <w:ilvl w:val="0"/>
          <w:numId w:val="1"/>
        </w:numPr>
      </w:pPr>
      <w:r w:rsidRPr="003F76D8">
        <w:t>$50 million to help local and state governments address “unmet needs” not covered by insurance.</w:t>
      </w:r>
    </w:p>
    <w:p w14:paraId="0712D1C4" w14:textId="77777777" w:rsidR="003F76D8" w:rsidRPr="003F76D8" w:rsidRDefault="003F76D8" w:rsidP="003F76D8">
      <w:pPr>
        <w:numPr>
          <w:ilvl w:val="0"/>
          <w:numId w:val="1"/>
        </w:numPr>
      </w:pPr>
      <w:r w:rsidRPr="003F76D8">
        <w:t>$50 million for repairs to damaged public schools</w:t>
      </w:r>
    </w:p>
    <w:p w14:paraId="780607B1" w14:textId="77777777" w:rsidR="003F76D8" w:rsidRPr="003F76D8" w:rsidRDefault="003F76D8" w:rsidP="003F76D8">
      <w:pPr>
        <w:numPr>
          <w:ilvl w:val="0"/>
          <w:numId w:val="1"/>
        </w:numPr>
      </w:pPr>
      <w:r w:rsidRPr="003F76D8">
        <w:t>$50 million for bridge loans for small businesses.</w:t>
      </w:r>
    </w:p>
    <w:p w14:paraId="1A621A0C" w14:textId="77777777" w:rsidR="003F76D8" w:rsidRPr="003F76D8" w:rsidRDefault="003F76D8" w:rsidP="003F76D8">
      <w:r w:rsidRPr="003F76D8">
        <w:t xml:space="preserve">Hurricane Helene was the most economically damaging natural disaster to ever hit North Carolina, in addition to the deadliest. It is estimated to have caused about $53 billion in </w:t>
      </w:r>
      <w:r w:rsidRPr="003F76D8">
        <w:lastRenderedPageBreak/>
        <w:t>damage in the state, according to the North Carolina Office of State Budget and Management, which is triple the damage incurred by Hurricane Florence in 2018.</w:t>
      </w:r>
    </w:p>
    <w:p w14:paraId="408E04DE" w14:textId="77777777" w:rsidR="003F76D8" w:rsidRPr="003F76D8" w:rsidRDefault="003F76D8" w:rsidP="003F76D8">
      <w:r w:rsidRPr="003F76D8">
        <w:t> </w:t>
      </w:r>
    </w:p>
    <w:p w14:paraId="235D8F91" w14:textId="77777777" w:rsidR="003F76D8" w:rsidRPr="003F76D8" w:rsidRDefault="003F76D8" w:rsidP="003F76D8">
      <w:r w:rsidRPr="003F76D8">
        <w:t>In a bipartisan effort earlier this month, the legislature swiftly and </w:t>
      </w:r>
      <w:hyperlink r:id="rId5" w:tgtFrame="_blank" w:tooltip="https://www.wral.com/story/nc-lawmakers-approve-millions-in-hurricane-helene-disaster-aid-for-western-counties/21663577/" w:history="1">
        <w:r w:rsidRPr="003F76D8">
          <w:rPr>
            <w:rStyle w:val="Hyperlink"/>
          </w:rPr>
          <w:t>unanimously passed</w:t>
        </w:r>
      </w:hyperlink>
      <w:r w:rsidRPr="003F76D8">
        <w:t> the initial $273 million disaster relief bill, which Governor Cooper signed into law. Leaders in both political parties said multiple times that was only a first step, and that the legislature would approve more aid once the state had a better grasp on the scope of the damage and where the biggest needs have arisen.  Republicans reiterated their commitment to that strategy last Thursday.</w:t>
      </w:r>
    </w:p>
    <w:p w14:paraId="57597C20" w14:textId="77777777" w:rsidR="003F76D8" w:rsidRPr="003F76D8" w:rsidRDefault="003F76D8" w:rsidP="003F76D8">
      <w:r w:rsidRPr="003F76D8">
        <w:t> </w:t>
      </w:r>
    </w:p>
    <w:p w14:paraId="1EFBB849" w14:textId="77777777" w:rsidR="003F76D8" w:rsidRPr="003F76D8" w:rsidRDefault="003F76D8" w:rsidP="003F76D8">
      <w:r w:rsidRPr="003F76D8">
        <w:t xml:space="preserve">The federal government is also expected to spend billions of dollars on Helene aid — largely to rebuild homes and roads, plus cover other costs such as aid for farmers and emergency loans for small businesses, to keep local economies from collapsing in the aftermath of the storm. Insurance companies will also likely pay out some claims, but it has been reported that more than 90% of homes in the area lacked flood insurance. There are costs that neither insurance companies nor the federal government will cover; something President Pro </w:t>
      </w:r>
      <w:proofErr w:type="spellStart"/>
      <w:r w:rsidRPr="003F76D8">
        <w:t>Tem</w:t>
      </w:r>
      <w:proofErr w:type="spellEnd"/>
      <w:r w:rsidRPr="003F76D8">
        <w:t xml:space="preserve"> Berger and Speaker Moore acknowledged Thursday; and Governor Cooper mentioned while introducing his plan last Wednesday.</w:t>
      </w:r>
    </w:p>
    <w:p w14:paraId="39D98822" w14:textId="77777777" w:rsidR="003F76D8" w:rsidRPr="003F76D8" w:rsidRDefault="003F76D8" w:rsidP="003F76D8">
      <w:r w:rsidRPr="003F76D8">
        <w:t> </w:t>
      </w:r>
    </w:p>
    <w:p w14:paraId="6948625B" w14:textId="77777777" w:rsidR="003F76D8" w:rsidRPr="003F76D8" w:rsidRDefault="003F76D8" w:rsidP="003F76D8">
      <w:r w:rsidRPr="003F76D8">
        <w:rPr>
          <w:b/>
          <w:bCs/>
        </w:rPr>
        <w:t>Legislature orders new early voting sites in two western NC counties</w:t>
      </w:r>
    </w:p>
    <w:p w14:paraId="18F22D61" w14:textId="77777777" w:rsidR="003F76D8" w:rsidRPr="003F76D8" w:rsidRDefault="003F76D8" w:rsidP="003F76D8">
      <w:r w:rsidRPr="003F76D8">
        <w:t> </w:t>
      </w:r>
    </w:p>
    <w:p w14:paraId="1DC3A06E" w14:textId="77777777" w:rsidR="003F76D8" w:rsidRPr="003F76D8" w:rsidRDefault="003F76D8" w:rsidP="003F76D8">
      <w:r w:rsidRPr="003F76D8">
        <w:t>Early voting has already started, and questions have been raised about whether local officials in the counties impacted by Hurricane Helene would be able to meet the challenge before early voting ends on Nov. 2. Legislators approved a measure requiring more early voting sites in the western counties of Henderson and McDowell. House Speaker Tim Moore (R-Cleveland) told reporters last Thursday that while the situation out west is still improving many roads are still closed, so having more early voting sites could help.</w:t>
      </w:r>
    </w:p>
    <w:p w14:paraId="74EE6CA8" w14:textId="77777777" w:rsidR="003F76D8" w:rsidRPr="003F76D8" w:rsidRDefault="003F76D8" w:rsidP="003F76D8">
      <w:r w:rsidRPr="003F76D8">
        <w:t> </w:t>
      </w:r>
    </w:p>
    <w:p w14:paraId="79CB5AEB" w14:textId="77777777" w:rsidR="003F76D8" w:rsidRPr="003F76D8" w:rsidRDefault="003F76D8" w:rsidP="003F76D8">
      <w:r w:rsidRPr="003F76D8">
        <w:t>The Legislature adjourned last Thursday and will reconvene on Tuesday November 19.</w:t>
      </w:r>
    </w:p>
    <w:p w14:paraId="69785382" w14:textId="77777777" w:rsidR="003F76D8" w:rsidRDefault="003F76D8" w:rsidP="003F76D8"/>
    <w:tbl>
      <w:tblPr>
        <w:tblW w:w="5000" w:type="pct"/>
        <w:tblCellMar>
          <w:left w:w="0" w:type="dxa"/>
          <w:right w:w="0" w:type="dxa"/>
        </w:tblCellMar>
        <w:tblLook w:val="04A0" w:firstRow="1" w:lastRow="0" w:firstColumn="1" w:lastColumn="0" w:noHBand="0" w:noVBand="1"/>
      </w:tblPr>
      <w:tblGrid>
        <w:gridCol w:w="9360"/>
      </w:tblGrid>
      <w:tr w:rsidR="003F76D8" w:rsidRPr="003F76D8" w14:paraId="427BFC9E" w14:textId="77777777" w:rsidTr="003F76D8">
        <w:tc>
          <w:tcPr>
            <w:tcW w:w="0" w:type="auto"/>
            <w:hideMark/>
          </w:tcPr>
          <w:tbl>
            <w:tblPr>
              <w:tblW w:w="0" w:type="auto"/>
              <w:tblCellMar>
                <w:left w:w="0" w:type="dxa"/>
                <w:right w:w="0" w:type="dxa"/>
              </w:tblCellMar>
              <w:tblLook w:val="04A0" w:firstRow="1" w:lastRow="0" w:firstColumn="1" w:lastColumn="0" w:noHBand="0" w:noVBand="1"/>
            </w:tblPr>
            <w:tblGrid>
              <w:gridCol w:w="3750"/>
            </w:tblGrid>
            <w:tr w:rsidR="003F76D8" w:rsidRPr="003F76D8" w14:paraId="00EF3663" w14:textId="77777777">
              <w:tc>
                <w:tcPr>
                  <w:tcW w:w="0" w:type="auto"/>
                  <w:hideMark/>
                </w:tcPr>
                <w:tbl>
                  <w:tblPr>
                    <w:tblW w:w="0" w:type="auto"/>
                    <w:tblCellMar>
                      <w:left w:w="0" w:type="dxa"/>
                      <w:right w:w="0" w:type="dxa"/>
                    </w:tblCellMar>
                    <w:tblLook w:val="04A0" w:firstRow="1" w:lastRow="0" w:firstColumn="1" w:lastColumn="0" w:noHBand="0" w:noVBand="1"/>
                  </w:tblPr>
                  <w:tblGrid>
                    <w:gridCol w:w="3750"/>
                  </w:tblGrid>
                  <w:tr w:rsidR="003F76D8" w:rsidRPr="003F76D8" w14:paraId="7AD9B937" w14:textId="77777777">
                    <w:tc>
                      <w:tcPr>
                        <w:tcW w:w="0" w:type="auto"/>
                        <w:hideMark/>
                      </w:tcPr>
                      <w:p w14:paraId="6143A339" w14:textId="77777777" w:rsidR="003F76D8" w:rsidRPr="003F76D8" w:rsidRDefault="003F76D8" w:rsidP="003F76D8">
                        <w:r w:rsidRPr="003F76D8">
                          <w:rPr>
                            <w:b/>
                            <w:bCs/>
                          </w:rPr>
                          <w:t>David P. Ferrell</w:t>
                        </w:r>
                        <w:r w:rsidRPr="003F76D8">
                          <w:rPr>
                            <w:rFonts w:ascii="Arial" w:hAnsi="Arial" w:cs="Arial"/>
                            <w:b/>
                            <w:bCs/>
                          </w:rPr>
                          <w:t>​​​​</w:t>
                        </w:r>
                      </w:p>
                    </w:tc>
                  </w:tr>
                  <w:tr w:rsidR="003F76D8" w:rsidRPr="003F76D8" w14:paraId="3D4A3615" w14:textId="77777777">
                    <w:tc>
                      <w:tcPr>
                        <w:tcW w:w="0" w:type="auto"/>
                        <w:hideMark/>
                      </w:tcPr>
                      <w:tbl>
                        <w:tblPr>
                          <w:tblW w:w="0" w:type="auto"/>
                          <w:tblCellMar>
                            <w:left w:w="0" w:type="dxa"/>
                            <w:right w:w="0" w:type="dxa"/>
                          </w:tblCellMar>
                          <w:tblLook w:val="04A0" w:firstRow="1" w:lastRow="0" w:firstColumn="1" w:lastColumn="0" w:noHBand="0" w:noVBand="1"/>
                        </w:tblPr>
                        <w:tblGrid>
                          <w:gridCol w:w="1268"/>
                          <w:gridCol w:w="163"/>
                          <w:gridCol w:w="2319"/>
                        </w:tblGrid>
                        <w:tr w:rsidR="003F76D8" w:rsidRPr="003F76D8" w14:paraId="11DEC61F" w14:textId="77777777">
                          <w:tc>
                            <w:tcPr>
                              <w:tcW w:w="0" w:type="auto"/>
                              <w:hideMark/>
                            </w:tcPr>
                            <w:p w14:paraId="0DA36852" w14:textId="77777777" w:rsidR="003F76D8" w:rsidRPr="003F76D8" w:rsidRDefault="003F76D8" w:rsidP="003F76D8">
                              <w:r w:rsidRPr="003F76D8">
                                <w:lastRenderedPageBreak/>
                                <w:t>Shareholder</w:t>
                              </w:r>
                            </w:p>
                          </w:tc>
                          <w:tc>
                            <w:tcPr>
                              <w:tcW w:w="0" w:type="auto"/>
                              <w:hideMark/>
                            </w:tcPr>
                            <w:p w14:paraId="50E5D67F" w14:textId="77777777" w:rsidR="003F76D8" w:rsidRPr="003F76D8" w:rsidRDefault="003F76D8" w:rsidP="003F76D8">
                              <w:r w:rsidRPr="003F76D8">
                                <w:t> | </w:t>
                              </w:r>
                            </w:p>
                          </w:tc>
                          <w:tc>
                            <w:tcPr>
                              <w:tcW w:w="0" w:type="auto"/>
                              <w:hideMark/>
                            </w:tcPr>
                            <w:p w14:paraId="1C62B5A2" w14:textId="77777777" w:rsidR="003F76D8" w:rsidRPr="003F76D8" w:rsidRDefault="003F76D8" w:rsidP="003F76D8">
                              <w:r w:rsidRPr="003F76D8">
                                <w:t>Government Solutions</w:t>
                              </w:r>
                            </w:p>
                          </w:tc>
                        </w:tr>
                      </w:tbl>
                      <w:p w14:paraId="2A634491" w14:textId="77777777" w:rsidR="003F76D8" w:rsidRPr="003F76D8" w:rsidRDefault="003F76D8" w:rsidP="003F76D8"/>
                    </w:tc>
                  </w:tr>
                  <w:tr w:rsidR="003F76D8" w:rsidRPr="003F76D8" w14:paraId="63D5BC39" w14:textId="77777777">
                    <w:tc>
                      <w:tcPr>
                        <w:tcW w:w="0" w:type="auto"/>
                        <w:hideMark/>
                      </w:tcPr>
                      <w:tbl>
                        <w:tblPr>
                          <w:tblW w:w="0" w:type="auto"/>
                          <w:tblCellMar>
                            <w:left w:w="0" w:type="dxa"/>
                            <w:right w:w="0" w:type="dxa"/>
                          </w:tblCellMar>
                          <w:tblLook w:val="04A0" w:firstRow="1" w:lastRow="0" w:firstColumn="1" w:lastColumn="0" w:noHBand="0" w:noVBand="1"/>
                        </w:tblPr>
                        <w:tblGrid>
                          <w:gridCol w:w="1800"/>
                          <w:gridCol w:w="6"/>
                        </w:tblGrid>
                        <w:tr w:rsidR="003F76D8" w:rsidRPr="003F76D8" w14:paraId="5ABEB44C" w14:textId="77777777">
                          <w:tc>
                            <w:tcPr>
                              <w:tcW w:w="0" w:type="auto"/>
                              <w:hideMark/>
                            </w:tcPr>
                            <w:p w14:paraId="6309A170" w14:textId="77777777" w:rsidR="003F76D8" w:rsidRPr="003F76D8" w:rsidRDefault="003F76D8" w:rsidP="003F76D8">
                              <w:r w:rsidRPr="003F76D8">
                                <w:t>P: (919) 573</w:t>
                              </w:r>
                              <w:r w:rsidRPr="003F76D8">
                                <w:noBreakHyphen/>
                                <w:t>7421</w:t>
                              </w:r>
                            </w:p>
                          </w:tc>
                          <w:tc>
                            <w:tcPr>
                              <w:tcW w:w="0" w:type="auto"/>
                              <w:hideMark/>
                            </w:tcPr>
                            <w:p w14:paraId="03832F6A" w14:textId="77777777" w:rsidR="003F76D8" w:rsidRPr="003F76D8" w:rsidRDefault="003F76D8" w:rsidP="003F76D8"/>
                          </w:tc>
                        </w:tr>
                      </w:tbl>
                      <w:p w14:paraId="6117A9B0" w14:textId="77777777" w:rsidR="003F76D8" w:rsidRPr="003F76D8" w:rsidRDefault="003F76D8" w:rsidP="003F76D8"/>
                    </w:tc>
                  </w:tr>
                  <w:tr w:rsidR="003F76D8" w:rsidRPr="003F76D8" w14:paraId="25E7A02E" w14:textId="77777777">
                    <w:tc>
                      <w:tcPr>
                        <w:tcW w:w="0" w:type="auto"/>
                        <w:hideMark/>
                      </w:tcPr>
                      <w:tbl>
                        <w:tblPr>
                          <w:tblW w:w="0" w:type="auto"/>
                          <w:tblCellMar>
                            <w:left w:w="0" w:type="dxa"/>
                            <w:right w:w="0" w:type="dxa"/>
                          </w:tblCellMar>
                          <w:tblLook w:val="04A0" w:firstRow="1" w:lastRow="0" w:firstColumn="1" w:lastColumn="0" w:noHBand="0" w:noVBand="1"/>
                        </w:tblPr>
                        <w:tblGrid>
                          <w:gridCol w:w="3203"/>
                        </w:tblGrid>
                        <w:tr w:rsidR="003F76D8" w:rsidRPr="003F76D8" w14:paraId="1258B127" w14:textId="77777777">
                          <w:tc>
                            <w:tcPr>
                              <w:tcW w:w="0" w:type="auto"/>
                              <w:hideMark/>
                            </w:tcPr>
                            <w:p w14:paraId="19A2B724" w14:textId="77777777" w:rsidR="003F76D8" w:rsidRPr="003F76D8" w:rsidRDefault="003F76D8" w:rsidP="003F76D8">
                              <w:hyperlink r:id="rId6" w:tgtFrame="_blank" w:tooltip="mailto:DFerrell@maynardnexsen.com" w:history="1">
                                <w:r w:rsidRPr="003F76D8">
                                  <w:rPr>
                                    <w:rStyle w:val="Hyperlink"/>
                                  </w:rPr>
                                  <w:t>DFerrell@maynardnexsen.com</w:t>
                                </w:r>
                              </w:hyperlink>
                            </w:p>
                          </w:tc>
                        </w:tr>
                      </w:tbl>
                      <w:p w14:paraId="6F90ED2C" w14:textId="77777777" w:rsidR="003F76D8" w:rsidRPr="003F76D8" w:rsidRDefault="003F76D8" w:rsidP="003F76D8"/>
                    </w:tc>
                  </w:tr>
                </w:tbl>
                <w:p w14:paraId="41F8CD77" w14:textId="77777777" w:rsidR="003F76D8" w:rsidRPr="003F76D8" w:rsidRDefault="003F76D8" w:rsidP="003F76D8"/>
              </w:tc>
            </w:tr>
            <w:tr w:rsidR="003F76D8" w:rsidRPr="003F76D8" w14:paraId="28274E20" w14:textId="77777777">
              <w:tc>
                <w:tcPr>
                  <w:tcW w:w="0" w:type="auto"/>
                  <w:hideMark/>
                </w:tcPr>
                <w:p w14:paraId="74061382" w14:textId="77777777" w:rsidR="003F76D8" w:rsidRPr="003F76D8" w:rsidRDefault="003F76D8" w:rsidP="003F76D8"/>
              </w:tc>
            </w:tr>
            <w:tr w:rsidR="003F76D8" w:rsidRPr="003F76D8" w14:paraId="24D5D458" w14:textId="77777777">
              <w:tc>
                <w:tcPr>
                  <w:tcW w:w="0" w:type="auto"/>
                  <w:tcMar>
                    <w:top w:w="165" w:type="dxa"/>
                    <w:left w:w="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3103"/>
                  </w:tblGrid>
                  <w:tr w:rsidR="003F76D8" w:rsidRPr="003F76D8" w14:paraId="4BAE9EF4" w14:textId="77777777">
                    <w:tc>
                      <w:tcPr>
                        <w:tcW w:w="0" w:type="auto"/>
                        <w:hideMark/>
                      </w:tcPr>
                      <w:p w14:paraId="06ECF639" w14:textId="77777777" w:rsidR="003F76D8" w:rsidRPr="003F76D8" w:rsidRDefault="003F76D8" w:rsidP="003F76D8">
                        <w:r w:rsidRPr="003F76D8">
                          <w:t>4141 </w:t>
                        </w:r>
                        <w:proofErr w:type="spellStart"/>
                        <w:r w:rsidRPr="003F76D8">
                          <w:t>Parklake</w:t>
                        </w:r>
                        <w:proofErr w:type="spellEnd"/>
                        <w:r w:rsidRPr="003F76D8">
                          <w:t> Avenue </w:t>
                        </w:r>
                        <w:r w:rsidRPr="003F76D8">
                          <w:br/>
                          <w:t>Suite 200</w:t>
                        </w:r>
                      </w:p>
                    </w:tc>
                  </w:tr>
                  <w:tr w:rsidR="003F76D8" w:rsidRPr="003F76D8" w14:paraId="5D66DC80" w14:textId="77777777">
                    <w:tc>
                      <w:tcPr>
                        <w:tcW w:w="0" w:type="auto"/>
                        <w:hideMark/>
                      </w:tcPr>
                      <w:tbl>
                        <w:tblPr>
                          <w:tblW w:w="0" w:type="auto"/>
                          <w:tblCellMar>
                            <w:left w:w="0" w:type="dxa"/>
                            <w:right w:w="0" w:type="dxa"/>
                          </w:tblCellMar>
                          <w:tblLook w:val="04A0" w:firstRow="1" w:lastRow="0" w:firstColumn="1" w:lastColumn="0" w:noHBand="0" w:noVBand="1"/>
                        </w:tblPr>
                        <w:tblGrid>
                          <w:gridCol w:w="770"/>
                          <w:gridCol w:w="118"/>
                          <w:gridCol w:w="1524"/>
                          <w:gridCol w:w="49"/>
                          <w:gridCol w:w="642"/>
                        </w:tblGrid>
                        <w:tr w:rsidR="003F76D8" w:rsidRPr="003F76D8" w14:paraId="51313E8D" w14:textId="77777777">
                          <w:tc>
                            <w:tcPr>
                              <w:tcW w:w="0" w:type="auto"/>
                              <w:hideMark/>
                            </w:tcPr>
                            <w:p w14:paraId="0514E3F7" w14:textId="77777777" w:rsidR="003F76D8" w:rsidRPr="003F76D8" w:rsidRDefault="003F76D8" w:rsidP="003F76D8">
                              <w:r w:rsidRPr="003F76D8">
                                <w:t>Raleigh</w:t>
                              </w:r>
                            </w:p>
                          </w:tc>
                          <w:tc>
                            <w:tcPr>
                              <w:tcW w:w="0" w:type="auto"/>
                              <w:hideMark/>
                            </w:tcPr>
                            <w:p w14:paraId="0D7A2EBC" w14:textId="77777777" w:rsidR="003F76D8" w:rsidRPr="003F76D8" w:rsidRDefault="003F76D8" w:rsidP="003F76D8">
                              <w:r w:rsidRPr="003F76D8">
                                <w:t>, </w:t>
                              </w:r>
                            </w:p>
                          </w:tc>
                          <w:tc>
                            <w:tcPr>
                              <w:tcW w:w="0" w:type="auto"/>
                              <w:hideMark/>
                            </w:tcPr>
                            <w:p w14:paraId="235F9806" w14:textId="77777777" w:rsidR="003F76D8" w:rsidRPr="003F76D8" w:rsidRDefault="003F76D8" w:rsidP="003F76D8">
                              <w:r w:rsidRPr="003F76D8">
                                <w:t>North Carolina</w:t>
                              </w:r>
                            </w:p>
                          </w:tc>
                          <w:tc>
                            <w:tcPr>
                              <w:tcW w:w="0" w:type="auto"/>
                              <w:hideMark/>
                            </w:tcPr>
                            <w:p w14:paraId="2557DAB9" w14:textId="77777777" w:rsidR="003F76D8" w:rsidRPr="003F76D8" w:rsidRDefault="003F76D8" w:rsidP="003F76D8">
                              <w:r w:rsidRPr="003F76D8">
                                <w:t> </w:t>
                              </w:r>
                            </w:p>
                          </w:tc>
                          <w:tc>
                            <w:tcPr>
                              <w:tcW w:w="0" w:type="auto"/>
                              <w:hideMark/>
                            </w:tcPr>
                            <w:p w14:paraId="366EBC0E" w14:textId="77777777" w:rsidR="003F76D8" w:rsidRPr="003F76D8" w:rsidRDefault="003F76D8" w:rsidP="003F76D8">
                              <w:r w:rsidRPr="003F76D8">
                                <w:t>27612</w:t>
                              </w:r>
                            </w:p>
                          </w:tc>
                        </w:tr>
                      </w:tbl>
                      <w:p w14:paraId="69397C6A" w14:textId="77777777" w:rsidR="003F76D8" w:rsidRPr="003F76D8" w:rsidRDefault="003F76D8" w:rsidP="003F76D8"/>
                    </w:tc>
                  </w:tr>
                </w:tbl>
                <w:p w14:paraId="4E260D37" w14:textId="77777777" w:rsidR="003F76D8" w:rsidRPr="003F76D8" w:rsidRDefault="003F76D8" w:rsidP="003F76D8"/>
              </w:tc>
            </w:tr>
          </w:tbl>
          <w:p w14:paraId="3A3FF3E2" w14:textId="77777777" w:rsidR="003F76D8" w:rsidRPr="003F76D8" w:rsidRDefault="003F76D8" w:rsidP="003F76D8"/>
        </w:tc>
      </w:tr>
    </w:tbl>
    <w:p w14:paraId="62CCE5A4" w14:textId="77777777" w:rsidR="003F76D8" w:rsidRPr="003F76D8" w:rsidRDefault="003F76D8" w:rsidP="003F76D8"/>
    <w:sectPr w:rsidR="003F76D8" w:rsidRPr="003F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F7DEF"/>
    <w:multiLevelType w:val="multilevel"/>
    <w:tmpl w:val="07A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762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D8"/>
    <w:rsid w:val="002D35B5"/>
    <w:rsid w:val="003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12D05"/>
  <w15:chartTrackingRefBased/>
  <w15:docId w15:val="{A2927EB2-BA90-4F49-883A-EDFB5174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6D8"/>
    <w:rPr>
      <w:rFonts w:eastAsiaTheme="majorEastAsia" w:cstheme="majorBidi"/>
      <w:color w:val="272727" w:themeColor="text1" w:themeTint="D8"/>
    </w:rPr>
  </w:style>
  <w:style w:type="paragraph" w:styleId="Title">
    <w:name w:val="Title"/>
    <w:basedOn w:val="Normal"/>
    <w:next w:val="Normal"/>
    <w:link w:val="TitleChar"/>
    <w:uiPriority w:val="10"/>
    <w:qFormat/>
    <w:rsid w:val="003F7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6D8"/>
    <w:pPr>
      <w:spacing w:before="160"/>
      <w:jc w:val="center"/>
    </w:pPr>
    <w:rPr>
      <w:i/>
      <w:iCs/>
      <w:color w:val="404040" w:themeColor="text1" w:themeTint="BF"/>
    </w:rPr>
  </w:style>
  <w:style w:type="character" w:customStyle="1" w:styleId="QuoteChar">
    <w:name w:val="Quote Char"/>
    <w:basedOn w:val="DefaultParagraphFont"/>
    <w:link w:val="Quote"/>
    <w:uiPriority w:val="29"/>
    <w:rsid w:val="003F76D8"/>
    <w:rPr>
      <w:i/>
      <w:iCs/>
      <w:color w:val="404040" w:themeColor="text1" w:themeTint="BF"/>
    </w:rPr>
  </w:style>
  <w:style w:type="paragraph" w:styleId="ListParagraph">
    <w:name w:val="List Paragraph"/>
    <w:basedOn w:val="Normal"/>
    <w:uiPriority w:val="34"/>
    <w:qFormat/>
    <w:rsid w:val="003F76D8"/>
    <w:pPr>
      <w:ind w:left="720"/>
      <w:contextualSpacing/>
    </w:pPr>
  </w:style>
  <w:style w:type="character" w:styleId="IntenseEmphasis">
    <w:name w:val="Intense Emphasis"/>
    <w:basedOn w:val="DefaultParagraphFont"/>
    <w:uiPriority w:val="21"/>
    <w:qFormat/>
    <w:rsid w:val="003F76D8"/>
    <w:rPr>
      <w:i/>
      <w:iCs/>
      <w:color w:val="0F4761" w:themeColor="accent1" w:themeShade="BF"/>
    </w:rPr>
  </w:style>
  <w:style w:type="paragraph" w:styleId="IntenseQuote">
    <w:name w:val="Intense Quote"/>
    <w:basedOn w:val="Normal"/>
    <w:next w:val="Normal"/>
    <w:link w:val="IntenseQuoteChar"/>
    <w:uiPriority w:val="30"/>
    <w:qFormat/>
    <w:rsid w:val="003F7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6D8"/>
    <w:rPr>
      <w:i/>
      <w:iCs/>
      <w:color w:val="0F4761" w:themeColor="accent1" w:themeShade="BF"/>
    </w:rPr>
  </w:style>
  <w:style w:type="character" w:styleId="IntenseReference">
    <w:name w:val="Intense Reference"/>
    <w:basedOn w:val="DefaultParagraphFont"/>
    <w:uiPriority w:val="32"/>
    <w:qFormat/>
    <w:rsid w:val="003F76D8"/>
    <w:rPr>
      <w:b/>
      <w:bCs/>
      <w:smallCaps/>
      <w:color w:val="0F4761" w:themeColor="accent1" w:themeShade="BF"/>
      <w:spacing w:val="5"/>
    </w:rPr>
  </w:style>
  <w:style w:type="character" w:styleId="Hyperlink">
    <w:name w:val="Hyperlink"/>
    <w:basedOn w:val="DefaultParagraphFont"/>
    <w:uiPriority w:val="99"/>
    <w:unhideWhenUsed/>
    <w:rsid w:val="003F76D8"/>
    <w:rPr>
      <w:color w:val="467886" w:themeColor="hyperlink"/>
      <w:u w:val="single"/>
    </w:rPr>
  </w:style>
  <w:style w:type="character" w:styleId="UnresolvedMention">
    <w:name w:val="Unresolved Mention"/>
    <w:basedOn w:val="DefaultParagraphFont"/>
    <w:uiPriority w:val="99"/>
    <w:semiHidden/>
    <w:unhideWhenUsed/>
    <w:rsid w:val="003F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216364">
      <w:bodyDiv w:val="1"/>
      <w:marLeft w:val="0"/>
      <w:marRight w:val="0"/>
      <w:marTop w:val="0"/>
      <w:marBottom w:val="0"/>
      <w:divBdr>
        <w:top w:val="none" w:sz="0" w:space="0" w:color="auto"/>
        <w:left w:val="none" w:sz="0" w:space="0" w:color="auto"/>
        <w:bottom w:val="none" w:sz="0" w:space="0" w:color="auto"/>
        <w:right w:val="none" w:sz="0" w:space="0" w:color="auto"/>
      </w:divBdr>
    </w:div>
    <w:div w:id="1101487330">
      <w:bodyDiv w:val="1"/>
      <w:marLeft w:val="0"/>
      <w:marRight w:val="0"/>
      <w:marTop w:val="0"/>
      <w:marBottom w:val="0"/>
      <w:divBdr>
        <w:top w:val="none" w:sz="0" w:space="0" w:color="auto"/>
        <w:left w:val="none" w:sz="0" w:space="0" w:color="auto"/>
        <w:bottom w:val="none" w:sz="0" w:space="0" w:color="auto"/>
        <w:right w:val="none" w:sz="0" w:space="0" w:color="auto"/>
      </w:divBdr>
    </w:div>
    <w:div w:id="1197739723">
      <w:bodyDiv w:val="1"/>
      <w:marLeft w:val="0"/>
      <w:marRight w:val="0"/>
      <w:marTop w:val="0"/>
      <w:marBottom w:val="0"/>
      <w:divBdr>
        <w:top w:val="none" w:sz="0" w:space="0" w:color="auto"/>
        <w:left w:val="none" w:sz="0" w:space="0" w:color="auto"/>
        <w:bottom w:val="none" w:sz="0" w:space="0" w:color="auto"/>
        <w:right w:val="none" w:sz="0" w:space="0" w:color="auto"/>
      </w:divBdr>
    </w:div>
    <w:div w:id="19912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errell@maynardnexsen.com" TargetMode="External"/><Relationship Id="rId5" Type="http://schemas.openxmlformats.org/officeDocument/2006/relationships/hyperlink" Target="https://www.wral.com/story/nc-lawmakers-approve-millions-in-hurricane-helene-disaster-aid-for-western-counties/21663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Craft</dc:creator>
  <cp:keywords/>
  <dc:description/>
  <cp:lastModifiedBy>Gail Craft</cp:lastModifiedBy>
  <cp:revision>1</cp:revision>
  <dcterms:created xsi:type="dcterms:W3CDTF">2024-11-01T14:37:00Z</dcterms:created>
  <dcterms:modified xsi:type="dcterms:W3CDTF">2024-11-01T14:38:00Z</dcterms:modified>
</cp:coreProperties>
</file>