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EE5FF5" w:rsidTr="00077B8E">
        <w:trPr>
          <w:jc w:val="center"/>
        </w:trPr>
        <w:tc>
          <w:tcPr>
            <w:tcW w:w="7368" w:type="dxa"/>
            <w:hideMark/>
          </w:tcPr>
          <w:p w:rsidR="00EE5FF5" w:rsidRDefault="005D7F39">
            <w:pPr>
              <w:pStyle w:val="NormalWeb"/>
              <w:jc w:val="center"/>
            </w:pPr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EE5FF5" w:rsidRDefault="009C0211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E5FF5" w:rsidTr="00077B8E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5FF5" w:rsidRPr="00077B8E" w:rsidRDefault="005D7F39" w:rsidP="00077B8E">
            <w:pPr>
              <w:spacing w:after="240"/>
              <w:ind w:left="0" w:right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</w:rPr>
              <w:br/>
            </w:r>
          </w:p>
          <w:p w:rsidR="00077B8E" w:rsidRDefault="00077B8E">
            <w:pPr>
              <w:jc w:val="center"/>
              <w:rPr>
                <w:lang w:val="en-US"/>
              </w:rPr>
            </w:pPr>
          </w:p>
          <w:p w:rsidR="00077B8E" w:rsidRDefault="00077B8E" w:rsidP="00077B8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7B8E">
              <w:rPr>
                <w:b/>
                <w:sz w:val="28"/>
                <w:szCs w:val="28"/>
              </w:rPr>
              <w:t>Вътрешни правила за ползване на информационите системи от служителите</w:t>
            </w:r>
            <w:r>
              <w:rPr>
                <w:b/>
                <w:sz w:val="28"/>
                <w:szCs w:val="28"/>
                <w:lang w:val="en-US"/>
              </w:rPr>
              <w:t xml:space="preserve"> / </w:t>
            </w:r>
          </w:p>
          <w:p w:rsidR="00077B8E" w:rsidRDefault="00077B8E" w:rsidP="00077B8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77B8E" w:rsidRDefault="00077B8E" w:rsidP="00077B8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Инструкция за използването на информационите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системи от служителите </w:t>
            </w:r>
          </w:p>
          <w:p w:rsidR="00077B8E" w:rsidRPr="00077B8E" w:rsidRDefault="00077B8E" w:rsidP="00077B8E">
            <w:pPr>
              <w:spacing w:after="240"/>
              <w:ind w:left="0" w:right="0"/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</w:p>
          <w:p w:rsidR="00EE5FF5" w:rsidRDefault="00EE5FF5">
            <w:pPr>
              <w:spacing w:after="240"/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I. Общи положения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1. (1) Инструкцията за използване на информационните системи информира педагогическите специалисти и непедагогическия персонал за правата и задълженията им по отношение на използването нейното приложение и използване. </w:t>
            </w:r>
          </w:p>
          <w:p w:rsidR="00EE5FF5" w:rsidRDefault="005D7F39">
            <w:pPr>
              <w:pStyle w:val="BodyText"/>
            </w:pPr>
            <w:r>
              <w:t xml:space="preserve">(2) Инструкцията определя правилата за използване на информацията за вътрешна и външна комуникация, за предоставяне на услуги на родители и учители, за администриране, свързано с учебно-възпитателния процес, а също така е средство за извършване на проучвания и обмяна на информация. </w:t>
            </w:r>
          </w:p>
          <w:p w:rsidR="00EE5FF5" w:rsidRDefault="005D7F39">
            <w:pPr>
              <w:pStyle w:val="BodyText"/>
            </w:pPr>
            <w:r>
              <w:t xml:space="preserve">(3) Достъпът до данните в локалната мрежа и ползването на програмните продукти на институцията от педагогическите специалисти и непедагогическия персонал е необходимо с оглед ефективното изпълнение на отговорностите и задълженията. </w:t>
            </w:r>
          </w:p>
          <w:p w:rsidR="00EE5FF5" w:rsidRDefault="005D7F39">
            <w:pPr>
              <w:pStyle w:val="BodyText"/>
            </w:pPr>
            <w:r>
              <w:t xml:space="preserve">Чл. 2. Информационните технологии включват локалните мрежи, интернет, електронната поща и всички програмни продукти, които институцията притежава и ползва. </w:t>
            </w:r>
          </w:p>
          <w:p w:rsidR="00EE5FF5" w:rsidRDefault="005D7F39">
            <w:pPr>
              <w:pStyle w:val="BodyText"/>
            </w:pPr>
            <w:r>
              <w:t xml:space="preserve">Чл. 3. Инструкцията дава указания за начина на употреба от от педагогическите специалисти и непедагогическия персонал на информационните технологии, насърчава ползването им с цел увеличаване на продуктивността и ефективността на работата. </w:t>
            </w:r>
          </w:p>
          <w:p w:rsidR="00EE5FF5" w:rsidRDefault="005D7F39">
            <w:pPr>
              <w:pStyle w:val="BodyText"/>
            </w:pPr>
            <w:r>
              <w:t xml:space="preserve">Чл. 4. (1) </w:t>
            </w:r>
            <w:r w:rsidR="00E14659">
              <w:t>З</w:t>
            </w:r>
            <w:r>
              <w:t>аместник-директор</w:t>
            </w:r>
            <w:r w:rsidR="00E14659">
              <w:t>ът АСД</w:t>
            </w:r>
            <w:r>
              <w:t>, ръководителят на направление „Информационни и комуникационни технологии“</w:t>
            </w:r>
            <w:r w:rsidR="00E14659">
              <w:t xml:space="preserve"> и експертът информационно осигуряване</w:t>
            </w:r>
            <w:r>
              <w:t xml:space="preserve"> в институцията са отговорни за цялостната дейност на информационните технологии и за подпомагането работата на служителите на институцията с тях. </w:t>
            </w:r>
          </w:p>
          <w:p w:rsidR="00EE5FF5" w:rsidRDefault="005D7F39">
            <w:pPr>
              <w:pStyle w:val="BodyText"/>
            </w:pPr>
            <w:r>
              <w:t xml:space="preserve">(2) При съмнение за нарушение на сигурността на личните данни, лицето, което е установило несъответствието (случайно или неправомерно унищожаване на лични данни, загуба, промяна, неразрешено разкриване или нерегламентиран достъп, незабавно уведомява лицата по ал. 1 и определения служител по защита на личните данни за предприемане на действия по прилагане на Инструкцията за действие при пробив в сигурността. </w:t>
            </w:r>
          </w:p>
          <w:p w:rsidR="00EE5FF5" w:rsidRDefault="005D7F39">
            <w:pPr>
              <w:pStyle w:val="BodyText"/>
            </w:pPr>
            <w:r>
              <w:t xml:space="preserve">Чл. 5. Служителите в институцията са задължени да спазват правилата, определени с настоящата Инструкция. </w:t>
            </w:r>
          </w:p>
          <w:p w:rsidR="00EE5FF5" w:rsidRDefault="005D7F39">
            <w:pPr>
              <w:pStyle w:val="BodyText"/>
            </w:pPr>
            <w:r>
              <w:t xml:space="preserve">Чл. 6. Всички компютърни програмни продукти и информация, създадена и съхранена от служителите, са собственост на институцията. </w:t>
            </w:r>
          </w:p>
          <w:p w:rsidR="00EE5FF5" w:rsidRDefault="005D7F39">
            <w:pPr>
              <w:pStyle w:val="BodyText"/>
            </w:pPr>
            <w:r>
              <w:t xml:space="preserve">Чл. 7. Служителите в институцията нямат право да вземат програмните продукти с цел инсталирането им на домашните им компютри и преносими устройства, с изключение на електронните учебници и създадените за он-лайн обучение софтуери. </w:t>
            </w:r>
          </w:p>
          <w:p w:rsidR="00EE5FF5" w:rsidRDefault="005D7F39">
            <w:pPr>
              <w:pStyle w:val="BodyText"/>
            </w:pPr>
            <w:r>
              <w:lastRenderedPageBreak/>
              <w:t xml:space="preserve">Чл. 8. При напускане на институцията служителите нямат право да копират или унищожават файлове с данни, които са създадени във връзка с тяхната работа.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II. Контрол върху работата с информационните технологии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9. (1) Ръководството на институцията има право да контролира ползването на програмните продукти, електронната поща, Интернет и базите данни, създадени от служителите в институцията. </w:t>
            </w:r>
          </w:p>
          <w:p w:rsidR="00EE5FF5" w:rsidRDefault="005D7F39">
            <w:pPr>
              <w:pStyle w:val="BodyText"/>
            </w:pPr>
            <w:r>
              <w:t xml:space="preserve">(2) Ръководството на институцията, включително и определеното длъжностно лице по защита на личните данни, имат право да проверява изцяло служебните компютри, предоставени за учебни цели на служителите в институцията, както и техниката, която ползват учители и служители във връзка с изпълнение на служебните им задължения.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III. Конфиденциалност </w:t>
            </w:r>
          </w:p>
          <w:p w:rsidR="00EE5FF5" w:rsidRDefault="00EE5FF5">
            <w:pPr>
              <w:pStyle w:val="BodyText"/>
            </w:pPr>
          </w:p>
          <w:p w:rsidR="00EE5FF5" w:rsidRDefault="005D7F39">
            <w:pPr>
              <w:pStyle w:val="BodyText"/>
            </w:pPr>
            <w:r>
              <w:t xml:space="preserve">Чл. 10. Резултатите от извършения контрол върху работата с информационните технологии на институцията се считат за конфиденциални и не се разгласяват от ръководството.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IV. Допустимо ползване на информационните технологии за лични цели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11. Учебните информационни системи са предназначени за ползване при изпълняване на служебните задължения на служителите. </w:t>
            </w:r>
          </w:p>
          <w:p w:rsidR="00F943E1" w:rsidRDefault="005D7F39">
            <w:pPr>
              <w:pStyle w:val="BodyText"/>
              <w:rPr>
                <w:lang w:val="en-US"/>
              </w:rPr>
            </w:pPr>
            <w:r>
              <w:t>Чл. 12. Тези системи могат да се ползват и за лични цели при следните условия:</w:t>
            </w:r>
          </w:p>
          <w:p w:rsidR="00EE5FF5" w:rsidRDefault="00F943E1">
            <w:pPr>
              <w:pStyle w:val="BodyText"/>
            </w:pPr>
            <w:r>
              <w:t>1</w:t>
            </w:r>
            <w:r w:rsidR="005D7F39">
              <w:t xml:space="preserve">. Това е инцидентно и за кратко време. </w:t>
            </w:r>
          </w:p>
          <w:p w:rsidR="00EE5FF5" w:rsidRDefault="00F943E1">
            <w:pPr>
              <w:pStyle w:val="BodyText"/>
            </w:pPr>
            <w:r>
              <w:t>2</w:t>
            </w:r>
            <w:r w:rsidR="005D7F39">
              <w:t xml:space="preserve">. Не е по време на работа, а е в извънработно време. </w:t>
            </w:r>
          </w:p>
          <w:p w:rsidR="006312B0" w:rsidRDefault="00F943E1">
            <w:pPr>
              <w:pStyle w:val="BodyText"/>
            </w:pPr>
            <w:r>
              <w:t>3</w:t>
            </w:r>
            <w:r w:rsidR="005D7F39">
              <w:t xml:space="preserve">. Това не пречи на работата на останалите служители. </w:t>
            </w:r>
          </w:p>
          <w:p w:rsidR="00EE5FF5" w:rsidRDefault="006312B0">
            <w:pPr>
              <w:pStyle w:val="BodyText"/>
            </w:pPr>
            <w:r>
              <w:t>4. Не се извършват</w:t>
            </w:r>
            <w:r w:rsidR="005D7F39">
              <w:t xml:space="preserve"> дейности, които могат да доведат до конфликт на интереси. </w:t>
            </w:r>
          </w:p>
          <w:p w:rsidR="00EE5FF5" w:rsidRDefault="006312B0">
            <w:pPr>
              <w:pStyle w:val="BodyText"/>
            </w:pPr>
            <w:r>
              <w:t>5</w:t>
            </w:r>
            <w:r w:rsidR="005D7F39">
              <w:t xml:space="preserve">. Това не води до допълнителни разходи за институцията.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V. Забрани за ползване на информационните технологии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13. Забранява се ползването на компютърните и информационните системи на институцията в следните случаи: </w:t>
            </w:r>
          </w:p>
          <w:p w:rsidR="00EE5FF5" w:rsidRDefault="005D7F39">
            <w:pPr>
              <w:pStyle w:val="BodyText"/>
            </w:pPr>
            <w:r>
              <w:t xml:space="preserve">1. Заобикаляне на системите за сигурност, с цел разрушаване или намаляване сигурността на учебната локална мрежа или бази данни. </w:t>
            </w:r>
          </w:p>
          <w:p w:rsidR="00EE5FF5" w:rsidRDefault="005D7F39">
            <w:pPr>
              <w:pStyle w:val="BodyText"/>
            </w:pPr>
            <w:r>
              <w:t xml:space="preserve">2. Ползване на информационните ресурси за извършване на нерегламентирана дейност. </w:t>
            </w:r>
          </w:p>
          <w:p w:rsidR="00EE5FF5" w:rsidRDefault="005D7F39">
            <w:pPr>
              <w:pStyle w:val="BodyText"/>
            </w:pPr>
            <w:r>
              <w:t xml:space="preserve">3. Използване на ресурсите за подпомагане дейността на външни организации, техните продукти, услуги или бизнес практика, с цел облага. </w:t>
            </w:r>
          </w:p>
          <w:p w:rsidR="00EE5FF5" w:rsidRDefault="005D7F39">
            <w:pPr>
              <w:pStyle w:val="BodyText"/>
            </w:pPr>
            <w:r>
              <w:t xml:space="preserve">4. Електронна поща на институцията не може да се ползва за комерсиални лични цели, религиозни цели или да се подпомага бизнес, който не е свързан с дейността на институцията. </w:t>
            </w:r>
          </w:p>
          <w:p w:rsidR="00EE5FF5" w:rsidRDefault="005D7F39">
            <w:pPr>
              <w:pStyle w:val="BodyText"/>
            </w:pPr>
            <w:r>
              <w:t xml:space="preserve">5. Ползването на компютърните системи за политическа дейност, която пряко или косвено би подпомогнала кампанията за избиране на даден кандидат. </w:t>
            </w:r>
          </w:p>
          <w:p w:rsidR="00EE5FF5" w:rsidRDefault="005D7F39">
            <w:pPr>
              <w:pStyle w:val="BodyText"/>
            </w:pPr>
            <w:r>
              <w:t xml:space="preserve">6. Подправяне на електронна поща с цел скриване на самоличността на подателя или фалшифициране на тази самоличност. Всички електронни писма, пращани от служители на институцията трябва да са лично подписани и да са до точно определен брой адресати, които са дали съгласие за използване на електрлонния им адрес. </w:t>
            </w:r>
          </w:p>
          <w:p w:rsidR="00EE5FF5" w:rsidRDefault="005D7F39">
            <w:pPr>
              <w:pStyle w:val="BodyText"/>
            </w:pPr>
            <w:r>
              <w:t xml:space="preserve">7. Свалянето от Интернет на аудио и видео файлове и други. </w:t>
            </w:r>
          </w:p>
          <w:p w:rsidR="00EE5FF5" w:rsidRDefault="005D7F39">
            <w:pPr>
              <w:pStyle w:val="BodyText"/>
            </w:pPr>
            <w:r>
              <w:t xml:space="preserve">8. Сваляне и инсталиране на компютърни програми от Интернет без разрешение на компютърните </w:t>
            </w:r>
            <w:r>
              <w:lastRenderedPageBreak/>
              <w:t xml:space="preserve">специалисти. </w:t>
            </w:r>
          </w:p>
          <w:p w:rsidR="00EE5FF5" w:rsidRDefault="005D7F39">
            <w:pPr>
              <w:pStyle w:val="BodyText"/>
            </w:pPr>
            <w:r>
              <w:t xml:space="preserve">9. Копиране на лицензираните компютърни програми на институцията с цел лична употреба.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VI. Разкриване на информация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14. (1) Неоторизираното разкриване на служебна информация може да доведе до негативни последици за институцията и накърняване на нейния имидж и репутация. </w:t>
            </w:r>
          </w:p>
          <w:p w:rsidR="00EE5FF5" w:rsidRDefault="005D7F39">
            <w:pPr>
              <w:pStyle w:val="BodyText"/>
            </w:pPr>
            <w:r>
              <w:t xml:space="preserve">(2) Служител, който е копирал и използвал информация от локалната мрежа на институцията за лична изгода или за да причини вреда на институцията, носи съответната дисциплинарна и имущественна отговорност по КТ.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VII. Антивирусна защита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15. (1) Компютърните вируси са голяма заплаха за всички потребители на ІТ услуги и служителите трябва да имат необходимите знания как вирусите се разпространяват, каква вреда могат да нанесат и как да се предпазват от тях. </w:t>
            </w:r>
          </w:p>
          <w:p w:rsidR="00EE5FF5" w:rsidRDefault="005D7F39">
            <w:pPr>
              <w:pStyle w:val="BodyText"/>
            </w:pPr>
            <w:r>
              <w:t xml:space="preserve">(2) Компютърният вирус е компютърна програма, която се задейства на даден компютър и се разпространява към другите дискове и програми, които са в контакт със заразения компютър. </w:t>
            </w:r>
          </w:p>
          <w:p w:rsidR="00EE5FF5" w:rsidRDefault="005D7F39">
            <w:pPr>
              <w:pStyle w:val="BodyText"/>
            </w:pPr>
            <w:r>
              <w:t xml:space="preserve">(3) Вирусът може да причини блокиране на компютъра, да промени бази данни, да направи някои данни невъзможни за ползване и даже да форматира диск и така да се загуби цялата информация на тях.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VIII. Организация на защитата от вируси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>Чл. 16. (1) ІТ специалиста на институцията</w:t>
            </w:r>
            <w:r w:rsidR="006312B0">
              <w:rPr>
                <w:lang w:val="en-US"/>
              </w:rPr>
              <w:t xml:space="preserve"> /</w:t>
            </w:r>
            <w:r w:rsidR="006312B0">
              <w:t>ръководителят на направление ИКТ/</w:t>
            </w:r>
            <w:r>
              <w:t xml:space="preserve"> носи пълната отговорност за избирането и инсталирането на антивирусната програма, както и за нейната актуализация на всеки индивидуален компютър. Служителите също трябва да следят дали тяхната антивирусна програма се осъвременява поне веднъж седмично с най-новата версия. </w:t>
            </w:r>
          </w:p>
          <w:p w:rsidR="00EE5FF5" w:rsidRDefault="005D7F39">
            <w:pPr>
              <w:pStyle w:val="BodyText"/>
            </w:pPr>
            <w:r>
              <w:t xml:space="preserve">(2) Служителите трябва да приемат всяко съобщение за вирус изключително сериозно и да следват вътрешните процедури за реакция в такъв случай. </w:t>
            </w:r>
          </w:p>
          <w:p w:rsidR="00EE5FF5" w:rsidRDefault="005D7F39">
            <w:pPr>
              <w:pStyle w:val="BodyText"/>
            </w:pPr>
            <w:r>
              <w:t xml:space="preserve">(3) Преднамереното разпространяване на данни, за които служителят знае, че са заразени е нарушение на служебните задължения, което сe санкционира по дисциплинарен ред. </w:t>
            </w:r>
          </w:p>
          <w:p w:rsidR="00EE5FF5" w:rsidRDefault="005D7F39">
            <w:pPr>
              <w:pStyle w:val="BodyText"/>
            </w:pPr>
            <w:r>
              <w:t xml:space="preserve">(4) В случай на вирусна атака служителят трябва незабавно да информира ІТ специалист без да предприема никакви действия самостоятелно. </w:t>
            </w:r>
          </w:p>
          <w:p w:rsidR="00EE5FF5" w:rsidRDefault="005D7F39">
            <w:pPr>
              <w:pStyle w:val="BodyText"/>
            </w:pPr>
            <w:r>
              <w:t xml:space="preserve">(5) На служителите е разрешено да свалят файлове от външни източници на мрежата на институцията във връзка с тяхната работа. Не е разрешено на служителите да се инсталират програмни продукти без предварителното разрешение на ІТ специалиста, тъй като има опасност от заразяване с вируси. </w:t>
            </w:r>
          </w:p>
          <w:p w:rsidR="00EE5FF5" w:rsidRDefault="005D7F39">
            <w:pPr>
              <w:pStyle w:val="BodyText"/>
            </w:pPr>
            <w:r>
              <w:t xml:space="preserve">(6) Входящата електронна поща трябва да се третира с особено внимание поради потенциалната възможност да е заразена с вируси. Отварянето на приложения да се прави само след предварителното им сканиране с антивирусна програма. </w:t>
            </w:r>
          </w:p>
          <w:p w:rsidR="00EE5FF5" w:rsidRDefault="005D7F39">
            <w:pPr>
              <w:pStyle w:val="BodyText"/>
            </w:pPr>
            <w:r>
              <w:t xml:space="preserve">(7) Електронни писма, получени от неизвестни податели трябва да се изтриват и в никакъв случай да не се отварят файлове, прикачени към тях. </w:t>
            </w:r>
          </w:p>
          <w:p w:rsidR="00EE5FF5" w:rsidRDefault="005D7F39">
            <w:pPr>
              <w:pStyle w:val="BodyText"/>
            </w:pPr>
            <w:r>
              <w:t xml:space="preserve">(8) Файлове, получени от неизвестни податели трябва да се трият без да се отварят. </w:t>
            </w:r>
          </w:p>
          <w:p w:rsidR="00EE5FF5" w:rsidRDefault="005D7F39">
            <w:pPr>
              <w:pStyle w:val="BodyText"/>
            </w:pPr>
            <w:r>
              <w:t xml:space="preserve">(9) Ползването на външни носители (дискове, външна памет и др.) на информация е допустимо само след предварителното им сканиране с антивирусна програма.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IX. Архивиране на информацията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lastRenderedPageBreak/>
              <w:t xml:space="preserve">Чл. 17. (1) Сривовете в компютърното оборудване, вирусите, случайното изтриване на файлове могат да причинят загуба на данни, поради което е необходимо информацията във всяка компютърна система да бъде архивирана. </w:t>
            </w:r>
          </w:p>
          <w:p w:rsidR="00EE5FF5" w:rsidRDefault="005D7F39">
            <w:pPr>
              <w:pStyle w:val="BodyText"/>
            </w:pPr>
            <w:r>
              <w:t xml:space="preserve">(2) Целта на архивирането и възстановяването е да се възстанови работата възможно най-бързо в случай на прекъсване по технически причини. По този начин се минимизират възможните проблеми и загуби. </w:t>
            </w:r>
          </w:p>
          <w:p w:rsidR="00EE5FF5" w:rsidRDefault="005D7F39">
            <w:pPr>
              <w:pStyle w:val="BodyText"/>
            </w:pPr>
            <w:r>
              <w:t xml:space="preserve">(3) Служителите в институцията, съгласувайки с ІТ специалиста, трябва да имат адекватна система за архивиране на данните от своята работа на технически носители (дискове, USB и др.). </w:t>
            </w:r>
          </w:p>
          <w:p w:rsidR="00EE5FF5" w:rsidRDefault="005D7F39">
            <w:pPr>
              <w:pStyle w:val="BodyText"/>
            </w:pPr>
            <w:r>
              <w:t xml:space="preserve">(4) Честотата на архивирането се определя от директора в писмена процедура и зависи от броя транзакции и тяхната значимост за системата. </w:t>
            </w:r>
          </w:p>
          <w:p w:rsidR="00EE5FF5" w:rsidRDefault="005D7F39">
            <w:pPr>
              <w:pStyle w:val="BodyText"/>
            </w:pPr>
            <w:r>
              <w:t xml:space="preserve">(5) Задължително архив (архивиране на файлове) се прави веднъж месечно.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X. Достъп и пароли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18. (1) Служителите получават достъп до локалната мрежа и до всички програми, необходими за изпълнение на служебните им задължения. </w:t>
            </w:r>
          </w:p>
          <w:p w:rsidR="00EE5FF5" w:rsidRDefault="005D7F39">
            <w:pPr>
              <w:pStyle w:val="BodyText"/>
            </w:pPr>
            <w:r>
              <w:t xml:space="preserve">(2) Достъпът до дадена програма се дава на конкретен служител и не може да се прехвърля на друг. </w:t>
            </w:r>
          </w:p>
          <w:p w:rsidR="00EE5FF5" w:rsidRDefault="005D7F39">
            <w:pPr>
              <w:pStyle w:val="BodyText"/>
            </w:pPr>
            <w:r>
              <w:t xml:space="preserve">(3) Служителите трябва да пазят своите лични пароли в тайна. </w:t>
            </w:r>
          </w:p>
          <w:p w:rsidR="00EE5FF5" w:rsidRDefault="005D7F39">
            <w:pPr>
              <w:pStyle w:val="BodyText"/>
            </w:pPr>
            <w:r>
              <w:t xml:space="preserve">Чл. 19. Когато даден продукт изисква парола трябва да спазват следните правила: </w:t>
            </w:r>
          </w:p>
          <w:p w:rsidR="00EE5FF5" w:rsidRDefault="005D7F39">
            <w:pPr>
              <w:pStyle w:val="BodyText"/>
            </w:pPr>
            <w:r>
              <w:t xml:space="preserve">1. служителите трябва да променят първоначалната парола (обикновено генерирана от програмния продукт) като измислят своя индивидуална при първото влизане в съответната информационна система; </w:t>
            </w:r>
          </w:p>
          <w:p w:rsidR="00EE5FF5" w:rsidRDefault="005D7F39">
            <w:pPr>
              <w:pStyle w:val="BodyText"/>
            </w:pPr>
            <w:r>
              <w:t xml:space="preserve">2. паролите трябва да са с не по-малко от 5 знака; </w:t>
            </w:r>
          </w:p>
          <w:p w:rsidR="00EE5FF5" w:rsidRDefault="005D7F39">
            <w:pPr>
              <w:pStyle w:val="BodyText"/>
            </w:pPr>
            <w:r>
              <w:t xml:space="preserve">3. паролите трябва лесно да се помнят, за да не се налага да бъдат записвани на хартия; </w:t>
            </w:r>
          </w:p>
          <w:p w:rsidR="00EE5FF5" w:rsidRDefault="005D7F39">
            <w:pPr>
              <w:pStyle w:val="BodyText"/>
            </w:pPr>
            <w:r>
              <w:t xml:space="preserve">4. паролите не трябва да са лесни за отгатване от колегите; </w:t>
            </w:r>
          </w:p>
          <w:p w:rsidR="00EE5FF5" w:rsidRDefault="005D7F39">
            <w:pPr>
              <w:pStyle w:val="BodyText"/>
            </w:pPr>
            <w:r>
              <w:t xml:space="preserve">5. паролите не трябва да се споделят с колеги или други познат; </w:t>
            </w:r>
          </w:p>
          <w:p w:rsidR="00EE5FF5" w:rsidRDefault="005D7F39">
            <w:pPr>
              <w:pStyle w:val="BodyText"/>
            </w:pPr>
            <w:r>
              <w:t xml:space="preserve">6. паролите не трябва да се записват на хартия и да се оставят на работното място; </w:t>
            </w:r>
          </w:p>
          <w:p w:rsidR="00EE5FF5" w:rsidRDefault="005D7F39">
            <w:pPr>
              <w:pStyle w:val="BodyText"/>
            </w:pPr>
            <w:r>
              <w:t xml:space="preserve">7. ако е необходимо паролите могат да се сменят на определена честота (всеки 3, 6, 12 месеца); </w:t>
            </w:r>
          </w:p>
          <w:p w:rsidR="00EE5FF5" w:rsidRDefault="005D7F39">
            <w:pPr>
              <w:pStyle w:val="BodyText"/>
            </w:pPr>
            <w:r>
              <w:t xml:space="preserve">8. при 3 неуспешни опита за влизане в дадена програма достъпът може да бъде блокиран; </w:t>
            </w:r>
          </w:p>
          <w:p w:rsidR="00EE5FF5" w:rsidRDefault="005D7F39">
            <w:pPr>
              <w:pStyle w:val="BodyText"/>
            </w:pPr>
            <w:r>
              <w:t xml:space="preserve">9. при периодична промяна на паролата не трябва да се използват вече използвани пароли; </w:t>
            </w:r>
          </w:p>
          <w:p w:rsidR="00EE5FF5" w:rsidRDefault="005D7F39">
            <w:pPr>
              <w:pStyle w:val="BodyText"/>
            </w:pPr>
            <w:r>
              <w:t xml:space="preserve">10. системите не трябва да позволяват един и същи потребител да се включи в няколко компютъра едновременно с една и съща парола. </w:t>
            </w:r>
          </w:p>
          <w:p w:rsidR="00EE5FF5" w:rsidRDefault="005D7F39">
            <w:pPr>
              <w:pStyle w:val="BodyText"/>
            </w:pPr>
            <w:r>
              <w:t xml:space="preserve">Чл. 20. Ако забравят своята парола служителите трябва незабавно да уведомят оторизирания помощник директор и да се свържат с ІТ специалист.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XI. Интернет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21. (1) Ръководството насърчава ползването на Интернет от служителите за обмяна на информация, извършване на проучвания и събиране на данни във връзка с дейността им. </w:t>
            </w:r>
          </w:p>
          <w:p w:rsidR="00EE5FF5" w:rsidRDefault="005D7F39">
            <w:pPr>
              <w:pStyle w:val="BodyText"/>
            </w:pPr>
            <w:r>
              <w:t xml:space="preserve">(2) Заместник-директорите и други оторизирани длъжностни лица отговарят за уместната употреба на Интернет от служителите на институцията. </w:t>
            </w:r>
          </w:p>
          <w:p w:rsidR="00EE5FF5" w:rsidRDefault="005D7F39">
            <w:pPr>
              <w:pStyle w:val="BodyText"/>
            </w:pPr>
            <w:r>
              <w:t xml:space="preserve">(3) Свалянето от Интернет на аудио или видео файлове е забранено. Не е разрешено и свалянето на програмни продукти от Интернет без предварителното одобрение на компютърен специалист.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XII. Електронна поща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22. (1) Електронната поща на институцията не може да се ползва за комерсиални цели, религиозни цели или да се подпомага бизнес, който не е свързан с дейността на институцията. </w:t>
            </w:r>
          </w:p>
          <w:p w:rsidR="00EE5FF5" w:rsidRDefault="005D7F39">
            <w:pPr>
              <w:pStyle w:val="BodyText"/>
            </w:pPr>
            <w:r>
              <w:lastRenderedPageBreak/>
              <w:t xml:space="preserve">(2) Ползването на електронната поща за политическа дейност, която пряко или косвено би подпомогнала кампанията за избиране на даден кандидат също не се позволява. </w:t>
            </w:r>
          </w:p>
          <w:p w:rsidR="00EE5FF5" w:rsidRDefault="005D7F39">
            <w:pPr>
              <w:pStyle w:val="BodyText"/>
            </w:pPr>
            <w:r>
              <w:t xml:space="preserve">(3) Подправяне на електронна поща с цел скриване на самоличността на подателя или фалшифициране на тази самоличност се забранява. Всички електронни писма, изпращани от служителите трябва да са лично подписани. </w:t>
            </w:r>
          </w:p>
          <w:p w:rsidR="00EE5FF5" w:rsidRDefault="005D7F39">
            <w:pPr>
              <w:pStyle w:val="BodyText"/>
            </w:pPr>
            <w:r>
              <w:t xml:space="preserve">(4) Неформалните съобщения, които не са от официален характер трябва да се трият от пощата, за да не се товарят сървърите на институцията. </w:t>
            </w:r>
          </w:p>
          <w:p w:rsidR="00EE5FF5" w:rsidRDefault="005D7F39">
            <w:pPr>
              <w:pStyle w:val="BodyText"/>
            </w:pPr>
            <w:r>
              <w:t xml:space="preserve">(5) Всички електронни писма и важни съобщения, които имат отношение към дейността на училището, трябва да се принтират и представят за завеждане с входящ номер в дневника за входяща кореспонденция от определеното длъжностно лице, като екземпляр се съхранява в съответние класьор и в електронната поща. </w:t>
            </w:r>
          </w:p>
          <w:p w:rsidR="00EE5FF5" w:rsidRDefault="005D7F39">
            <w:pPr>
              <w:pStyle w:val="BodyText"/>
            </w:pPr>
            <w:r>
              <w:t xml:space="preserve">(6) Служителите трябва да проверяват внимателно точния адрес на получателите на официални писма, особено такива с прикачени файлове, за да не се допусне получаване на информация от чужди лица.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Раздел XIII. Лице за контакт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Чл. 23. Всички технически въпроси във връзка с работата на компютърните системи се насочват към ІТ специалиста </w:t>
            </w:r>
            <w:r w:rsidR="006312B0">
              <w:t xml:space="preserve">/ръководителят на направление ИКТ/ </w:t>
            </w:r>
            <w:r>
              <w:t xml:space="preserve">на институцията или към друго лице, определено от директора.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Допълнителни разпоредби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pStyle w:val="BodyText"/>
            </w:pPr>
            <w:r>
              <w:t xml:space="preserve">§ 1. При извършване на самооценката на вътрешните контроли следва да се направи анализ и оценка на риска на критичните информационни системи в институцията. </w:t>
            </w:r>
          </w:p>
          <w:p w:rsidR="00EE5FF5" w:rsidRDefault="005D7F39">
            <w:pPr>
              <w:pStyle w:val="BodyText"/>
            </w:pPr>
            <w:r>
              <w:t xml:space="preserve">§ 2. Целта е да е идентифицират най-важните компоненти (оборудване, програми, бази данни), заплахата за тяхната повреда или загуба, последиците от това за дейността на институцията налични контроли за да се предотвратят потенциалните проблеми и допълнителни контроли, които са необходими за подобряване на системата. </w:t>
            </w:r>
          </w:p>
          <w:p w:rsidR="00EE5FF5" w:rsidRDefault="005D7F39">
            <w:pPr>
              <w:pStyle w:val="BodyText"/>
            </w:pPr>
            <w:r>
              <w:t xml:space="preserve">§ 3. Оценката на риска обхваща извършеното, както и моментното състояние, мерките за подобряване на слабите места във вътрешните контроли, необходимите ресурси и остатъчния риск за институцията, който контролите няма как да елиминират. </w:t>
            </w:r>
          </w:p>
          <w:p w:rsidR="00EE5FF5" w:rsidRDefault="005D7F39">
            <w:pPr>
              <w:pStyle w:val="BodyText"/>
            </w:pPr>
            <w:r>
              <w:t xml:space="preserve">§ 4. При създаването на програмен продукт специално за нуждите на институцията е необходимо още при задаването на неговите параметри на доставчика да се заложат основните контролни функции, които този продукт трябва да има.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pPr>
              <w:jc w:val="center"/>
            </w:pPr>
            <w:r>
              <w:rPr>
                <w:b/>
                <w:bCs/>
              </w:rPr>
              <w:t xml:space="preserve">ЗАКЛЮЧИТЕЛНИ РАЗПОРЕДБИ </w:t>
            </w:r>
          </w:p>
          <w:p w:rsidR="00EE5FF5" w:rsidRDefault="005D7F39">
            <w:pPr>
              <w:pStyle w:val="BodyText"/>
            </w:pPr>
            <w:r>
              <w:t>§ 1. Инструкцията влиза в сила</w:t>
            </w:r>
            <w:bookmarkStart w:id="0" w:name="_GoBack"/>
            <w:bookmarkEnd w:id="0"/>
            <w:r>
              <w:t xml:space="preserve"> </w:t>
            </w:r>
            <w:r w:rsidR="006312B0">
              <w:t xml:space="preserve">след </w:t>
            </w:r>
            <w:r>
              <w:t>утвържда</w:t>
            </w:r>
            <w:r w:rsidR="009C0211">
              <w:t>ва</w:t>
            </w:r>
            <w:r>
              <w:t xml:space="preserve">нето ѝ със Заповед № </w:t>
            </w:r>
            <w:r w:rsidR="006312B0">
              <w:t>РД-12-</w:t>
            </w:r>
            <w:r w:rsidR="0099344F">
              <w:t>21</w:t>
            </w:r>
            <w:r>
              <w:rPr>
                <w:rStyle w:val="viewinput"/>
                <w:lang w:val="ru-RU"/>
              </w:rPr>
              <w:t xml:space="preserve"> </w:t>
            </w:r>
            <w:r>
              <w:t>/</w:t>
            </w:r>
            <w:r w:rsidR="006312B0">
              <w:t xml:space="preserve"> </w:t>
            </w:r>
            <w:r w:rsidR="0099344F">
              <w:t>09.10.</w:t>
            </w:r>
            <w:r w:rsidR="006312B0">
              <w:t>2018 г.</w:t>
            </w:r>
            <w:r>
              <w:rPr>
                <w:rStyle w:val="viewinput"/>
                <w:lang w:val="ru-RU"/>
              </w:rPr>
              <w:t xml:space="preserve"> </w:t>
            </w:r>
            <w:r>
              <w:t xml:space="preserve">на директора. </w:t>
            </w:r>
          </w:p>
          <w:p w:rsidR="00EE5FF5" w:rsidRDefault="005D7F39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E5FF5" w:rsidRDefault="005D7F39">
            <w:r>
              <w:t xml:space="preserve">Подпис: .............................................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  <w:p w:rsidR="00EE5FF5" w:rsidRDefault="005D7F39">
            <w:r>
              <w:rPr>
                <w:b/>
                <w:bCs/>
              </w:rPr>
              <w:t>Директор</w:t>
            </w:r>
            <w:r>
              <w:t>:</w:t>
            </w:r>
          </w:p>
          <w:p w:rsidR="00EE5FF5" w:rsidRDefault="005D7F39">
            <w:r>
              <w:rPr>
                <w:lang w:val="ru-RU"/>
              </w:rPr>
              <w:t>Росен Милчов Цветанов ......................</w:t>
            </w:r>
          </w:p>
          <w:p w:rsidR="00EE5FF5" w:rsidRDefault="005D7F39">
            <w:r>
              <w:rPr>
                <w:i/>
                <w:iCs/>
                <w:sz w:val="20"/>
                <w:szCs w:val="20"/>
              </w:rPr>
              <w:t>(подпис и печат)</w:t>
            </w:r>
            <w:r>
              <w:t xml:space="preserve"> </w:t>
            </w:r>
          </w:p>
          <w:p w:rsidR="00EE5FF5" w:rsidRDefault="00EE5FF5">
            <w:pPr>
              <w:ind w:left="0" w:right="0"/>
              <w:rPr>
                <w:rFonts w:eastAsia="Times New Roman"/>
              </w:rPr>
            </w:pPr>
          </w:p>
        </w:tc>
      </w:tr>
    </w:tbl>
    <w:p w:rsidR="005D7F39" w:rsidRDefault="005D7F39">
      <w:pPr>
        <w:ind w:left="0" w:right="0"/>
        <w:rPr>
          <w:rFonts w:eastAsia="Times New Roman"/>
        </w:rPr>
      </w:pPr>
    </w:p>
    <w:sectPr w:rsidR="005D7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4D13"/>
    <w:rsid w:val="00002FB1"/>
    <w:rsid w:val="00077B8E"/>
    <w:rsid w:val="005D7F39"/>
    <w:rsid w:val="006312B0"/>
    <w:rsid w:val="0099344F"/>
    <w:rsid w:val="009C0211"/>
    <w:rsid w:val="00AC4D13"/>
    <w:rsid w:val="00E14659"/>
    <w:rsid w:val="00EE5FF5"/>
    <w:rsid w:val="00F9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input">
    <w:name w:val="viewinpu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input">
    <w:name w:val="viewinpu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2000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Инструкция за използване на информационните системи от служителите</vt:lpstr>
    </vt:vector>
  </TitlesOfParts>
  <Company>Microsoft</Company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използване на информационните системи от служителите</dc:title>
  <dc:creator>User</dc:creator>
  <cp:lastModifiedBy>ECvetanova</cp:lastModifiedBy>
  <cp:revision>7</cp:revision>
  <cp:lastPrinted>2018-10-09T07:32:00Z</cp:lastPrinted>
  <dcterms:created xsi:type="dcterms:W3CDTF">2018-09-27T09:37:00Z</dcterms:created>
  <dcterms:modified xsi:type="dcterms:W3CDTF">2018-10-09T08:27:00Z</dcterms:modified>
</cp:coreProperties>
</file>