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E85" w:rsidRPr="002D6500" w:rsidRDefault="002D6500" w:rsidP="00604E85">
      <w:pPr>
        <w:spacing w:before="240" w:after="0" w:line="240" w:lineRule="auto"/>
        <w:jc w:val="center"/>
        <w:rPr>
          <w:b/>
          <w:i/>
          <w:sz w:val="36"/>
          <w:szCs w:val="36"/>
        </w:rPr>
      </w:pPr>
      <w:r>
        <w:rPr>
          <w:rFonts w:eastAsia="Arial"/>
          <w:b/>
          <w:sz w:val="36"/>
        </w:rPr>
        <w:t>RSAI 2</w:t>
      </w:r>
      <w:bookmarkStart w:id="0" w:name="_GoBack"/>
      <w:bookmarkEnd w:id="0"/>
      <w:r>
        <w:rPr>
          <w:rFonts w:eastAsia="Arial"/>
          <w:b/>
          <w:sz w:val="36"/>
        </w:rPr>
        <w:t xml:space="preserve">021 Legislative Priority: </w:t>
      </w:r>
      <w:r>
        <w:rPr>
          <w:rFonts w:eastAsia="Arial"/>
          <w:b/>
          <w:sz w:val="36"/>
        </w:rPr>
        <w:br/>
      </w:r>
      <w:r w:rsidR="007C5484">
        <w:rPr>
          <w:b/>
          <w:sz w:val="36"/>
          <w:szCs w:val="36"/>
        </w:rPr>
        <w:t>Adequate Education Funding</w:t>
      </w:r>
    </w:p>
    <w:p w:rsidR="0084778B" w:rsidRPr="002D6500" w:rsidRDefault="005A4C84" w:rsidP="00B34AC8">
      <w:pPr>
        <w:spacing w:before="240" w:line="240" w:lineRule="auto"/>
        <w:rPr>
          <w:rFonts w:cstheme="minorHAnsi"/>
          <w:sz w:val="24"/>
          <w:szCs w:val="24"/>
        </w:rPr>
      </w:pPr>
      <w:r w:rsidRPr="002D6500">
        <w:rPr>
          <w:rFonts w:cstheme="minorHAnsi"/>
          <w:b/>
          <w:noProof/>
          <w:sz w:val="24"/>
          <w:szCs w:val="24"/>
        </w:rPr>
        <w:drawing>
          <wp:anchor distT="0" distB="0" distL="114300" distR="114300" simplePos="0" relativeHeight="251666432" behindDoc="1" locked="0" layoutInCell="1" allowOverlap="1">
            <wp:simplePos x="0" y="0"/>
            <wp:positionH relativeFrom="column">
              <wp:posOffset>2186940</wp:posOffset>
            </wp:positionH>
            <wp:positionV relativeFrom="paragraph">
              <wp:posOffset>666750</wp:posOffset>
            </wp:positionV>
            <wp:extent cx="4354830" cy="3268345"/>
            <wp:effectExtent l="0" t="0" r="7620" b="8255"/>
            <wp:wrapTight wrapText="bothSides">
              <wp:wrapPolygon edited="0">
                <wp:start x="0" y="0"/>
                <wp:lineTo x="0" y="21529"/>
                <wp:lineTo x="21543" y="21529"/>
                <wp:lineTo x="21543"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r w:rsidR="002D6500">
        <w:rPr>
          <w:rFonts w:cstheme="minorHAnsi"/>
          <w:b/>
          <w:sz w:val="24"/>
          <w:szCs w:val="24"/>
        </w:rPr>
        <w:t>History</w:t>
      </w:r>
      <w:r w:rsidR="002D6500" w:rsidRPr="002D6500">
        <w:rPr>
          <w:rFonts w:cstheme="minorHAnsi"/>
          <w:b/>
          <w:sz w:val="24"/>
          <w:szCs w:val="24"/>
        </w:rPr>
        <w:t>:</w:t>
      </w:r>
      <w:r w:rsidR="002D6500">
        <w:rPr>
          <w:rFonts w:cstheme="minorHAnsi"/>
          <w:sz w:val="24"/>
          <w:szCs w:val="24"/>
        </w:rPr>
        <w:t xml:space="preserve"> </w:t>
      </w:r>
      <w:r w:rsidR="0084778B" w:rsidRPr="002D6500">
        <w:rPr>
          <w:rFonts w:cstheme="minorHAnsi"/>
          <w:sz w:val="24"/>
          <w:szCs w:val="24"/>
        </w:rPr>
        <w:t>There is a cumulative impact to low per</w:t>
      </w:r>
      <w:r w:rsidR="00B33E47">
        <w:rPr>
          <w:rFonts w:cstheme="minorHAnsi"/>
          <w:sz w:val="24"/>
          <w:szCs w:val="24"/>
        </w:rPr>
        <w:t xml:space="preserve"> </w:t>
      </w:r>
      <w:r w:rsidR="0084778B" w:rsidRPr="002D6500">
        <w:rPr>
          <w:rFonts w:cstheme="minorHAnsi"/>
          <w:sz w:val="24"/>
          <w:szCs w:val="24"/>
        </w:rPr>
        <w:t xml:space="preserve">pupil funding increases in Iowa over many years. </w:t>
      </w:r>
      <w:r w:rsidR="0084778B" w:rsidRPr="002D6500">
        <w:rPr>
          <w:rFonts w:cstheme="minorHAnsi"/>
          <w:noProof/>
          <w:sz w:val="24"/>
          <w:szCs w:val="24"/>
        </w:rPr>
        <w:t>This</w:t>
      </w:r>
      <w:r w:rsidR="0084778B" w:rsidRPr="002D6500">
        <w:rPr>
          <w:rFonts w:cstheme="minorHAnsi"/>
          <w:sz w:val="24"/>
          <w:szCs w:val="24"/>
        </w:rPr>
        <w:t xml:space="preserve"> chart shows the historical percentage increase in Iowa’s state cost per pupil, previously called Allowable Growth, now State Supplemental Assistance, since the funding formula began in 1972-73:</w:t>
      </w:r>
    </w:p>
    <w:p w:rsidR="0084778B" w:rsidRPr="002D6500" w:rsidRDefault="0084778B" w:rsidP="0084778B">
      <w:pPr>
        <w:spacing w:line="240" w:lineRule="auto"/>
        <w:rPr>
          <w:rFonts w:cstheme="minorHAnsi"/>
          <w:sz w:val="24"/>
          <w:szCs w:val="24"/>
        </w:rPr>
      </w:pPr>
      <w:r w:rsidRPr="002D6500">
        <w:rPr>
          <w:rFonts w:cstheme="minorHAnsi"/>
          <w:b/>
          <w:sz w:val="24"/>
          <w:szCs w:val="24"/>
        </w:rPr>
        <w:t>Current reality:</w:t>
      </w:r>
      <w:r w:rsidRPr="002D6500">
        <w:rPr>
          <w:rFonts w:cstheme="minorHAnsi"/>
          <w:sz w:val="24"/>
          <w:szCs w:val="24"/>
        </w:rPr>
        <w:t xml:space="preserve"> Annual cost increases have not been enough to pay for staff salaries sufficient to compete with the private sector, employee benefits, </w:t>
      </w:r>
      <w:r w:rsidR="004259B8" w:rsidRPr="002D6500">
        <w:rPr>
          <w:rFonts w:cstheme="minorHAnsi"/>
          <w:sz w:val="24"/>
          <w:szCs w:val="24"/>
        </w:rPr>
        <w:t xml:space="preserve">and all of the other costs of operating schools and meeting student needs. </w:t>
      </w:r>
      <w:r w:rsidRPr="002D6500">
        <w:rPr>
          <w:rFonts w:cstheme="minorHAnsi"/>
          <w:sz w:val="24"/>
          <w:szCs w:val="24"/>
        </w:rPr>
        <w:t xml:space="preserve">Low funding impacts the weightings, or multipliers, assigned to students </w:t>
      </w:r>
      <w:r w:rsidR="00B34AC8" w:rsidRPr="002D6500">
        <w:rPr>
          <w:rFonts w:cstheme="minorHAnsi"/>
          <w:sz w:val="24"/>
          <w:szCs w:val="24"/>
        </w:rPr>
        <w:t>with</w:t>
      </w:r>
      <w:r w:rsidRPr="002D6500">
        <w:rPr>
          <w:rFonts w:cstheme="minorHAnsi"/>
          <w:sz w:val="24"/>
          <w:szCs w:val="24"/>
        </w:rPr>
        <w:t xml:space="preserve"> special education </w:t>
      </w:r>
      <w:r w:rsidR="00B34AC8" w:rsidRPr="002D6500">
        <w:rPr>
          <w:rFonts w:cstheme="minorHAnsi"/>
          <w:sz w:val="24"/>
          <w:szCs w:val="24"/>
        </w:rPr>
        <w:t>needs</w:t>
      </w:r>
      <w:r w:rsidRPr="002D6500">
        <w:rPr>
          <w:rFonts w:cstheme="minorHAnsi"/>
          <w:sz w:val="24"/>
          <w:szCs w:val="24"/>
        </w:rPr>
        <w:t>, English</w:t>
      </w:r>
      <w:r w:rsidR="00B34AC8" w:rsidRPr="002D6500">
        <w:rPr>
          <w:rFonts w:cstheme="minorHAnsi"/>
          <w:sz w:val="24"/>
          <w:szCs w:val="24"/>
        </w:rPr>
        <w:t>-</w:t>
      </w:r>
      <w:r w:rsidRPr="002D6500">
        <w:rPr>
          <w:rFonts w:cstheme="minorHAnsi"/>
          <w:sz w:val="24"/>
          <w:szCs w:val="24"/>
        </w:rPr>
        <w:t>language learner supports, college credit</w:t>
      </w:r>
      <w:r w:rsidR="00B34AC8" w:rsidRPr="002D6500">
        <w:rPr>
          <w:rFonts w:cstheme="minorHAnsi"/>
          <w:sz w:val="24"/>
          <w:szCs w:val="24"/>
        </w:rPr>
        <w:t xml:space="preserve"> courses</w:t>
      </w:r>
      <w:r w:rsidRPr="002D6500">
        <w:rPr>
          <w:rFonts w:cstheme="minorHAnsi"/>
          <w:sz w:val="24"/>
          <w:szCs w:val="24"/>
        </w:rPr>
        <w:t xml:space="preserve"> and preschool.  </w:t>
      </w:r>
    </w:p>
    <w:p w:rsidR="0084778B" w:rsidRPr="002D6500" w:rsidRDefault="0084778B" w:rsidP="0084778B">
      <w:pPr>
        <w:spacing w:line="240" w:lineRule="auto"/>
        <w:rPr>
          <w:rFonts w:cstheme="minorHAnsi"/>
          <w:sz w:val="24"/>
          <w:szCs w:val="24"/>
        </w:rPr>
      </w:pPr>
      <w:r w:rsidRPr="002D6500">
        <w:rPr>
          <w:rFonts w:cstheme="minorHAnsi"/>
          <w:sz w:val="24"/>
          <w:szCs w:val="24"/>
        </w:rPr>
        <w:t xml:space="preserve">The </w:t>
      </w:r>
      <w:r w:rsidR="001B51CE" w:rsidRPr="002D6500">
        <w:rPr>
          <w:rFonts w:cstheme="minorHAnsi"/>
          <w:sz w:val="24"/>
          <w:szCs w:val="24"/>
        </w:rPr>
        <w:t xml:space="preserve">SSA </w:t>
      </w:r>
      <w:r w:rsidRPr="002D6500">
        <w:rPr>
          <w:rFonts w:cstheme="minorHAnsi"/>
          <w:sz w:val="24"/>
          <w:szCs w:val="24"/>
        </w:rPr>
        <w:t>funding percentage is also applied to Teacher Salary</w:t>
      </w:r>
      <w:r w:rsidR="004259B8" w:rsidRPr="002D6500">
        <w:rPr>
          <w:rFonts w:cstheme="minorHAnsi"/>
          <w:sz w:val="24"/>
          <w:szCs w:val="24"/>
        </w:rPr>
        <w:t>,</w:t>
      </w:r>
      <w:r w:rsidRPr="002D6500">
        <w:rPr>
          <w:rFonts w:cstheme="minorHAnsi"/>
          <w:sz w:val="24"/>
          <w:szCs w:val="24"/>
        </w:rPr>
        <w:t xml:space="preserve"> Profe</w:t>
      </w:r>
      <w:r w:rsidR="004259B8" w:rsidRPr="002D6500">
        <w:rPr>
          <w:rFonts w:cstheme="minorHAnsi"/>
          <w:sz w:val="24"/>
          <w:szCs w:val="24"/>
        </w:rPr>
        <w:t xml:space="preserve">ssional Development, </w:t>
      </w:r>
      <w:r w:rsidRPr="002D6500">
        <w:rPr>
          <w:rFonts w:cstheme="minorHAnsi"/>
          <w:sz w:val="24"/>
          <w:szCs w:val="24"/>
        </w:rPr>
        <w:t xml:space="preserve">Teacher Leadership and Compensation (TLC) </w:t>
      </w:r>
      <w:r w:rsidR="00B34AC8" w:rsidRPr="002D6500">
        <w:rPr>
          <w:rFonts w:cstheme="minorHAnsi"/>
          <w:sz w:val="24"/>
          <w:szCs w:val="24"/>
        </w:rPr>
        <w:t>and the n</w:t>
      </w:r>
      <w:r w:rsidR="004259B8" w:rsidRPr="002D6500">
        <w:rPr>
          <w:rFonts w:cstheme="minorHAnsi"/>
          <w:sz w:val="24"/>
          <w:szCs w:val="24"/>
        </w:rPr>
        <w:t>ew Transportation Supplements</w:t>
      </w:r>
      <w:r w:rsidRPr="002D6500">
        <w:rPr>
          <w:rFonts w:cstheme="minorHAnsi"/>
          <w:sz w:val="24"/>
          <w:szCs w:val="24"/>
        </w:rPr>
        <w:t xml:space="preserve">. </w:t>
      </w:r>
      <w:r w:rsidR="004259B8" w:rsidRPr="002D6500">
        <w:rPr>
          <w:rFonts w:cstheme="minorHAnsi"/>
          <w:sz w:val="24"/>
          <w:szCs w:val="24"/>
        </w:rPr>
        <w:t xml:space="preserve">Although the </w:t>
      </w:r>
      <w:r w:rsidR="00B34AC8" w:rsidRPr="002D6500">
        <w:rPr>
          <w:rFonts w:cstheme="minorHAnsi"/>
          <w:sz w:val="24"/>
          <w:szCs w:val="24"/>
        </w:rPr>
        <w:t>t</w:t>
      </w:r>
      <w:r w:rsidR="004259B8" w:rsidRPr="002D6500">
        <w:rPr>
          <w:rFonts w:cstheme="minorHAnsi"/>
          <w:sz w:val="24"/>
          <w:szCs w:val="24"/>
        </w:rPr>
        <w:t>ransportation funds are for any general fund purpose</w:t>
      </w:r>
      <w:r w:rsidR="005A4C84" w:rsidRPr="002D6500">
        <w:rPr>
          <w:rFonts w:cstheme="minorHAnsi"/>
          <w:sz w:val="24"/>
          <w:szCs w:val="24"/>
        </w:rPr>
        <w:t xml:space="preserve"> (considered as reimbursement)</w:t>
      </w:r>
      <w:r w:rsidR="004259B8" w:rsidRPr="002D6500">
        <w:rPr>
          <w:rFonts w:cstheme="minorHAnsi"/>
          <w:sz w:val="24"/>
          <w:szCs w:val="24"/>
        </w:rPr>
        <w:t xml:space="preserve">, other </w:t>
      </w:r>
      <w:r w:rsidR="00B45E2F" w:rsidRPr="002D6500">
        <w:rPr>
          <w:rFonts w:cstheme="minorHAnsi"/>
          <w:sz w:val="24"/>
          <w:szCs w:val="24"/>
        </w:rPr>
        <w:t>categorical funds</w:t>
      </w:r>
      <w:r w:rsidRPr="002D6500">
        <w:rPr>
          <w:rFonts w:cstheme="minorHAnsi"/>
          <w:sz w:val="24"/>
          <w:szCs w:val="24"/>
        </w:rPr>
        <w:t xml:space="preserve"> are regulated for specific purposes.</w:t>
      </w:r>
      <w:r w:rsidR="00205C5F" w:rsidRPr="002D6500">
        <w:rPr>
          <w:rFonts w:cstheme="minorHAnsi"/>
          <w:sz w:val="24"/>
          <w:szCs w:val="24"/>
        </w:rPr>
        <w:t xml:space="preserve"> </w:t>
      </w:r>
      <w:r w:rsidRPr="002D6500">
        <w:rPr>
          <w:rFonts w:cstheme="minorHAnsi"/>
          <w:sz w:val="24"/>
          <w:szCs w:val="24"/>
        </w:rPr>
        <w:t xml:space="preserve">AEA special education and school improvement </w:t>
      </w:r>
      <w:r w:rsidR="00B45E2F" w:rsidRPr="002D6500">
        <w:rPr>
          <w:rFonts w:cstheme="minorHAnsi"/>
          <w:sz w:val="24"/>
          <w:szCs w:val="24"/>
        </w:rPr>
        <w:t>are</w:t>
      </w:r>
      <w:r w:rsidR="00F37DD7" w:rsidRPr="002D6500">
        <w:rPr>
          <w:rFonts w:cstheme="minorHAnsi"/>
          <w:sz w:val="24"/>
          <w:szCs w:val="24"/>
        </w:rPr>
        <w:t xml:space="preserve"> also</w:t>
      </w:r>
      <w:r w:rsidR="00B45E2F" w:rsidRPr="002D6500">
        <w:rPr>
          <w:rFonts w:cstheme="minorHAnsi"/>
          <w:sz w:val="24"/>
          <w:szCs w:val="24"/>
        </w:rPr>
        <w:t xml:space="preserve"> dependent on </w:t>
      </w:r>
      <w:r w:rsidRPr="002D6500">
        <w:rPr>
          <w:rFonts w:cstheme="minorHAnsi"/>
          <w:sz w:val="24"/>
          <w:szCs w:val="24"/>
        </w:rPr>
        <w:t>adequate increase</w:t>
      </w:r>
      <w:r w:rsidR="00B45E2F" w:rsidRPr="002D6500">
        <w:rPr>
          <w:rFonts w:cstheme="minorHAnsi"/>
          <w:sz w:val="24"/>
          <w:szCs w:val="24"/>
        </w:rPr>
        <w:t>s</w:t>
      </w:r>
      <w:r w:rsidRPr="002D6500">
        <w:rPr>
          <w:rFonts w:cstheme="minorHAnsi"/>
          <w:sz w:val="24"/>
          <w:szCs w:val="24"/>
        </w:rPr>
        <w:t xml:space="preserve"> in the per</w:t>
      </w:r>
      <w:r w:rsidR="00B33E47">
        <w:rPr>
          <w:rFonts w:cstheme="minorHAnsi"/>
          <w:sz w:val="24"/>
          <w:szCs w:val="24"/>
        </w:rPr>
        <w:t xml:space="preserve"> </w:t>
      </w:r>
      <w:r w:rsidRPr="002D6500">
        <w:rPr>
          <w:rFonts w:cstheme="minorHAnsi"/>
          <w:sz w:val="24"/>
          <w:szCs w:val="24"/>
        </w:rPr>
        <w:t xml:space="preserve">pupil </w:t>
      </w:r>
      <w:r w:rsidR="00B45E2F" w:rsidRPr="002D6500">
        <w:rPr>
          <w:rFonts w:cstheme="minorHAnsi"/>
          <w:sz w:val="24"/>
          <w:szCs w:val="24"/>
        </w:rPr>
        <w:t>amount</w:t>
      </w:r>
      <w:r w:rsidRPr="002D6500">
        <w:rPr>
          <w:rFonts w:cstheme="minorHAnsi"/>
          <w:sz w:val="24"/>
          <w:szCs w:val="24"/>
        </w:rPr>
        <w:t>. Unfunded mandates</w:t>
      </w:r>
      <w:r w:rsidR="00B45E2F" w:rsidRPr="002D6500">
        <w:rPr>
          <w:rFonts w:cstheme="minorHAnsi"/>
          <w:sz w:val="24"/>
          <w:szCs w:val="24"/>
        </w:rPr>
        <w:t xml:space="preserve">, both state and federal, </w:t>
      </w:r>
      <w:r w:rsidRPr="002D6500">
        <w:rPr>
          <w:rFonts w:cstheme="minorHAnsi"/>
          <w:sz w:val="24"/>
          <w:szCs w:val="24"/>
        </w:rPr>
        <w:t xml:space="preserve">are paid from </w:t>
      </w:r>
      <w:r w:rsidR="00B45E2F" w:rsidRPr="002D6500">
        <w:rPr>
          <w:rFonts w:cstheme="minorHAnsi"/>
          <w:sz w:val="24"/>
          <w:szCs w:val="24"/>
        </w:rPr>
        <w:t>this funding</w:t>
      </w:r>
      <w:r w:rsidR="002D6500">
        <w:rPr>
          <w:rFonts w:cstheme="minorHAnsi"/>
          <w:sz w:val="24"/>
          <w:szCs w:val="24"/>
        </w:rPr>
        <w:t xml:space="preserve">. </w:t>
      </w:r>
      <w:r w:rsidRPr="002D6500">
        <w:rPr>
          <w:rFonts w:cstheme="minorHAnsi"/>
          <w:sz w:val="24"/>
          <w:szCs w:val="24"/>
        </w:rPr>
        <w:t xml:space="preserve">When </w:t>
      </w:r>
      <w:r w:rsidR="004259B8" w:rsidRPr="002D6500">
        <w:rPr>
          <w:rFonts w:cstheme="minorHAnsi"/>
          <w:sz w:val="24"/>
          <w:szCs w:val="24"/>
        </w:rPr>
        <w:t>the costs of doing the business of school</w:t>
      </w:r>
      <w:r w:rsidRPr="002D6500">
        <w:rPr>
          <w:rFonts w:cstheme="minorHAnsi"/>
          <w:sz w:val="24"/>
          <w:szCs w:val="24"/>
        </w:rPr>
        <w:t xml:space="preserve"> increase more than funding, program and staff reductions follow. </w:t>
      </w:r>
      <w:r w:rsidR="004259B8" w:rsidRPr="002D6500">
        <w:rPr>
          <w:rFonts w:cstheme="minorHAnsi"/>
          <w:sz w:val="24"/>
          <w:szCs w:val="24"/>
        </w:rPr>
        <w:t>Declining enrollment requires even further reduction.</w:t>
      </w:r>
    </w:p>
    <w:p w:rsidR="00B45E2F" w:rsidRPr="002D6500" w:rsidRDefault="00B45E2F" w:rsidP="00B45E2F">
      <w:pPr>
        <w:spacing w:line="240" w:lineRule="auto"/>
        <w:rPr>
          <w:rFonts w:cstheme="minorHAnsi"/>
          <w:sz w:val="24"/>
          <w:szCs w:val="24"/>
        </w:rPr>
      </w:pPr>
      <w:r w:rsidRPr="002D6500">
        <w:rPr>
          <w:rFonts w:cstheme="minorHAnsi"/>
          <w:b/>
          <w:sz w:val="24"/>
          <w:szCs w:val="24"/>
        </w:rPr>
        <w:t>COVID-19:</w:t>
      </w:r>
      <w:r w:rsidRPr="002D6500">
        <w:rPr>
          <w:rFonts w:cstheme="minorHAnsi"/>
          <w:sz w:val="24"/>
          <w:szCs w:val="24"/>
        </w:rPr>
        <w:t xml:space="preserve"> The impact of a global pandemic has worsened the “summer slide”, especially for low-income students. The Iowa State Board of Education received FAST assessment data at their Nov. 18 early literacy workshop, showing the average regression in K-3 student achievement this fall at 11% below the ac</w:t>
      </w:r>
      <w:r w:rsidR="002D6500">
        <w:rPr>
          <w:rFonts w:cstheme="minorHAnsi"/>
          <w:sz w:val="24"/>
          <w:szCs w:val="24"/>
        </w:rPr>
        <w:t xml:space="preserve">hievement in the fall of 2019. </w:t>
      </w:r>
      <w:r w:rsidRPr="002D6500">
        <w:rPr>
          <w:rFonts w:cstheme="minorHAnsi"/>
          <w:sz w:val="24"/>
          <w:szCs w:val="24"/>
        </w:rPr>
        <w:t>For low-incom</w:t>
      </w:r>
      <w:r w:rsidR="002D6500">
        <w:rPr>
          <w:rFonts w:cstheme="minorHAnsi"/>
          <w:sz w:val="24"/>
          <w:szCs w:val="24"/>
        </w:rPr>
        <w:t xml:space="preserve">e students, the slide was 12%. </w:t>
      </w:r>
      <w:r w:rsidRPr="002D6500">
        <w:rPr>
          <w:rFonts w:cstheme="minorHAnsi"/>
          <w:sz w:val="24"/>
          <w:szCs w:val="24"/>
        </w:rPr>
        <w:t>Getting students back on track will require additional time and individual attention, both of which</w:t>
      </w:r>
      <w:r w:rsidR="007C5484">
        <w:rPr>
          <w:rFonts w:cstheme="minorHAnsi"/>
          <w:sz w:val="24"/>
          <w:szCs w:val="24"/>
        </w:rPr>
        <w:t xml:space="preserve"> require staff. The need</w:t>
      </w:r>
      <w:r w:rsidRPr="002D6500">
        <w:rPr>
          <w:rFonts w:cstheme="minorHAnsi"/>
          <w:sz w:val="24"/>
          <w:szCs w:val="24"/>
        </w:rPr>
        <w:t xml:space="preserve"> to socially distance and to replace retirees or hire long</w:t>
      </w:r>
      <w:r w:rsidR="007C5484">
        <w:rPr>
          <w:rFonts w:cstheme="minorHAnsi"/>
          <w:sz w:val="24"/>
          <w:szCs w:val="24"/>
        </w:rPr>
        <w:t>-</w:t>
      </w:r>
      <w:r w:rsidRPr="002D6500">
        <w:rPr>
          <w:rFonts w:cstheme="minorHAnsi"/>
          <w:sz w:val="24"/>
          <w:szCs w:val="24"/>
        </w:rPr>
        <w:t>term substitutes to fill in when staff come down with the virus or are in quarantine further s</w:t>
      </w:r>
      <w:r w:rsidR="002D6500">
        <w:rPr>
          <w:rFonts w:cstheme="minorHAnsi"/>
          <w:sz w:val="24"/>
          <w:szCs w:val="24"/>
        </w:rPr>
        <w:t xml:space="preserve">tretch rural school resources. </w:t>
      </w:r>
      <w:r w:rsidRPr="002D6500">
        <w:rPr>
          <w:rFonts w:cstheme="minorHAnsi"/>
          <w:sz w:val="24"/>
          <w:szCs w:val="24"/>
        </w:rPr>
        <w:t xml:space="preserve">Without adequate funds, rural districts cannot pay a competitive wage and attract quality staff to our schools. </w:t>
      </w:r>
    </w:p>
    <w:p w:rsidR="007C5484" w:rsidRDefault="007C5484" w:rsidP="0084778B">
      <w:pPr>
        <w:spacing w:before="120" w:line="240" w:lineRule="auto"/>
        <w:rPr>
          <w:rFonts w:cstheme="minorHAnsi"/>
          <w:b/>
          <w:sz w:val="24"/>
          <w:szCs w:val="24"/>
        </w:rPr>
        <w:sectPr w:rsidR="007C5484" w:rsidSect="002D6500">
          <w:headerReference w:type="default" r:id="rId9"/>
          <w:footerReference w:type="default" r:id="rId10"/>
          <w:pgSz w:w="12240" w:h="15840" w:code="1"/>
          <w:pgMar w:top="1267" w:right="1080" w:bottom="720" w:left="1080" w:header="720" w:footer="504" w:gutter="0"/>
          <w:cols w:space="720"/>
          <w:docGrid w:linePitch="360"/>
        </w:sectPr>
      </w:pPr>
    </w:p>
    <w:p w:rsidR="0084778B" w:rsidRPr="002D6500" w:rsidRDefault="0084778B" w:rsidP="0084778B">
      <w:pPr>
        <w:spacing w:before="120" w:line="240" w:lineRule="auto"/>
        <w:rPr>
          <w:rFonts w:cstheme="minorHAnsi"/>
          <w:sz w:val="24"/>
          <w:szCs w:val="24"/>
        </w:rPr>
      </w:pPr>
      <w:r w:rsidRPr="002D6500">
        <w:rPr>
          <w:rFonts w:cstheme="minorHAnsi"/>
          <w:b/>
          <w:sz w:val="24"/>
          <w:szCs w:val="24"/>
        </w:rPr>
        <w:lastRenderedPageBreak/>
        <w:t>Benchmarks/Economic Measures for Comparison:</w:t>
      </w:r>
      <w:r w:rsidR="002D6500">
        <w:rPr>
          <w:rFonts w:cstheme="minorHAnsi"/>
          <w:sz w:val="24"/>
          <w:szCs w:val="24"/>
        </w:rPr>
        <w:t xml:space="preserve"> </w:t>
      </w:r>
      <w:r w:rsidRPr="002D6500">
        <w:rPr>
          <w:rFonts w:cstheme="minorHAnsi"/>
          <w:sz w:val="24"/>
          <w:szCs w:val="24"/>
        </w:rPr>
        <w:t>When comparing the state cost per pupil to economic benchmarks and other states, Io</w:t>
      </w:r>
      <w:r w:rsidR="002D6500">
        <w:rPr>
          <w:rFonts w:cstheme="minorHAnsi"/>
          <w:sz w:val="24"/>
          <w:szCs w:val="24"/>
        </w:rPr>
        <w:t xml:space="preserve">wa school funding falls short. </w:t>
      </w:r>
      <w:r w:rsidRPr="002D6500">
        <w:rPr>
          <w:rFonts w:cstheme="minorHAnsi"/>
          <w:sz w:val="24"/>
          <w:szCs w:val="24"/>
        </w:rPr>
        <w:t xml:space="preserve">For example: </w:t>
      </w:r>
    </w:p>
    <w:p w:rsidR="0084778B" w:rsidRPr="002D6500" w:rsidRDefault="0084778B" w:rsidP="0084778B">
      <w:pPr>
        <w:pStyle w:val="ListParagraph"/>
        <w:numPr>
          <w:ilvl w:val="0"/>
          <w:numId w:val="7"/>
        </w:numPr>
        <w:spacing w:before="120" w:after="0" w:line="240" w:lineRule="auto"/>
        <w:rPr>
          <w:rFonts w:cstheme="minorHAnsi"/>
          <w:sz w:val="24"/>
          <w:szCs w:val="24"/>
        </w:rPr>
      </w:pPr>
      <w:r w:rsidRPr="002D6500">
        <w:rPr>
          <w:rFonts w:cstheme="minorHAnsi"/>
          <w:sz w:val="24"/>
          <w:szCs w:val="24"/>
        </w:rPr>
        <w:t>The Gross Domestic Product (GDP) for Iowa grew 20% controlling for inflation, 2011 to 2017,</w:t>
      </w:r>
      <w:r w:rsidR="007C5484">
        <w:rPr>
          <w:rFonts w:cstheme="minorHAnsi"/>
          <w:sz w:val="24"/>
          <w:szCs w:val="24"/>
        </w:rPr>
        <w:t xml:space="preserve"> compared to the state cost </w:t>
      </w:r>
      <w:r w:rsidR="00B33E47">
        <w:rPr>
          <w:rFonts w:cstheme="minorHAnsi"/>
          <w:sz w:val="24"/>
          <w:szCs w:val="24"/>
        </w:rPr>
        <w:t>per pupil</w:t>
      </w:r>
      <w:r w:rsidRPr="002D6500">
        <w:rPr>
          <w:rFonts w:cstheme="minorHAnsi"/>
          <w:sz w:val="24"/>
          <w:szCs w:val="24"/>
        </w:rPr>
        <w:t xml:space="preserve"> which grew 14% without controlling for inflation (means the gap is even larger.) </w:t>
      </w:r>
      <w:hyperlink r:id="rId11" w:history="1">
        <w:r w:rsidRPr="002D6500">
          <w:rPr>
            <w:rStyle w:val="Hyperlink"/>
            <w:rFonts w:cstheme="minorHAnsi"/>
            <w:sz w:val="24"/>
            <w:szCs w:val="24"/>
          </w:rPr>
          <w:t>https://</w:t>
        </w:r>
      </w:hyperlink>
      <w:hyperlink r:id="rId12" w:history="1">
        <w:r w:rsidRPr="002D6500">
          <w:rPr>
            <w:rStyle w:val="Hyperlink"/>
            <w:rFonts w:cstheme="minorHAnsi"/>
            <w:sz w:val="24"/>
            <w:szCs w:val="24"/>
          </w:rPr>
          <w:t>www.legis.iowa.gov/docs/publications/FTNO/966760.pdf</w:t>
        </w:r>
      </w:hyperlink>
    </w:p>
    <w:p w:rsidR="0084778B" w:rsidRPr="002D6500" w:rsidRDefault="0084778B" w:rsidP="0084778B">
      <w:pPr>
        <w:pStyle w:val="ListParagraph"/>
        <w:numPr>
          <w:ilvl w:val="0"/>
          <w:numId w:val="7"/>
        </w:numPr>
        <w:spacing w:before="120" w:after="0" w:line="240" w:lineRule="auto"/>
        <w:rPr>
          <w:rFonts w:cstheme="minorHAnsi"/>
          <w:sz w:val="24"/>
          <w:szCs w:val="24"/>
        </w:rPr>
      </w:pPr>
      <w:r w:rsidRPr="002D6500">
        <w:rPr>
          <w:rFonts w:cstheme="minorHAnsi"/>
          <w:sz w:val="24"/>
          <w:szCs w:val="24"/>
        </w:rPr>
        <w:t>Expressing the state cost per pupil as a percentage of one billion</w:t>
      </w:r>
      <w:r w:rsidR="002D6500">
        <w:rPr>
          <w:rFonts w:cstheme="minorHAnsi"/>
          <w:sz w:val="24"/>
          <w:szCs w:val="24"/>
        </w:rPr>
        <w:t xml:space="preserve"> GDP shows a disturbing trend. </w:t>
      </w:r>
      <w:r w:rsidRPr="002D6500">
        <w:rPr>
          <w:rFonts w:cstheme="minorHAnsi"/>
          <w:sz w:val="24"/>
          <w:szCs w:val="24"/>
        </w:rPr>
        <w:t>In the 1990s, the SCPP ranged bet</w:t>
      </w:r>
      <w:r w:rsidR="002D6500">
        <w:rPr>
          <w:rFonts w:cstheme="minorHAnsi"/>
          <w:sz w:val="24"/>
          <w:szCs w:val="24"/>
        </w:rPr>
        <w:t>ween 52-44% of one billion GDP.</w:t>
      </w:r>
      <w:r w:rsidRPr="002D6500">
        <w:rPr>
          <w:rFonts w:cstheme="minorHAnsi"/>
          <w:sz w:val="24"/>
          <w:szCs w:val="24"/>
        </w:rPr>
        <w:t xml:space="preserve"> In the 2000s, the SCPP ranged from 45-37% of one billion GDP. Since 2010, the SCPP has ranged from 37-34% of one billion GDP</w:t>
      </w:r>
      <w:r w:rsidR="004259B8" w:rsidRPr="002D6500">
        <w:rPr>
          <w:rFonts w:cstheme="minorHAnsi"/>
          <w:sz w:val="24"/>
          <w:szCs w:val="24"/>
        </w:rPr>
        <w:t>;</w:t>
      </w:r>
      <w:r w:rsidRPr="002D6500">
        <w:rPr>
          <w:rFonts w:cstheme="minorHAnsi"/>
          <w:sz w:val="24"/>
          <w:szCs w:val="24"/>
        </w:rPr>
        <w:t xml:space="preserve"> the last </w:t>
      </w:r>
      <w:r w:rsidR="007C5484">
        <w:rPr>
          <w:rFonts w:cstheme="minorHAnsi"/>
          <w:sz w:val="24"/>
          <w:szCs w:val="24"/>
        </w:rPr>
        <w:t>four</w:t>
      </w:r>
      <w:r w:rsidRPr="002D6500">
        <w:rPr>
          <w:rFonts w:cstheme="minorHAnsi"/>
          <w:sz w:val="24"/>
          <w:szCs w:val="24"/>
        </w:rPr>
        <w:t xml:space="preserve"> years show the lowest comparison in the formula’s history. </w:t>
      </w:r>
    </w:p>
    <w:p w:rsidR="0084778B" w:rsidRPr="002D6500" w:rsidRDefault="0084778B" w:rsidP="0084778B">
      <w:pPr>
        <w:pStyle w:val="ListParagraph"/>
        <w:numPr>
          <w:ilvl w:val="0"/>
          <w:numId w:val="7"/>
        </w:numPr>
        <w:spacing w:before="120" w:after="0" w:line="240" w:lineRule="auto"/>
        <w:rPr>
          <w:rFonts w:cstheme="minorHAnsi"/>
          <w:sz w:val="24"/>
          <w:szCs w:val="24"/>
        </w:rPr>
      </w:pPr>
      <w:r w:rsidRPr="002D6500">
        <w:rPr>
          <w:rFonts w:cstheme="minorHAnsi"/>
          <w:sz w:val="24"/>
          <w:szCs w:val="24"/>
        </w:rPr>
        <w:t xml:space="preserve">Iowa Per Capita Personal Income increased </w:t>
      </w:r>
      <w:r w:rsidR="00F30B34" w:rsidRPr="002D6500">
        <w:rPr>
          <w:rFonts w:cstheme="minorHAnsi"/>
          <w:sz w:val="24"/>
          <w:szCs w:val="24"/>
        </w:rPr>
        <w:t>31.5</w:t>
      </w:r>
      <w:r w:rsidRPr="002D6500">
        <w:rPr>
          <w:rFonts w:cstheme="minorHAnsi"/>
          <w:sz w:val="24"/>
          <w:szCs w:val="24"/>
        </w:rPr>
        <w:t>%, 2010-201</w:t>
      </w:r>
      <w:r w:rsidR="00F30B34" w:rsidRPr="002D6500">
        <w:rPr>
          <w:rFonts w:cstheme="minorHAnsi"/>
          <w:sz w:val="24"/>
          <w:szCs w:val="24"/>
        </w:rPr>
        <w:t>8</w:t>
      </w:r>
      <w:r w:rsidRPr="002D6500">
        <w:rPr>
          <w:rFonts w:cstheme="minorHAnsi"/>
          <w:sz w:val="24"/>
          <w:szCs w:val="24"/>
        </w:rPr>
        <w:t xml:space="preserve"> </w:t>
      </w:r>
      <w:hyperlink r:id="rId13" w:history="1">
        <w:r w:rsidRPr="002D6500">
          <w:rPr>
            <w:rStyle w:val="Hyperlink"/>
            <w:rFonts w:cstheme="minorHAnsi"/>
            <w:sz w:val="24"/>
            <w:szCs w:val="24"/>
          </w:rPr>
          <w:t>https://</w:t>
        </w:r>
      </w:hyperlink>
      <w:hyperlink r:id="rId14" w:history="1">
        <w:r w:rsidRPr="002D6500">
          <w:rPr>
            <w:rStyle w:val="Hyperlink"/>
            <w:rFonts w:cstheme="minorHAnsi"/>
            <w:sz w:val="24"/>
            <w:szCs w:val="24"/>
          </w:rPr>
          <w:t>fred.stlouisfed.org</w:t>
        </w:r>
      </w:hyperlink>
      <w:r w:rsidRPr="002D6500">
        <w:rPr>
          <w:rFonts w:cstheme="minorHAnsi"/>
          <w:sz w:val="24"/>
          <w:szCs w:val="24"/>
        </w:rPr>
        <w:t xml:space="preserve"> </w:t>
      </w:r>
    </w:p>
    <w:p w:rsidR="0084778B" w:rsidRPr="002D6500" w:rsidRDefault="00F30B34" w:rsidP="009A1445">
      <w:pPr>
        <w:pStyle w:val="ListParagraph"/>
        <w:numPr>
          <w:ilvl w:val="0"/>
          <w:numId w:val="7"/>
        </w:numPr>
        <w:shd w:val="clear" w:color="auto" w:fill="FFFFFF"/>
        <w:spacing w:before="120" w:after="0" w:line="240" w:lineRule="auto"/>
        <w:textAlignment w:val="baseline"/>
        <w:outlineLvl w:val="1"/>
        <w:rPr>
          <w:rFonts w:cstheme="minorHAnsi"/>
          <w:sz w:val="24"/>
          <w:szCs w:val="24"/>
        </w:rPr>
      </w:pPr>
      <w:r w:rsidRPr="002D6500">
        <w:rPr>
          <w:rFonts w:cstheme="minorHAnsi"/>
          <w:sz w:val="24"/>
          <w:szCs w:val="24"/>
        </w:rPr>
        <w:t>Historical Real Median Family Income for Iowa (controlling for inflation)</w:t>
      </w:r>
      <w:r w:rsidR="0084778B" w:rsidRPr="002D6500">
        <w:rPr>
          <w:rFonts w:cstheme="minorHAnsi"/>
          <w:sz w:val="24"/>
          <w:szCs w:val="24"/>
        </w:rPr>
        <w:t xml:space="preserve"> increased by $</w:t>
      </w:r>
      <w:r w:rsidRPr="002D6500">
        <w:rPr>
          <w:rFonts w:cstheme="minorHAnsi"/>
          <w:sz w:val="24"/>
          <w:szCs w:val="24"/>
        </w:rPr>
        <w:t>6,440</w:t>
      </w:r>
      <w:r w:rsidR="0084778B" w:rsidRPr="002D6500">
        <w:rPr>
          <w:rFonts w:cstheme="minorHAnsi"/>
          <w:sz w:val="24"/>
          <w:szCs w:val="24"/>
        </w:rPr>
        <w:t xml:space="preserve"> or </w:t>
      </w:r>
      <w:r w:rsidRPr="002D6500">
        <w:rPr>
          <w:rFonts w:cstheme="minorHAnsi"/>
          <w:sz w:val="24"/>
          <w:szCs w:val="24"/>
        </w:rPr>
        <w:t>9.8</w:t>
      </w:r>
      <w:r w:rsidR="0084778B" w:rsidRPr="002D6500">
        <w:rPr>
          <w:rFonts w:cstheme="minorHAnsi"/>
          <w:sz w:val="24"/>
          <w:szCs w:val="24"/>
        </w:rPr>
        <w:t>%, 2010-201</w:t>
      </w:r>
      <w:r w:rsidRPr="002D6500">
        <w:rPr>
          <w:rFonts w:cstheme="minorHAnsi"/>
          <w:sz w:val="24"/>
          <w:szCs w:val="24"/>
        </w:rPr>
        <w:t>7</w:t>
      </w:r>
      <w:r w:rsidR="0084778B" w:rsidRPr="002D6500">
        <w:rPr>
          <w:rFonts w:cstheme="minorHAnsi"/>
          <w:sz w:val="24"/>
          <w:szCs w:val="24"/>
        </w:rPr>
        <w:t xml:space="preserve">. </w:t>
      </w:r>
      <w:hyperlink r:id="rId15" w:history="1">
        <w:r w:rsidR="0084778B" w:rsidRPr="002D6500">
          <w:rPr>
            <w:rStyle w:val="Hyperlink"/>
            <w:rFonts w:cstheme="minorHAnsi"/>
            <w:sz w:val="24"/>
            <w:szCs w:val="24"/>
          </w:rPr>
          <w:t>https://www.deptofnumbers.com/income/iowa/</w:t>
        </w:r>
      </w:hyperlink>
      <w:r w:rsidR="0084778B" w:rsidRPr="002D6500">
        <w:rPr>
          <w:rFonts w:cstheme="minorHAnsi"/>
          <w:sz w:val="24"/>
          <w:szCs w:val="24"/>
        </w:rPr>
        <w:t xml:space="preserve">  </w:t>
      </w:r>
    </w:p>
    <w:p w:rsidR="000E7BE7" w:rsidRPr="002D6500" w:rsidRDefault="000E7BE7" w:rsidP="00F30B34">
      <w:pPr>
        <w:autoSpaceDE w:val="0"/>
        <w:autoSpaceDN w:val="0"/>
        <w:adjustRightInd w:val="0"/>
        <w:spacing w:after="0" w:line="240" w:lineRule="auto"/>
        <w:rPr>
          <w:rFonts w:cstheme="minorHAnsi"/>
          <w:b/>
          <w:sz w:val="24"/>
          <w:szCs w:val="24"/>
        </w:rPr>
      </w:pPr>
    </w:p>
    <w:p w:rsidR="0084778B" w:rsidRPr="002D6500" w:rsidRDefault="0084778B" w:rsidP="0084778B">
      <w:pPr>
        <w:spacing w:before="120"/>
        <w:rPr>
          <w:rFonts w:cstheme="minorHAnsi"/>
          <w:sz w:val="24"/>
          <w:szCs w:val="24"/>
        </w:rPr>
      </w:pPr>
      <w:r w:rsidRPr="002D6500">
        <w:rPr>
          <w:rFonts w:cstheme="minorHAnsi"/>
          <w:b/>
          <w:iCs/>
          <w:sz w:val="24"/>
          <w:szCs w:val="24"/>
        </w:rPr>
        <w:t>Other State Comparisons:</w:t>
      </w:r>
      <w:r w:rsidRPr="002D6500">
        <w:rPr>
          <w:rFonts w:cstheme="minorHAnsi"/>
          <w:iCs/>
          <w:sz w:val="24"/>
          <w:szCs w:val="24"/>
        </w:rPr>
        <w:t xml:space="preserve"> First, from 201</w:t>
      </w:r>
      <w:r w:rsidR="005A4C84" w:rsidRPr="002D6500">
        <w:rPr>
          <w:rFonts w:cstheme="minorHAnsi"/>
          <w:iCs/>
          <w:sz w:val="24"/>
          <w:szCs w:val="24"/>
        </w:rPr>
        <w:t>8</w:t>
      </w:r>
      <w:r w:rsidRPr="002D6500">
        <w:rPr>
          <w:rFonts w:cstheme="minorHAnsi"/>
          <w:iCs/>
          <w:sz w:val="24"/>
          <w:szCs w:val="24"/>
        </w:rPr>
        <w:t xml:space="preserve"> US Census data updated May 20</w:t>
      </w:r>
      <w:r w:rsidR="005A4C84" w:rsidRPr="002D6500">
        <w:rPr>
          <w:rFonts w:cstheme="minorHAnsi"/>
          <w:iCs/>
          <w:sz w:val="24"/>
          <w:szCs w:val="24"/>
        </w:rPr>
        <w:t>20</w:t>
      </w:r>
      <w:r w:rsidRPr="002D6500">
        <w:rPr>
          <w:rFonts w:cstheme="minorHAnsi"/>
          <w:iCs/>
          <w:sz w:val="24"/>
          <w:szCs w:val="24"/>
        </w:rPr>
        <w:t xml:space="preserve"> </w:t>
      </w:r>
      <w:hyperlink r:id="rId16" w:history="1">
        <w:r w:rsidR="005A4C84" w:rsidRPr="002D6500">
          <w:rPr>
            <w:rStyle w:val="Hyperlink"/>
            <w:rFonts w:cstheme="minorHAnsi"/>
            <w:sz w:val="24"/>
            <w:szCs w:val="24"/>
          </w:rPr>
          <w:t>https://www.census.gov/data/tables/2018/econ/school-finances/secondary-education-finance.html</w:t>
        </w:r>
      </w:hyperlink>
      <w:r w:rsidR="005A4C84" w:rsidRPr="002D6500">
        <w:rPr>
          <w:rFonts w:cstheme="minorHAnsi"/>
          <w:sz w:val="24"/>
          <w:szCs w:val="24"/>
        </w:rPr>
        <w:t xml:space="preserve"> </w:t>
      </w:r>
    </w:p>
    <w:p w:rsidR="0084778B" w:rsidRPr="002D6500" w:rsidRDefault="0084778B" w:rsidP="0084778B">
      <w:pPr>
        <w:pStyle w:val="ListParagraph"/>
        <w:numPr>
          <w:ilvl w:val="0"/>
          <w:numId w:val="8"/>
        </w:numPr>
        <w:spacing w:before="120" w:after="0" w:line="240" w:lineRule="auto"/>
        <w:rPr>
          <w:rFonts w:cstheme="minorHAnsi"/>
          <w:sz w:val="24"/>
          <w:szCs w:val="24"/>
        </w:rPr>
      </w:pPr>
      <w:r w:rsidRPr="002D6500">
        <w:rPr>
          <w:rFonts w:cstheme="minorHAnsi"/>
          <w:sz w:val="24"/>
          <w:szCs w:val="24"/>
        </w:rPr>
        <w:t>Iowa ranks 2</w:t>
      </w:r>
      <w:r w:rsidR="008549F5" w:rsidRPr="002D6500">
        <w:rPr>
          <w:rFonts w:cstheme="minorHAnsi"/>
          <w:sz w:val="24"/>
          <w:szCs w:val="24"/>
        </w:rPr>
        <w:t>6</w:t>
      </w:r>
      <w:r w:rsidRPr="002D6500">
        <w:rPr>
          <w:rFonts w:cstheme="minorHAnsi"/>
          <w:sz w:val="24"/>
          <w:szCs w:val="24"/>
          <w:vertAlign w:val="superscript"/>
        </w:rPr>
        <w:t>th</w:t>
      </w:r>
      <w:r w:rsidRPr="002D6500">
        <w:rPr>
          <w:rFonts w:cstheme="minorHAnsi"/>
          <w:sz w:val="24"/>
          <w:szCs w:val="24"/>
        </w:rPr>
        <w:t xml:space="preserve"> in </w:t>
      </w:r>
      <w:r w:rsidR="00B33E47">
        <w:rPr>
          <w:rFonts w:cstheme="minorHAnsi"/>
          <w:sz w:val="24"/>
          <w:szCs w:val="24"/>
        </w:rPr>
        <w:t>per pupil</w:t>
      </w:r>
      <w:r w:rsidRPr="002D6500">
        <w:rPr>
          <w:rFonts w:cstheme="minorHAnsi"/>
          <w:sz w:val="24"/>
          <w:szCs w:val="24"/>
        </w:rPr>
        <w:t xml:space="preserve"> public elementary and secondary school system revenue, which is $</w:t>
      </w:r>
      <w:r w:rsidR="008549F5" w:rsidRPr="002D6500">
        <w:rPr>
          <w:rFonts w:cstheme="minorHAnsi"/>
          <w:sz w:val="24"/>
          <w:szCs w:val="24"/>
        </w:rPr>
        <w:t>1,096</w:t>
      </w:r>
      <w:r w:rsidRPr="002D6500">
        <w:rPr>
          <w:rFonts w:cstheme="minorHAnsi"/>
          <w:sz w:val="24"/>
          <w:szCs w:val="24"/>
        </w:rPr>
        <w:t xml:space="preserve"> below the national average. </w:t>
      </w:r>
    </w:p>
    <w:p w:rsidR="0084778B" w:rsidRPr="002D6500" w:rsidRDefault="0084778B" w:rsidP="0084778B">
      <w:pPr>
        <w:pStyle w:val="ListParagraph"/>
        <w:numPr>
          <w:ilvl w:val="0"/>
          <w:numId w:val="8"/>
        </w:numPr>
        <w:spacing w:before="120" w:after="0" w:line="240" w:lineRule="auto"/>
        <w:rPr>
          <w:rFonts w:cstheme="minorHAnsi"/>
          <w:sz w:val="24"/>
          <w:szCs w:val="24"/>
        </w:rPr>
      </w:pPr>
      <w:r w:rsidRPr="002D6500">
        <w:rPr>
          <w:rFonts w:cstheme="minorHAnsi"/>
          <w:sz w:val="24"/>
          <w:szCs w:val="24"/>
        </w:rPr>
        <w:t>Iowa ranks 2</w:t>
      </w:r>
      <w:r w:rsidR="00B34AC8" w:rsidRPr="002D6500">
        <w:rPr>
          <w:rFonts w:cstheme="minorHAnsi"/>
          <w:sz w:val="24"/>
          <w:szCs w:val="24"/>
        </w:rPr>
        <w:t>2</w:t>
      </w:r>
      <w:r w:rsidR="00B34AC8" w:rsidRPr="002D6500">
        <w:rPr>
          <w:rFonts w:cstheme="minorHAnsi"/>
          <w:sz w:val="24"/>
          <w:szCs w:val="24"/>
          <w:vertAlign w:val="superscript"/>
        </w:rPr>
        <w:t>nd</w:t>
      </w:r>
      <w:r w:rsidR="00B34AC8" w:rsidRPr="002D6500">
        <w:rPr>
          <w:rFonts w:cstheme="minorHAnsi"/>
          <w:sz w:val="24"/>
          <w:szCs w:val="24"/>
        </w:rPr>
        <w:t xml:space="preserve"> </w:t>
      </w:r>
      <w:r w:rsidRPr="002D6500">
        <w:rPr>
          <w:rFonts w:cstheme="minorHAnsi"/>
          <w:sz w:val="24"/>
          <w:szCs w:val="24"/>
        </w:rPr>
        <w:t xml:space="preserve">in state sources of revenue, </w:t>
      </w:r>
      <w:r w:rsidR="009A1445" w:rsidRPr="002D6500">
        <w:rPr>
          <w:rFonts w:cstheme="minorHAnsi"/>
          <w:sz w:val="24"/>
          <w:szCs w:val="24"/>
        </w:rPr>
        <w:t>(53.2% of total funding from state sources, compared to 46.7% USA average.) This is</w:t>
      </w:r>
      <w:r w:rsidRPr="002D6500">
        <w:rPr>
          <w:rFonts w:cstheme="minorHAnsi"/>
          <w:sz w:val="24"/>
          <w:szCs w:val="24"/>
        </w:rPr>
        <w:t xml:space="preserve"> $</w:t>
      </w:r>
      <w:r w:rsidR="008549F5" w:rsidRPr="002D6500">
        <w:rPr>
          <w:rFonts w:cstheme="minorHAnsi"/>
          <w:sz w:val="24"/>
          <w:szCs w:val="24"/>
        </w:rPr>
        <w:t>3</w:t>
      </w:r>
      <w:r w:rsidR="00B34AC8" w:rsidRPr="002D6500">
        <w:rPr>
          <w:rFonts w:cstheme="minorHAnsi"/>
          <w:sz w:val="24"/>
          <w:szCs w:val="24"/>
        </w:rPr>
        <w:t>95</w:t>
      </w:r>
      <w:r w:rsidRPr="002D6500">
        <w:rPr>
          <w:rFonts w:cstheme="minorHAnsi"/>
          <w:sz w:val="24"/>
          <w:szCs w:val="24"/>
        </w:rPr>
        <w:t xml:space="preserve"> higher per p</w:t>
      </w:r>
      <w:r w:rsidR="008549F5" w:rsidRPr="002D6500">
        <w:rPr>
          <w:rFonts w:cstheme="minorHAnsi"/>
          <w:sz w:val="24"/>
          <w:szCs w:val="24"/>
        </w:rPr>
        <w:t xml:space="preserve">upil than the national average, however </w:t>
      </w:r>
      <w:r w:rsidRPr="002D6500">
        <w:rPr>
          <w:rFonts w:cstheme="minorHAnsi"/>
          <w:sz w:val="24"/>
          <w:szCs w:val="24"/>
        </w:rPr>
        <w:t xml:space="preserve">Iowa’s local taxpayers contribute </w:t>
      </w:r>
      <w:r w:rsidR="00B34AC8" w:rsidRPr="002D6500">
        <w:rPr>
          <w:rFonts w:cstheme="minorHAnsi"/>
          <w:sz w:val="24"/>
          <w:szCs w:val="24"/>
        </w:rPr>
        <w:t>$</w:t>
      </w:r>
      <w:r w:rsidR="008549F5" w:rsidRPr="002D6500">
        <w:rPr>
          <w:rFonts w:cstheme="minorHAnsi"/>
          <w:sz w:val="24"/>
          <w:szCs w:val="24"/>
        </w:rPr>
        <w:t>1,284</w:t>
      </w:r>
      <w:r w:rsidR="00B34AC8" w:rsidRPr="002D6500">
        <w:rPr>
          <w:rFonts w:cstheme="minorHAnsi"/>
          <w:sz w:val="24"/>
          <w:szCs w:val="24"/>
        </w:rPr>
        <w:t xml:space="preserve"> per pupil less than</w:t>
      </w:r>
      <w:r w:rsidRPr="002D6500">
        <w:rPr>
          <w:rFonts w:cstheme="minorHAnsi"/>
          <w:sz w:val="24"/>
          <w:szCs w:val="24"/>
        </w:rPr>
        <w:t xml:space="preserve"> </w:t>
      </w:r>
      <w:r w:rsidR="008549F5" w:rsidRPr="002D6500">
        <w:rPr>
          <w:rFonts w:cstheme="minorHAnsi"/>
          <w:sz w:val="24"/>
          <w:szCs w:val="24"/>
        </w:rPr>
        <w:t>the USA average</w:t>
      </w:r>
      <w:r w:rsidRPr="002D6500">
        <w:rPr>
          <w:rFonts w:cstheme="minorHAnsi"/>
          <w:sz w:val="24"/>
          <w:szCs w:val="24"/>
        </w:rPr>
        <w:t>.</w:t>
      </w:r>
      <w:r w:rsidR="008549F5" w:rsidRPr="002D6500">
        <w:rPr>
          <w:rFonts w:cstheme="minorHAnsi"/>
          <w:sz w:val="24"/>
          <w:szCs w:val="24"/>
        </w:rPr>
        <w:t xml:space="preserve"> Iowa receives $178 per pupil less than the USA average in federal funding per pupil. </w:t>
      </w:r>
    </w:p>
    <w:p w:rsidR="0084778B" w:rsidRPr="002D6500" w:rsidRDefault="00B34AC8" w:rsidP="0084778B">
      <w:pPr>
        <w:pStyle w:val="ListParagraph"/>
        <w:numPr>
          <w:ilvl w:val="0"/>
          <w:numId w:val="8"/>
        </w:numPr>
        <w:spacing w:before="120" w:after="0" w:line="240" w:lineRule="auto"/>
        <w:rPr>
          <w:rFonts w:cstheme="minorHAnsi"/>
          <w:sz w:val="24"/>
          <w:szCs w:val="24"/>
        </w:rPr>
      </w:pPr>
      <w:r w:rsidRPr="002D6500">
        <w:rPr>
          <w:rFonts w:cstheme="minorHAnsi"/>
          <w:sz w:val="24"/>
          <w:szCs w:val="24"/>
        </w:rPr>
        <w:t xml:space="preserve">Although Iowa </w:t>
      </w:r>
      <w:r w:rsidR="00B33E47">
        <w:rPr>
          <w:rFonts w:cstheme="minorHAnsi"/>
          <w:sz w:val="24"/>
          <w:szCs w:val="24"/>
        </w:rPr>
        <w:t>per pupil</w:t>
      </w:r>
      <w:r w:rsidRPr="002D6500">
        <w:rPr>
          <w:rFonts w:cstheme="minorHAnsi"/>
          <w:sz w:val="24"/>
          <w:szCs w:val="24"/>
        </w:rPr>
        <w:t xml:space="preserve"> spending on Salaries for Instruction is $1</w:t>
      </w:r>
      <w:r w:rsidR="009A1445" w:rsidRPr="002D6500">
        <w:rPr>
          <w:rFonts w:cstheme="minorHAnsi"/>
          <w:sz w:val="24"/>
          <w:szCs w:val="24"/>
        </w:rPr>
        <w:t>26</w:t>
      </w:r>
      <w:r w:rsidRPr="002D6500">
        <w:rPr>
          <w:rFonts w:cstheme="minorHAnsi"/>
          <w:sz w:val="24"/>
          <w:szCs w:val="24"/>
        </w:rPr>
        <w:t xml:space="preserve"> above the national average, </w:t>
      </w:r>
      <w:r w:rsidR="0084778B" w:rsidRPr="002D6500">
        <w:rPr>
          <w:rFonts w:cstheme="minorHAnsi"/>
          <w:sz w:val="24"/>
          <w:szCs w:val="24"/>
        </w:rPr>
        <w:t xml:space="preserve">Iowa </w:t>
      </w:r>
      <w:r w:rsidR="00B33E47">
        <w:rPr>
          <w:rFonts w:cstheme="minorHAnsi"/>
          <w:sz w:val="24"/>
          <w:szCs w:val="24"/>
        </w:rPr>
        <w:t>per pupil</w:t>
      </w:r>
      <w:r w:rsidR="0084778B" w:rsidRPr="002D6500">
        <w:rPr>
          <w:rFonts w:cstheme="minorHAnsi"/>
          <w:sz w:val="24"/>
          <w:szCs w:val="24"/>
        </w:rPr>
        <w:t xml:space="preserve"> spending on employee benefits (pension and health insurance, etc.) is $</w:t>
      </w:r>
      <w:r w:rsidRPr="002D6500">
        <w:rPr>
          <w:rFonts w:cstheme="minorHAnsi"/>
          <w:sz w:val="24"/>
          <w:szCs w:val="24"/>
        </w:rPr>
        <w:t>4</w:t>
      </w:r>
      <w:r w:rsidR="009A1445" w:rsidRPr="002D6500">
        <w:rPr>
          <w:rFonts w:cstheme="minorHAnsi"/>
          <w:sz w:val="24"/>
          <w:szCs w:val="24"/>
        </w:rPr>
        <w:t>6</w:t>
      </w:r>
      <w:r w:rsidRPr="002D6500">
        <w:rPr>
          <w:rFonts w:cstheme="minorHAnsi"/>
          <w:sz w:val="24"/>
          <w:szCs w:val="24"/>
        </w:rPr>
        <w:t>0</w:t>
      </w:r>
      <w:r w:rsidR="0084778B" w:rsidRPr="002D6500">
        <w:rPr>
          <w:rFonts w:cstheme="minorHAnsi"/>
          <w:sz w:val="24"/>
          <w:szCs w:val="24"/>
        </w:rPr>
        <w:t xml:space="preserve"> per pup</w:t>
      </w:r>
      <w:r w:rsidRPr="002D6500">
        <w:rPr>
          <w:rFonts w:cstheme="minorHAnsi"/>
          <w:sz w:val="24"/>
          <w:szCs w:val="24"/>
        </w:rPr>
        <w:t>il below the national average</w:t>
      </w:r>
      <w:r w:rsidR="009A1445" w:rsidRPr="002D6500">
        <w:rPr>
          <w:rFonts w:cstheme="minorHAnsi"/>
          <w:sz w:val="24"/>
          <w:szCs w:val="24"/>
        </w:rPr>
        <w:t>, leaving</w:t>
      </w:r>
      <w:r w:rsidRPr="002D6500">
        <w:rPr>
          <w:rFonts w:cstheme="minorHAnsi"/>
          <w:sz w:val="24"/>
          <w:szCs w:val="24"/>
        </w:rPr>
        <w:t xml:space="preserve"> Iowa’s total instructional spending </w:t>
      </w:r>
      <w:r w:rsidR="009A1445" w:rsidRPr="002D6500">
        <w:rPr>
          <w:rFonts w:cstheme="minorHAnsi"/>
          <w:sz w:val="24"/>
          <w:szCs w:val="24"/>
        </w:rPr>
        <w:t>at</w:t>
      </w:r>
      <w:r w:rsidRPr="002D6500">
        <w:rPr>
          <w:rFonts w:cstheme="minorHAnsi"/>
          <w:sz w:val="24"/>
          <w:szCs w:val="24"/>
        </w:rPr>
        <w:t xml:space="preserve"> $</w:t>
      </w:r>
      <w:r w:rsidR="009A1445" w:rsidRPr="002D6500">
        <w:rPr>
          <w:rFonts w:cstheme="minorHAnsi"/>
          <w:sz w:val="24"/>
          <w:szCs w:val="24"/>
        </w:rPr>
        <w:t>199</w:t>
      </w:r>
      <w:r w:rsidRPr="002D6500">
        <w:rPr>
          <w:rFonts w:cstheme="minorHAnsi"/>
          <w:sz w:val="24"/>
          <w:szCs w:val="24"/>
        </w:rPr>
        <w:t xml:space="preserve"> below the national average. Iowa </w:t>
      </w:r>
      <w:r w:rsidR="00B33E47">
        <w:rPr>
          <w:rFonts w:cstheme="minorHAnsi"/>
          <w:sz w:val="24"/>
          <w:szCs w:val="24"/>
        </w:rPr>
        <w:t>per pupil</w:t>
      </w:r>
      <w:r w:rsidRPr="002D6500">
        <w:rPr>
          <w:rFonts w:cstheme="minorHAnsi"/>
          <w:sz w:val="24"/>
          <w:szCs w:val="24"/>
        </w:rPr>
        <w:t xml:space="preserve"> spending on School Administration is $</w:t>
      </w:r>
      <w:r w:rsidR="009A1445" w:rsidRPr="002D6500">
        <w:rPr>
          <w:rFonts w:cstheme="minorHAnsi"/>
          <w:sz w:val="24"/>
          <w:szCs w:val="24"/>
        </w:rPr>
        <w:t>42</w:t>
      </w:r>
      <w:r w:rsidRPr="002D6500">
        <w:rPr>
          <w:rFonts w:cstheme="minorHAnsi"/>
          <w:sz w:val="24"/>
          <w:szCs w:val="24"/>
        </w:rPr>
        <w:t xml:space="preserve"> below the national average.</w:t>
      </w:r>
    </w:p>
    <w:p w:rsidR="0084778B" w:rsidRPr="002D6500" w:rsidRDefault="00A731FE" w:rsidP="001F7227">
      <w:pPr>
        <w:spacing w:before="120" w:line="240" w:lineRule="auto"/>
        <w:rPr>
          <w:rFonts w:cstheme="minorHAnsi"/>
          <w:sz w:val="24"/>
          <w:szCs w:val="24"/>
        </w:rPr>
      </w:pPr>
      <w:r w:rsidRPr="002D6500">
        <w:rPr>
          <w:rFonts w:cstheme="minorHAnsi"/>
          <w:noProof/>
          <w:sz w:val="24"/>
          <w:szCs w:val="24"/>
        </w:rPr>
        <w:drawing>
          <wp:anchor distT="0" distB="0" distL="114300" distR="114300" simplePos="0" relativeHeight="251667456" behindDoc="1" locked="0" layoutInCell="1" allowOverlap="1" wp14:anchorId="7E072200" wp14:editId="72B043DF">
            <wp:simplePos x="0" y="0"/>
            <wp:positionH relativeFrom="column">
              <wp:posOffset>1874520</wp:posOffset>
            </wp:positionH>
            <wp:positionV relativeFrom="paragraph">
              <wp:posOffset>77470</wp:posOffset>
            </wp:positionV>
            <wp:extent cx="4552950" cy="2644140"/>
            <wp:effectExtent l="0" t="0" r="0" b="3810"/>
            <wp:wrapTight wrapText="bothSides">
              <wp:wrapPolygon edited="0">
                <wp:start x="0" y="0"/>
                <wp:lineTo x="0" y="21476"/>
                <wp:lineTo x="21510" y="21476"/>
                <wp:lineTo x="21510" y="0"/>
                <wp:lineTo x="0" y="0"/>
              </wp:wrapPolygon>
            </wp:wrapTight>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0084778B" w:rsidRPr="002D6500">
        <w:rPr>
          <w:rFonts w:cstheme="minorHAnsi"/>
          <w:sz w:val="24"/>
          <w:szCs w:val="24"/>
        </w:rPr>
        <w:t xml:space="preserve">A true apples-to-apples comparison </w:t>
      </w:r>
      <w:r w:rsidR="00B45E2F" w:rsidRPr="002D6500">
        <w:rPr>
          <w:rFonts w:cstheme="minorHAnsi"/>
          <w:sz w:val="24"/>
          <w:szCs w:val="24"/>
        </w:rPr>
        <w:t>shows</w:t>
      </w:r>
      <w:r w:rsidR="0084778B" w:rsidRPr="002D6500">
        <w:rPr>
          <w:rFonts w:cstheme="minorHAnsi"/>
          <w:sz w:val="24"/>
          <w:szCs w:val="24"/>
        </w:rPr>
        <w:t xml:space="preserve"> what percent of total state resources are spent on education. </w:t>
      </w:r>
      <w:r w:rsidR="00B45E2F" w:rsidRPr="002D6500">
        <w:rPr>
          <w:rFonts w:cstheme="minorHAnsi"/>
          <w:sz w:val="24"/>
          <w:szCs w:val="24"/>
        </w:rPr>
        <w:t>The</w:t>
      </w:r>
      <w:r w:rsidR="0084778B" w:rsidRPr="002D6500">
        <w:rPr>
          <w:rFonts w:cstheme="minorHAnsi"/>
          <w:sz w:val="24"/>
          <w:szCs w:val="24"/>
        </w:rPr>
        <w:t xml:space="preserve"> NASBO (National Association of State Budget Officers)</w:t>
      </w:r>
      <w:r w:rsidR="00B45E2F" w:rsidRPr="002D6500">
        <w:rPr>
          <w:rFonts w:cstheme="minorHAnsi"/>
          <w:sz w:val="24"/>
          <w:szCs w:val="24"/>
        </w:rPr>
        <w:t xml:space="preserve"> annual</w:t>
      </w:r>
      <w:r w:rsidR="002D6500">
        <w:rPr>
          <w:rFonts w:cstheme="minorHAnsi"/>
          <w:sz w:val="24"/>
          <w:szCs w:val="24"/>
        </w:rPr>
        <w:t xml:space="preserve"> </w:t>
      </w:r>
      <w:hyperlink r:id="rId18" w:history="1">
        <w:r w:rsidR="0084778B" w:rsidRPr="002D6500">
          <w:rPr>
            <w:rStyle w:val="Hyperlink"/>
            <w:rFonts w:cstheme="minorHAnsi"/>
            <w:sz w:val="24"/>
            <w:szCs w:val="24"/>
          </w:rPr>
          <w:t>State Expenditure Report</w:t>
        </w:r>
      </w:hyperlink>
      <w:r w:rsidR="002D6500">
        <w:rPr>
          <w:rFonts w:cstheme="minorHAnsi"/>
          <w:sz w:val="24"/>
          <w:szCs w:val="24"/>
        </w:rPr>
        <w:t xml:space="preserve"> </w:t>
      </w:r>
      <w:r w:rsidR="0084778B" w:rsidRPr="002D6500">
        <w:rPr>
          <w:rFonts w:cstheme="minorHAnsi"/>
          <w:sz w:val="24"/>
          <w:szCs w:val="24"/>
        </w:rPr>
        <w:t>analyzes</w:t>
      </w:r>
      <w:r w:rsidR="002D6500">
        <w:rPr>
          <w:rFonts w:cstheme="minorHAnsi"/>
          <w:sz w:val="24"/>
          <w:szCs w:val="24"/>
        </w:rPr>
        <w:t xml:space="preserve"> </w:t>
      </w:r>
      <w:r w:rsidR="0084778B" w:rsidRPr="002D6500">
        <w:rPr>
          <w:rFonts w:cstheme="minorHAnsi"/>
          <w:sz w:val="24"/>
          <w:szCs w:val="24"/>
        </w:rPr>
        <w:t>all state</w:t>
      </w:r>
      <w:r w:rsidR="002D6500">
        <w:rPr>
          <w:rFonts w:cstheme="minorHAnsi"/>
          <w:sz w:val="24"/>
          <w:szCs w:val="24"/>
        </w:rPr>
        <w:t xml:space="preserve"> </w:t>
      </w:r>
      <w:r w:rsidR="0084778B" w:rsidRPr="002D6500">
        <w:rPr>
          <w:rFonts w:cstheme="minorHAnsi"/>
          <w:sz w:val="24"/>
          <w:szCs w:val="24"/>
        </w:rPr>
        <w:t>expenditures:</w:t>
      </w:r>
    </w:p>
    <w:p w:rsidR="0084778B" w:rsidRPr="002D6500" w:rsidRDefault="0084778B" w:rsidP="00B45E2F">
      <w:pPr>
        <w:pStyle w:val="ListParagraph"/>
        <w:numPr>
          <w:ilvl w:val="0"/>
          <w:numId w:val="8"/>
        </w:numPr>
        <w:spacing w:before="120" w:after="0" w:line="240" w:lineRule="auto"/>
        <w:rPr>
          <w:rFonts w:cstheme="minorHAnsi"/>
          <w:sz w:val="24"/>
          <w:szCs w:val="24"/>
        </w:rPr>
      </w:pPr>
      <w:r w:rsidRPr="002D6500">
        <w:rPr>
          <w:rFonts w:cstheme="minorHAnsi"/>
          <w:sz w:val="24"/>
          <w:szCs w:val="24"/>
        </w:rPr>
        <w:t>In FY 201</w:t>
      </w:r>
      <w:r w:rsidR="00615358" w:rsidRPr="002D6500">
        <w:rPr>
          <w:rFonts w:cstheme="minorHAnsi"/>
          <w:sz w:val="24"/>
          <w:szCs w:val="24"/>
        </w:rPr>
        <w:t>9</w:t>
      </w:r>
      <w:r w:rsidRPr="002D6500">
        <w:rPr>
          <w:rFonts w:cstheme="minorHAnsi"/>
          <w:sz w:val="24"/>
          <w:szCs w:val="24"/>
        </w:rPr>
        <w:t xml:space="preserve">, Iowa’s </w:t>
      </w:r>
      <w:r w:rsidR="00615358" w:rsidRPr="002D6500">
        <w:rPr>
          <w:rFonts w:cstheme="minorHAnsi"/>
          <w:sz w:val="24"/>
          <w:szCs w:val="24"/>
        </w:rPr>
        <w:t>education expenditures were 16.5</w:t>
      </w:r>
      <w:r w:rsidRPr="002D6500">
        <w:rPr>
          <w:rFonts w:cstheme="minorHAnsi"/>
          <w:sz w:val="24"/>
          <w:szCs w:val="24"/>
        </w:rPr>
        <w:t xml:space="preserve">% of total state expenditures. Plains states averaged </w:t>
      </w:r>
      <w:r w:rsidR="001B51CE" w:rsidRPr="002D6500">
        <w:rPr>
          <w:rFonts w:cstheme="minorHAnsi"/>
          <w:sz w:val="24"/>
          <w:szCs w:val="24"/>
        </w:rPr>
        <w:t>20.2</w:t>
      </w:r>
      <w:r w:rsidR="002D6500">
        <w:rPr>
          <w:rFonts w:cstheme="minorHAnsi"/>
          <w:sz w:val="24"/>
          <w:szCs w:val="24"/>
        </w:rPr>
        <w:t xml:space="preserve">%. </w:t>
      </w:r>
      <w:r w:rsidR="00615358" w:rsidRPr="002D6500">
        <w:rPr>
          <w:rFonts w:cstheme="minorHAnsi"/>
          <w:sz w:val="24"/>
          <w:szCs w:val="24"/>
        </w:rPr>
        <w:t>All states averaged 19.5</w:t>
      </w:r>
      <w:r w:rsidRPr="002D6500">
        <w:rPr>
          <w:rFonts w:cstheme="minorHAnsi"/>
          <w:sz w:val="24"/>
          <w:szCs w:val="24"/>
        </w:rPr>
        <w:t>%.</w:t>
      </w:r>
    </w:p>
    <w:p w:rsidR="00615358" w:rsidRPr="002D6500" w:rsidRDefault="0084778B" w:rsidP="00B45E2F">
      <w:pPr>
        <w:pStyle w:val="ListParagraph"/>
        <w:numPr>
          <w:ilvl w:val="0"/>
          <w:numId w:val="8"/>
        </w:numPr>
        <w:spacing w:before="120" w:after="0" w:line="240" w:lineRule="auto"/>
        <w:rPr>
          <w:rFonts w:cstheme="minorHAnsi"/>
          <w:sz w:val="24"/>
          <w:szCs w:val="24"/>
        </w:rPr>
      </w:pPr>
      <w:r w:rsidRPr="002D6500">
        <w:rPr>
          <w:rFonts w:cstheme="minorHAnsi"/>
          <w:sz w:val="24"/>
          <w:szCs w:val="24"/>
        </w:rPr>
        <w:lastRenderedPageBreak/>
        <w:t xml:space="preserve">Iowa ranks compared to all 50 states:  </w:t>
      </w:r>
      <w:r w:rsidR="00B45E2F" w:rsidRPr="002D6500">
        <w:rPr>
          <w:rFonts w:cstheme="minorHAnsi"/>
          <w:sz w:val="24"/>
          <w:szCs w:val="24"/>
        </w:rPr>
        <w:t xml:space="preserve">in both </w:t>
      </w:r>
      <w:r w:rsidRPr="002D6500">
        <w:rPr>
          <w:rFonts w:cstheme="minorHAnsi"/>
          <w:sz w:val="24"/>
          <w:szCs w:val="24"/>
        </w:rPr>
        <w:t>FY18</w:t>
      </w:r>
      <w:r w:rsidR="00615358" w:rsidRPr="002D6500">
        <w:rPr>
          <w:rFonts w:cstheme="minorHAnsi"/>
          <w:sz w:val="24"/>
          <w:szCs w:val="24"/>
        </w:rPr>
        <w:t xml:space="preserve"> and FY19</w:t>
      </w:r>
      <w:r w:rsidR="00B45E2F" w:rsidRPr="002D6500">
        <w:rPr>
          <w:rFonts w:cstheme="minorHAnsi"/>
          <w:sz w:val="24"/>
          <w:szCs w:val="24"/>
        </w:rPr>
        <w:t>,</w:t>
      </w:r>
      <w:r w:rsidR="00615358" w:rsidRPr="002D6500">
        <w:rPr>
          <w:rFonts w:cstheme="minorHAnsi"/>
          <w:sz w:val="24"/>
          <w:szCs w:val="24"/>
        </w:rPr>
        <w:t xml:space="preserve"> </w:t>
      </w:r>
      <w:r w:rsidRPr="002D6500">
        <w:rPr>
          <w:rFonts w:cstheme="minorHAnsi"/>
          <w:sz w:val="24"/>
          <w:szCs w:val="24"/>
        </w:rPr>
        <w:t>Iowa ranked 32</w:t>
      </w:r>
      <w:r w:rsidRPr="002D6500">
        <w:rPr>
          <w:rFonts w:cstheme="minorHAnsi"/>
          <w:sz w:val="24"/>
          <w:szCs w:val="24"/>
          <w:vertAlign w:val="superscript"/>
        </w:rPr>
        <w:t>nd</w:t>
      </w:r>
      <w:r w:rsidR="00B45E2F" w:rsidRPr="002D6500">
        <w:rPr>
          <w:rFonts w:cstheme="minorHAnsi"/>
          <w:sz w:val="24"/>
          <w:szCs w:val="24"/>
          <w:vertAlign w:val="superscript"/>
        </w:rPr>
        <w:t xml:space="preserve"> </w:t>
      </w:r>
      <w:r w:rsidR="00B45E2F" w:rsidRPr="002D6500">
        <w:rPr>
          <w:rFonts w:cstheme="minorHAnsi"/>
          <w:sz w:val="24"/>
          <w:szCs w:val="24"/>
        </w:rPr>
        <w:t>in the percent of total state funds spent on elementary and secondary education</w:t>
      </w:r>
      <w:r w:rsidRPr="002D6500">
        <w:rPr>
          <w:rFonts w:cstheme="minorHAnsi"/>
          <w:sz w:val="24"/>
          <w:szCs w:val="24"/>
        </w:rPr>
        <w:t xml:space="preserve">. </w:t>
      </w:r>
    </w:p>
    <w:p w:rsidR="0084778B" w:rsidRPr="002D6500" w:rsidRDefault="0084778B" w:rsidP="000E7BE7">
      <w:pPr>
        <w:spacing w:before="240" w:line="240" w:lineRule="auto"/>
        <w:rPr>
          <w:rFonts w:cstheme="minorHAnsi"/>
          <w:sz w:val="24"/>
          <w:szCs w:val="24"/>
        </w:rPr>
      </w:pPr>
      <w:r w:rsidRPr="002D6500">
        <w:rPr>
          <w:rFonts w:cstheme="minorHAnsi"/>
          <w:b/>
          <w:sz w:val="24"/>
          <w:szCs w:val="24"/>
        </w:rPr>
        <w:t>Impact:</w:t>
      </w:r>
      <w:r w:rsidR="002D6500">
        <w:rPr>
          <w:rFonts w:cstheme="minorHAnsi"/>
          <w:sz w:val="24"/>
          <w:szCs w:val="24"/>
        </w:rPr>
        <w:t xml:space="preserve"> </w:t>
      </w:r>
      <w:r w:rsidRPr="002D6500">
        <w:rPr>
          <w:rFonts w:cstheme="minorHAnsi"/>
          <w:sz w:val="24"/>
          <w:szCs w:val="24"/>
        </w:rPr>
        <w:t>Iowa has seen slight growth in NAEP scores despite significant growt</w:t>
      </w:r>
      <w:r w:rsidR="000E7BE7" w:rsidRPr="002D6500">
        <w:rPr>
          <w:rFonts w:cstheme="minorHAnsi"/>
          <w:sz w:val="24"/>
          <w:szCs w:val="24"/>
        </w:rPr>
        <w:t xml:space="preserve">h in poverty and ELL students. </w:t>
      </w:r>
      <w:r w:rsidRPr="002D6500">
        <w:rPr>
          <w:rFonts w:cstheme="minorHAnsi"/>
          <w:sz w:val="24"/>
          <w:szCs w:val="24"/>
        </w:rPr>
        <w:t>Iowa continues to rank first in the nation in graduation, with 91</w:t>
      </w:r>
      <w:r w:rsidR="00413AF0" w:rsidRPr="002D6500">
        <w:rPr>
          <w:rFonts w:cstheme="minorHAnsi"/>
          <w:sz w:val="24"/>
          <w:szCs w:val="24"/>
        </w:rPr>
        <w:t>.6</w:t>
      </w:r>
      <w:r w:rsidRPr="002D6500">
        <w:rPr>
          <w:rFonts w:cstheme="minorHAnsi"/>
          <w:sz w:val="24"/>
          <w:szCs w:val="24"/>
        </w:rPr>
        <w:t>% of our students graduating with their class in four years</w:t>
      </w:r>
      <w:r w:rsidR="00413AF0" w:rsidRPr="002D6500">
        <w:rPr>
          <w:rFonts w:cstheme="minorHAnsi"/>
          <w:sz w:val="24"/>
          <w:szCs w:val="24"/>
        </w:rPr>
        <w:t xml:space="preserve"> in the 2019 school year</w:t>
      </w:r>
      <w:r w:rsidR="002D6500">
        <w:rPr>
          <w:rFonts w:cstheme="minorHAnsi"/>
          <w:sz w:val="24"/>
          <w:szCs w:val="24"/>
        </w:rPr>
        <w:t xml:space="preserve">. </w:t>
      </w:r>
      <w:r w:rsidRPr="002D6500">
        <w:rPr>
          <w:rFonts w:cstheme="minorHAnsi"/>
          <w:sz w:val="24"/>
          <w:szCs w:val="24"/>
        </w:rPr>
        <w:t xml:space="preserve">Schools are committed to school improvement efforts, such as TLC, early literacy and STEM initiatives. </w:t>
      </w:r>
      <w:r w:rsidR="00413AF0" w:rsidRPr="002D6500">
        <w:rPr>
          <w:rFonts w:cstheme="minorHAnsi"/>
          <w:sz w:val="24"/>
          <w:szCs w:val="24"/>
        </w:rPr>
        <w:t xml:space="preserve">The percent of students taking key courses increased across almost all curriculum areas, with the exception of physics, for the class of 2020 including: algebra II (81.2 percent of all students took at least one course), higher-level mathematics (48.6 percent), world languages (88.1 percent), chemistry (73.6 percent), physics (31.7 percent) and high-quality computer science (10.7 percent) </w:t>
      </w:r>
      <w:r w:rsidR="00413AF0" w:rsidRPr="002D6500">
        <w:rPr>
          <w:rFonts w:cstheme="minorHAnsi"/>
          <w:i/>
          <w:sz w:val="24"/>
          <w:szCs w:val="24"/>
        </w:rPr>
        <w:t>Source: Nov. 2020 Annual Condition of Education Report</w:t>
      </w:r>
      <w:r w:rsidR="00413AF0" w:rsidRPr="002D6500">
        <w:rPr>
          <w:rFonts w:cstheme="minorHAnsi"/>
          <w:sz w:val="24"/>
          <w:szCs w:val="24"/>
        </w:rPr>
        <w:t>.</w:t>
      </w:r>
      <w:r w:rsidR="00205C5F" w:rsidRPr="002D6500">
        <w:rPr>
          <w:rFonts w:cstheme="minorHAnsi"/>
          <w:sz w:val="24"/>
          <w:szCs w:val="24"/>
        </w:rPr>
        <w:t xml:space="preserve"> </w:t>
      </w:r>
      <w:r w:rsidRPr="002D6500">
        <w:rPr>
          <w:rFonts w:cstheme="minorHAnsi"/>
          <w:sz w:val="24"/>
          <w:szCs w:val="24"/>
        </w:rPr>
        <w:t>These efforts will be compromised if the basic foundation of sc</w:t>
      </w:r>
      <w:r w:rsidR="002D6500">
        <w:rPr>
          <w:rFonts w:cstheme="minorHAnsi"/>
          <w:sz w:val="24"/>
          <w:szCs w:val="24"/>
        </w:rPr>
        <w:t xml:space="preserve">hool funding is not sustained. </w:t>
      </w:r>
      <w:r w:rsidRPr="002D6500">
        <w:rPr>
          <w:rFonts w:cstheme="minorHAnsi"/>
          <w:sz w:val="24"/>
          <w:szCs w:val="24"/>
        </w:rPr>
        <w:t>There are not enough qualified applicants to fill jobs, generally indicating that the profession of teaching is bein</w:t>
      </w:r>
      <w:r w:rsidR="002D6500">
        <w:rPr>
          <w:rFonts w:cstheme="minorHAnsi"/>
          <w:sz w:val="24"/>
          <w:szCs w:val="24"/>
        </w:rPr>
        <w:t xml:space="preserve">g outpaced in the marketplace. Class sizes are going up. </w:t>
      </w:r>
      <w:r w:rsidRPr="002D6500">
        <w:rPr>
          <w:rFonts w:cstheme="minorHAnsi"/>
          <w:sz w:val="24"/>
          <w:szCs w:val="24"/>
        </w:rPr>
        <w:t xml:space="preserve">Programs are being eliminated. Districts are offering fewer extracurricular and fine arts opportunities for students, especially in middle school.  </w:t>
      </w:r>
      <w:r w:rsidR="00C1279E" w:rsidRPr="002D6500">
        <w:rPr>
          <w:rFonts w:cstheme="minorHAnsi"/>
          <w:sz w:val="24"/>
          <w:szCs w:val="24"/>
        </w:rPr>
        <w:t>SSA is the life-blood of rur</w:t>
      </w:r>
      <w:r w:rsidR="002D6500">
        <w:rPr>
          <w:rFonts w:cstheme="minorHAnsi"/>
          <w:sz w:val="24"/>
          <w:szCs w:val="24"/>
        </w:rPr>
        <w:t xml:space="preserve">al schools. </w:t>
      </w:r>
      <w:r w:rsidR="00C1279E" w:rsidRPr="002D6500">
        <w:rPr>
          <w:rFonts w:cstheme="minorHAnsi"/>
          <w:sz w:val="24"/>
          <w:szCs w:val="24"/>
        </w:rPr>
        <w:t>Declining enrollment combined with low SSA means more r</w:t>
      </w:r>
      <w:r w:rsidR="000E7BE7" w:rsidRPr="002D6500">
        <w:rPr>
          <w:rFonts w:cstheme="minorHAnsi"/>
          <w:sz w:val="24"/>
          <w:szCs w:val="24"/>
        </w:rPr>
        <w:t xml:space="preserve">ural schools </w:t>
      </w:r>
      <w:r w:rsidR="00C1279E" w:rsidRPr="002D6500">
        <w:rPr>
          <w:rFonts w:cstheme="minorHAnsi"/>
          <w:sz w:val="24"/>
          <w:szCs w:val="24"/>
        </w:rPr>
        <w:t>wi</w:t>
      </w:r>
      <w:r w:rsidR="00205C5F" w:rsidRPr="002D6500">
        <w:rPr>
          <w:rFonts w:cstheme="minorHAnsi"/>
          <w:sz w:val="24"/>
          <w:szCs w:val="24"/>
        </w:rPr>
        <w:t>l</w:t>
      </w:r>
      <w:r w:rsidR="00C1279E" w:rsidRPr="002D6500">
        <w:rPr>
          <w:rFonts w:cstheme="minorHAnsi"/>
          <w:sz w:val="24"/>
          <w:szCs w:val="24"/>
        </w:rPr>
        <w:t>l have to</w:t>
      </w:r>
      <w:r w:rsidR="000E7BE7" w:rsidRPr="002D6500">
        <w:rPr>
          <w:rFonts w:cstheme="minorHAnsi"/>
          <w:sz w:val="24"/>
          <w:szCs w:val="24"/>
        </w:rPr>
        <w:t xml:space="preserve"> consolidate</w:t>
      </w:r>
      <w:r w:rsidR="00C1279E" w:rsidRPr="002D6500">
        <w:rPr>
          <w:rFonts w:cstheme="minorHAnsi"/>
          <w:sz w:val="24"/>
          <w:szCs w:val="24"/>
        </w:rPr>
        <w:t xml:space="preserve"> or face closure by the state</w:t>
      </w:r>
      <w:r w:rsidR="000E7BE7" w:rsidRPr="002D6500">
        <w:rPr>
          <w:rFonts w:cstheme="minorHAnsi"/>
          <w:sz w:val="24"/>
          <w:szCs w:val="24"/>
        </w:rPr>
        <w:t xml:space="preserve">. </w:t>
      </w:r>
    </w:p>
    <w:p w:rsidR="001B51CE" w:rsidRPr="002D6500" w:rsidRDefault="002D6500" w:rsidP="00413AF0">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color w:val="000000"/>
          <w:sz w:val="24"/>
          <w:szCs w:val="24"/>
        </w:rPr>
      </w:pPr>
      <w:r>
        <w:rPr>
          <w:rFonts w:eastAsia="Times New Roman" w:cstheme="minorHAnsi"/>
          <w:b/>
          <w:bCs/>
          <w:color w:val="000000"/>
          <w:sz w:val="24"/>
          <w:szCs w:val="24"/>
        </w:rPr>
        <w:t xml:space="preserve">Adequate School Resources: </w:t>
      </w:r>
      <w:r w:rsidR="001B51CE" w:rsidRPr="002D6500">
        <w:rPr>
          <w:rFonts w:eastAsia="Times New Roman" w:cstheme="minorHAnsi"/>
          <w:bCs/>
          <w:color w:val="000000"/>
          <w:sz w:val="24"/>
          <w:szCs w:val="24"/>
        </w:rPr>
        <w:t>RSAI supports adequate base funding.</w:t>
      </w:r>
      <w:r w:rsidR="001B51CE" w:rsidRPr="002D6500">
        <w:rPr>
          <w:rFonts w:eastAsia="Times New Roman" w:cstheme="minorHAnsi"/>
          <w:b/>
          <w:bCs/>
          <w:color w:val="000000"/>
          <w:sz w:val="24"/>
          <w:szCs w:val="24"/>
        </w:rPr>
        <w:t xml:space="preserve"> </w:t>
      </w:r>
      <w:r w:rsidR="001B51CE" w:rsidRPr="002D6500">
        <w:rPr>
          <w:rFonts w:eastAsia="Times New Roman" w:cstheme="minorHAnsi"/>
          <w:color w:val="000000"/>
          <w:sz w:val="24"/>
          <w:szCs w:val="24"/>
        </w:rPr>
        <w:t xml:space="preserve">The increased </w:t>
      </w:r>
      <w:r w:rsidR="00B33E47">
        <w:rPr>
          <w:rFonts w:eastAsia="Times New Roman" w:cstheme="minorHAnsi"/>
          <w:color w:val="000000"/>
          <w:sz w:val="24"/>
          <w:szCs w:val="24"/>
        </w:rPr>
        <w:t>per pupil</w:t>
      </w:r>
      <w:r w:rsidR="001B51CE" w:rsidRPr="002D6500">
        <w:rPr>
          <w:rFonts w:eastAsia="Times New Roman" w:cstheme="minorHAnsi"/>
          <w:color w:val="000000"/>
          <w:sz w:val="24"/>
          <w:szCs w:val="24"/>
        </w:rPr>
        <w:t xml:space="preserve"> cost known as SSA is especially critical to rural students due to distance from school/opportunities, economies of scale, mandates, the need for AEA support, and the ability to attract and retain staff. Rural schools depend on an investment of meaningful new resources to prepare students for a successful future. COVID-19 experience has created additional financial burdens for connectivity, staffing, social distancing practices, virtual curriculum and protective equipment, while potentially diverting resources away from the district due to open enrollment or home school choices which may be temporary. </w:t>
      </w:r>
    </w:p>
    <w:p w:rsidR="001B51CE" w:rsidRPr="002D6500" w:rsidRDefault="001B51CE" w:rsidP="00413AF0">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color w:val="000000"/>
          <w:sz w:val="24"/>
          <w:szCs w:val="24"/>
        </w:rPr>
      </w:pPr>
    </w:p>
    <w:p w:rsidR="00651A15" w:rsidRPr="007C5484" w:rsidRDefault="001B51CE" w:rsidP="007C5484">
      <w:pPr>
        <w:pBdr>
          <w:top w:val="single" w:sz="4" w:space="1" w:color="auto"/>
          <w:left w:val="single" w:sz="4" w:space="4" w:color="auto"/>
          <w:bottom w:val="single" w:sz="4" w:space="1" w:color="auto"/>
          <w:right w:val="single" w:sz="4" w:space="4" w:color="auto"/>
        </w:pBdr>
        <w:shd w:val="clear" w:color="auto" w:fill="FFFFFF"/>
        <w:spacing w:after="0" w:line="240" w:lineRule="auto"/>
        <w:ind w:right="-270"/>
        <w:rPr>
          <w:rFonts w:eastAsia="Times New Roman" w:cstheme="minorHAnsi"/>
          <w:i/>
          <w:color w:val="000000"/>
          <w:sz w:val="24"/>
          <w:szCs w:val="24"/>
        </w:rPr>
      </w:pPr>
      <w:r w:rsidRPr="002D6500">
        <w:rPr>
          <w:rFonts w:eastAsia="Times New Roman" w:cstheme="minorHAnsi"/>
          <w:color w:val="000000"/>
          <w:sz w:val="24"/>
          <w:szCs w:val="24"/>
        </w:rPr>
        <w:t>The rate of increase in SSA should be no lower than anticipated growth in state revenue (adjusted for legislated tax cuts),</w:t>
      </w:r>
      <w:r w:rsidRPr="002D6500">
        <w:rPr>
          <w:rFonts w:cstheme="minorHAnsi"/>
          <w:color w:val="000000"/>
          <w:sz w:val="24"/>
          <w:szCs w:val="24"/>
          <w:shd w:val="clear" w:color="auto" w:fill="FFFFFF"/>
        </w:rPr>
        <w:t xml:space="preserve"> </w:t>
      </w:r>
      <w:r w:rsidRPr="002D6500">
        <w:rPr>
          <w:rFonts w:cstheme="minorHAnsi"/>
          <w:i/>
          <w:color w:val="000000"/>
          <w:sz w:val="24"/>
          <w:szCs w:val="24"/>
          <w:shd w:val="clear" w:color="auto" w:fill="FFFFFF"/>
        </w:rPr>
        <w:t>currently at 4.1% for FY 2022 per the October REC estimate</w:t>
      </w:r>
      <w:r w:rsidRPr="002D6500">
        <w:rPr>
          <w:rFonts w:cstheme="minorHAnsi"/>
          <w:color w:val="000000"/>
          <w:sz w:val="24"/>
          <w:szCs w:val="24"/>
          <w:shd w:val="clear" w:color="auto" w:fill="FFFFFF"/>
        </w:rPr>
        <w:t>, but not lower than 3.75% in FY 2022 regardless of estimated revenues due to abundant FY 2020 state surplus. The rate of SSA</w:t>
      </w:r>
      <w:r w:rsidRPr="002D6500">
        <w:rPr>
          <w:rFonts w:eastAsia="Times New Roman" w:cstheme="minorHAnsi"/>
          <w:color w:val="000000"/>
          <w:sz w:val="24"/>
          <w:szCs w:val="24"/>
        </w:rPr>
        <w:t xml:space="preserve"> should keep up with other economic factors such as personal income or state gross domestic product over the long term, should maintain a balance of state and local property taxes, provide predictability, and be set timely to assure adequate notice for budget planning and staffing. </w:t>
      </w:r>
    </w:p>
    <w:sectPr w:rsidR="00651A15" w:rsidRPr="007C5484" w:rsidSect="002D6500">
      <w:headerReference w:type="default" r:id="rId19"/>
      <w:pgSz w:w="12240" w:h="15840" w:code="1"/>
      <w:pgMar w:top="1267" w:right="1080" w:bottom="720" w:left="1080" w:header="720" w:footer="50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E73" w:rsidRDefault="006D1E73" w:rsidP="00636F64">
      <w:pPr>
        <w:spacing w:after="0" w:line="240" w:lineRule="auto"/>
      </w:pPr>
      <w:r>
        <w:separator/>
      </w:r>
    </w:p>
  </w:endnote>
  <w:endnote w:type="continuationSeparator" w:id="0">
    <w:p w:rsidR="006D1E73" w:rsidRDefault="006D1E73" w:rsidP="0063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09792494"/>
      <w:docPartObj>
        <w:docPartGallery w:val="Page Numbers (Bottom of Page)"/>
        <w:docPartUnique/>
      </w:docPartObj>
    </w:sdtPr>
    <w:sdtEndPr/>
    <w:sdtContent>
      <w:p w:rsidR="002D6500" w:rsidRPr="002D6500" w:rsidRDefault="002D6500" w:rsidP="002D6500">
        <w:pPr>
          <w:pStyle w:val="Footer"/>
          <w:jc w:val="center"/>
          <w:rPr>
            <w:sz w:val="20"/>
            <w:szCs w:val="20"/>
          </w:rPr>
        </w:pPr>
        <w:r>
          <w:rPr>
            <w:sz w:val="20"/>
            <w:szCs w:val="20"/>
          </w:rPr>
          <w:t>RSAI | 1201 63</w:t>
        </w:r>
        <w:r>
          <w:rPr>
            <w:sz w:val="20"/>
            <w:szCs w:val="20"/>
            <w:vertAlign w:val="superscript"/>
          </w:rPr>
          <w:t>rd</w:t>
        </w:r>
        <w:r>
          <w:rPr>
            <w:sz w:val="20"/>
            <w:szCs w:val="20"/>
          </w:rPr>
          <w:t xml:space="preserve"> Street, Des Moines, IA 50311 | (515) 251-5970 | </w:t>
        </w:r>
        <w:hyperlink r:id="rId1" w:history="1">
          <w:r>
            <w:rPr>
              <w:rStyle w:val="Hyperlink"/>
              <w:sz w:val="20"/>
              <w:szCs w:val="20"/>
            </w:rPr>
            <w:t>www.rsaia.org</w:t>
          </w:r>
        </w:hyperlink>
        <w:r>
          <w:rPr>
            <w:sz w:val="20"/>
            <w:szCs w:val="20"/>
          </w:rPr>
          <w:br/>
          <w:t xml:space="preserve">Margaret Buckton, Professional Advocate, </w:t>
        </w:r>
        <w:hyperlink r:id="rId2" w:history="1">
          <w:r>
            <w:rPr>
              <w:rStyle w:val="Hyperlink"/>
              <w:sz w:val="20"/>
              <w:szCs w:val="20"/>
            </w:rPr>
            <w:t>margaret.buckton@rsaia.org</w:t>
          </w:r>
        </w:hyperlink>
        <w:r>
          <w:rPr>
            <w:sz w:val="20"/>
            <w:szCs w:val="20"/>
          </w:rPr>
          <w:t xml:space="preserve"> </w: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E73" w:rsidRDefault="006D1E73" w:rsidP="00636F64">
      <w:pPr>
        <w:spacing w:after="0" w:line="240" w:lineRule="auto"/>
      </w:pPr>
      <w:r>
        <w:separator/>
      </w:r>
    </w:p>
  </w:footnote>
  <w:footnote w:type="continuationSeparator" w:id="0">
    <w:p w:rsidR="006D1E73" w:rsidRDefault="006D1E73" w:rsidP="0063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445" w:rsidRDefault="009A1445" w:rsidP="00636F64">
    <w:r>
      <w:rPr>
        <w:noProof/>
      </w:rPr>
      <w:drawing>
        <wp:anchor distT="0" distB="0" distL="114300" distR="114300" simplePos="0" relativeHeight="251659264" behindDoc="1" locked="0" layoutInCell="1" allowOverlap="1" wp14:anchorId="64232A9E" wp14:editId="3426E76F">
          <wp:simplePos x="0" y="0"/>
          <wp:positionH relativeFrom="column">
            <wp:posOffset>3134360</wp:posOffset>
          </wp:positionH>
          <wp:positionV relativeFrom="paragraph">
            <wp:posOffset>-364490</wp:posOffset>
          </wp:positionV>
          <wp:extent cx="1776095" cy="10541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Fin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6095" cy="10541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0" locked="0" layoutInCell="1" allowOverlap="1" wp14:anchorId="538966B6" wp14:editId="593648B4">
              <wp:simplePos x="0" y="0"/>
              <wp:positionH relativeFrom="column">
                <wp:posOffset>5023945</wp:posOffset>
              </wp:positionH>
              <wp:positionV relativeFrom="paragraph">
                <wp:posOffset>-210208</wp:posOffset>
              </wp:positionV>
              <wp:extent cx="924560" cy="780415"/>
              <wp:effectExtent l="0" t="0" r="8890" b="635"/>
              <wp:wrapNone/>
              <wp:docPr id="5" name="Rectangle 5"/>
              <wp:cNvGraphicFramePr/>
              <a:graphic xmlns:a="http://schemas.openxmlformats.org/drawingml/2006/main">
                <a:graphicData uri="http://schemas.microsoft.com/office/word/2010/wordprocessingShape">
                  <wps:wsp>
                    <wps:cNvSpPr/>
                    <wps:spPr>
                      <a:xfrm>
                        <a:off x="0" y="0"/>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A1445" w:rsidRPr="00F754DF" w:rsidRDefault="009A1445" w:rsidP="00636F64">
                          <w:pPr>
                            <w:jc w:val="center"/>
                            <w:rPr>
                              <w:rFonts w:ascii="Arial" w:hAnsi="Arial" w:cs="Arial"/>
                              <w:sz w:val="28"/>
                              <w:szCs w:val="30"/>
                            </w:rPr>
                          </w:pPr>
                          <w:r w:rsidRPr="00F754DF">
                            <w:rPr>
                              <w:rFonts w:ascii="Arial" w:hAnsi="Arial" w:cs="Arial"/>
                              <w:sz w:val="28"/>
                              <w:szCs w:val="30"/>
                            </w:rPr>
                            <w:t>rsaia.org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38966B6" id="Rectangle 5" o:spid="_x0000_s1026" style="position:absolute;margin-left:395.6pt;margin-top:-16.55pt;width:72.8pt;height:61.4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" fillcolor="#e36c0a [2409]" stroked="f" strokeweight="2pt">
              <v:fill opacity="38036f"/>
              <v:textbox>
                <w:txbxContent>
                  <w:p w:rsidR="009A1445" w:rsidRPr="00F754DF" w:rsidRDefault="009A1445" w:rsidP="00636F64">
                    <w:pPr>
                      <w:jc w:val="center"/>
                      <w:rPr>
                        <w:rFonts w:ascii="Arial" w:hAnsi="Arial" w:cs="Arial"/>
                        <w:sz w:val="28"/>
                        <w:szCs w:val="30"/>
                      </w:rPr>
                    </w:pPr>
                    <w:r w:rsidRPr="00F754DF">
                      <w:rPr>
                        <w:rFonts w:ascii="Arial" w:hAnsi="Arial" w:cs="Arial"/>
                        <w:sz w:val="28"/>
                        <w:szCs w:val="30"/>
                      </w:rPr>
                      <w:t>rsaia.org</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12901382" wp14:editId="3C492E34">
              <wp:simplePos x="0" y="0"/>
              <wp:positionH relativeFrom="column">
                <wp:posOffset>2123090</wp:posOffset>
              </wp:positionH>
              <wp:positionV relativeFrom="paragraph">
                <wp:posOffset>-210207</wp:posOffset>
              </wp:positionV>
              <wp:extent cx="924560" cy="780984"/>
              <wp:effectExtent l="0" t="0" r="8890" b="635"/>
              <wp:wrapNone/>
              <wp:docPr id="4" name="Rectangle 4"/>
              <wp:cNvGraphicFramePr/>
              <a:graphic xmlns:a="http://schemas.openxmlformats.org/drawingml/2006/main">
                <a:graphicData uri="http://schemas.microsoft.com/office/word/2010/wordprocessingShape">
                  <wps:wsp>
                    <wps:cNvSpPr/>
                    <wps:spPr>
                      <a:xfrm>
                        <a:off x="0" y="0"/>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99FC4CF" id="Rectangle 4" o:spid="_x0000_s1026" style="position:absolute;margin-left:167.15pt;margin-top:-16.55pt;width:72.8pt;height:6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" fillcolor="#00b0f0" stroked="f" strokeweight="2pt"/>
          </w:pict>
        </mc:Fallback>
      </mc:AlternateContent>
    </w:r>
    <w:r>
      <w:rPr>
        <w:noProof/>
      </w:rPr>
      <mc:AlternateContent>
        <mc:Choice Requires="wps">
          <w:drawing>
            <wp:anchor distT="0" distB="0" distL="114300" distR="114300" simplePos="0" relativeHeight="251661312" behindDoc="0" locked="0" layoutInCell="1" allowOverlap="1" wp14:anchorId="5E7E61C5" wp14:editId="3179BD73">
              <wp:simplePos x="0" y="0"/>
              <wp:positionH relativeFrom="column">
                <wp:posOffset>1082566</wp:posOffset>
              </wp:positionH>
              <wp:positionV relativeFrom="paragraph">
                <wp:posOffset>-231228</wp:posOffset>
              </wp:positionV>
              <wp:extent cx="924560" cy="802290"/>
              <wp:effectExtent l="0" t="0" r="8890" b="0"/>
              <wp:wrapNone/>
              <wp:docPr id="3" name="Rectangle 3"/>
              <wp:cNvGraphicFramePr/>
              <a:graphic xmlns:a="http://schemas.openxmlformats.org/drawingml/2006/main">
                <a:graphicData uri="http://schemas.microsoft.com/office/word/2010/wordprocessingShape">
                  <wps:wsp>
                    <wps:cNvSpPr/>
                    <wps:spPr>
                      <a:xfrm>
                        <a:off x="0" y="0"/>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52F63A07" id="Rectangle 3" o:spid="_x0000_s1026" style="position:absolute;margin-left:85.25pt;margin-top:-18.2pt;width:72.8pt;height:63.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" fillcolor="#c00000" stroked="f" strokeweight="2pt"/>
          </w:pict>
        </mc:Fallback>
      </mc:AlternateContent>
    </w:r>
    <w:r>
      <w:rPr>
        <w:noProof/>
      </w:rPr>
      <mc:AlternateContent>
        <mc:Choice Requires="wps">
          <w:drawing>
            <wp:anchor distT="0" distB="0" distL="114300" distR="114300" simplePos="0" relativeHeight="251660288" behindDoc="0" locked="0" layoutInCell="1" allowOverlap="1" wp14:anchorId="2665BA6C" wp14:editId="27AD8C50">
              <wp:simplePos x="0" y="0"/>
              <wp:positionH relativeFrom="column">
                <wp:posOffset>63062</wp:posOffset>
              </wp:positionH>
              <wp:positionV relativeFrom="paragraph">
                <wp:posOffset>-241738</wp:posOffset>
              </wp:positionV>
              <wp:extent cx="924560" cy="813238"/>
              <wp:effectExtent l="0" t="0" r="8890" b="6350"/>
              <wp:wrapNone/>
              <wp:docPr id="2" name="Rectangle 2"/>
              <wp:cNvGraphicFramePr/>
              <a:graphic xmlns:a="http://schemas.openxmlformats.org/drawingml/2006/main">
                <a:graphicData uri="http://schemas.microsoft.com/office/word/2010/wordprocessingShape">
                  <wps:wsp>
                    <wps:cNvSpPr/>
                    <wps:spPr>
                      <a:xfrm>
                        <a:off x="0" y="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9A1445" w:rsidRDefault="009A1445" w:rsidP="00636F6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65BA6C" id="Rectangle 2" o:spid="_x0000_s1027" style="position:absolute;margin-left:4.95pt;margin-top:-19.05pt;width:72.8pt;height:64.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" fillcolor="#92d050" stroked="f" strokeweight="2pt">
              <v:textbox>
                <w:txbxContent>
                  <w:p w:rsidR="009A1445" w:rsidRDefault="009A1445" w:rsidP="00636F64">
                    <w:pPr>
                      <w:jc w:val="center"/>
                    </w:pPr>
                  </w:p>
                </w:txbxContent>
              </v:textbox>
            </v:rect>
          </w:pict>
        </mc:Fallback>
      </mc:AlternateContent>
    </w:r>
  </w:p>
  <w:p w:rsidR="009A1445" w:rsidRDefault="002D6500" w:rsidP="002D6500">
    <w:pPr>
      <w:pStyle w:val="Header"/>
      <w:tabs>
        <w:tab w:val="clear" w:pos="4680"/>
        <w:tab w:val="clear" w:pos="9360"/>
        <w:tab w:val="left" w:pos="5946"/>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5484" w:rsidRDefault="007C5484" w:rsidP="007C5484">
    <w:pPr>
      <w:pStyle w:val="Header"/>
      <w:tabs>
        <w:tab w:val="clear" w:pos="9360"/>
        <w:tab w:val="right" w:pos="9900"/>
      </w:tabs>
      <w:rPr>
        <w:i/>
        <w:sz w:val="20"/>
        <w:szCs w:val="20"/>
      </w:rPr>
    </w:pPr>
    <w:r>
      <w:rPr>
        <w:i/>
        <w:sz w:val="20"/>
        <w:szCs w:val="20"/>
      </w:rPr>
      <w:t>RSAI 2021 Legislative Priority:</w:t>
    </w:r>
    <w:r>
      <w:rPr>
        <w:i/>
        <w:sz w:val="20"/>
        <w:szCs w:val="20"/>
      </w:rPr>
      <w:tab/>
    </w:r>
    <w:r>
      <w:rPr>
        <w:i/>
        <w:sz w:val="20"/>
        <w:szCs w:val="20"/>
      </w:rPr>
      <w:tab/>
      <w:t xml:space="preserve">Page  </w:t>
    </w:r>
    <w:sdt>
      <w:sdtPr>
        <w:rPr>
          <w:i/>
          <w:noProof/>
          <w:sz w:val="20"/>
          <w:szCs w:val="20"/>
        </w:rPr>
        <w:id w:val="-1249347584"/>
        <w:docPartObj>
          <w:docPartGallery w:val="Page Numbers (Top of Page)"/>
          <w:docPartUnique/>
        </w:docPartObj>
      </w:sdtPr>
      <w:sdtEndPr/>
      <w:sdtContent>
        <w:r>
          <w:rPr>
            <w:i/>
            <w:sz w:val="20"/>
            <w:szCs w:val="20"/>
          </w:rPr>
          <w:fldChar w:fldCharType="begin"/>
        </w:r>
        <w:r>
          <w:rPr>
            <w:i/>
            <w:sz w:val="20"/>
            <w:szCs w:val="20"/>
          </w:rPr>
          <w:instrText xml:space="preserve"> PAGE   \* MERGEFORMAT </w:instrText>
        </w:r>
        <w:r>
          <w:rPr>
            <w:i/>
            <w:sz w:val="20"/>
            <w:szCs w:val="20"/>
          </w:rPr>
          <w:fldChar w:fldCharType="separate"/>
        </w:r>
        <w:r w:rsidR="00B33E47">
          <w:rPr>
            <w:i/>
            <w:noProof/>
            <w:sz w:val="20"/>
            <w:szCs w:val="20"/>
          </w:rPr>
          <w:t>2</w:t>
        </w:r>
        <w:r>
          <w:rPr>
            <w:i/>
            <w:noProof/>
            <w:sz w:val="20"/>
            <w:szCs w:val="20"/>
          </w:rPr>
          <w:fldChar w:fldCharType="end"/>
        </w:r>
        <w:r>
          <w:rPr>
            <w:i/>
            <w:noProof/>
            <w:sz w:val="20"/>
            <w:szCs w:val="20"/>
          </w:rPr>
          <w:br/>
        </w:r>
        <w:r>
          <w:rPr>
            <w:i/>
            <w:sz w:val="20"/>
            <w:szCs w:val="20"/>
          </w:rPr>
          <w:t>Adequate Education Funding</w:t>
        </w:r>
      </w:sdtContent>
    </w:sdt>
  </w:p>
  <w:p w:rsidR="007C5484" w:rsidRDefault="007C5484" w:rsidP="002D6500">
    <w:pPr>
      <w:pStyle w:val="Header"/>
      <w:tabs>
        <w:tab w:val="clear" w:pos="4680"/>
        <w:tab w:val="clear" w:pos="9360"/>
        <w:tab w:val="left" w:pos="594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C3BAB"/>
    <w:multiLevelType w:val="hybridMultilevel"/>
    <w:tmpl w:val="83DE77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765E1"/>
    <w:multiLevelType w:val="hybridMultilevel"/>
    <w:tmpl w:val="652CD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A12EC"/>
    <w:multiLevelType w:val="hybridMultilevel"/>
    <w:tmpl w:val="26028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EA6F2A"/>
    <w:multiLevelType w:val="hybridMultilevel"/>
    <w:tmpl w:val="C56085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8D78BA"/>
    <w:multiLevelType w:val="hybridMultilevel"/>
    <w:tmpl w:val="AEC8DC4C"/>
    <w:lvl w:ilvl="0" w:tplc="E0AA9E9C">
      <w:start w:val="1"/>
      <w:numFmt w:val="bullet"/>
      <w:lvlText w:val=""/>
      <w:lvlJc w:val="left"/>
      <w:pPr>
        <w:tabs>
          <w:tab w:val="num" w:pos="720"/>
        </w:tabs>
        <w:ind w:left="720" w:hanging="360"/>
      </w:pPr>
      <w:rPr>
        <w:rFonts w:ascii="Wingdings" w:hAnsi="Wingdings" w:hint="default"/>
      </w:rPr>
    </w:lvl>
    <w:lvl w:ilvl="1" w:tplc="2FA2E300">
      <w:start w:val="1"/>
      <w:numFmt w:val="bullet"/>
      <w:lvlText w:val=""/>
      <w:lvlJc w:val="left"/>
      <w:pPr>
        <w:tabs>
          <w:tab w:val="num" w:pos="1440"/>
        </w:tabs>
        <w:ind w:left="1440" w:hanging="360"/>
      </w:pPr>
      <w:rPr>
        <w:rFonts w:ascii="Wingdings" w:hAnsi="Wingdings" w:hint="default"/>
      </w:rPr>
    </w:lvl>
    <w:lvl w:ilvl="2" w:tplc="FAF8B13A">
      <w:start w:val="1"/>
      <w:numFmt w:val="bullet"/>
      <w:lvlText w:val=""/>
      <w:lvlJc w:val="left"/>
      <w:pPr>
        <w:tabs>
          <w:tab w:val="num" w:pos="2160"/>
        </w:tabs>
        <w:ind w:left="2160" w:hanging="360"/>
      </w:pPr>
      <w:rPr>
        <w:rFonts w:ascii="Wingdings" w:hAnsi="Wingdings" w:hint="default"/>
      </w:rPr>
    </w:lvl>
    <w:lvl w:ilvl="3" w:tplc="81AAD4AA">
      <w:start w:val="1"/>
      <w:numFmt w:val="bullet"/>
      <w:lvlText w:val=""/>
      <w:lvlJc w:val="left"/>
      <w:pPr>
        <w:tabs>
          <w:tab w:val="num" w:pos="2880"/>
        </w:tabs>
        <w:ind w:left="2880" w:hanging="360"/>
      </w:pPr>
      <w:rPr>
        <w:rFonts w:ascii="Wingdings" w:hAnsi="Wingdings" w:hint="default"/>
      </w:rPr>
    </w:lvl>
    <w:lvl w:ilvl="4" w:tplc="083EB2C6" w:tentative="1">
      <w:start w:val="1"/>
      <w:numFmt w:val="bullet"/>
      <w:lvlText w:val=""/>
      <w:lvlJc w:val="left"/>
      <w:pPr>
        <w:tabs>
          <w:tab w:val="num" w:pos="3600"/>
        </w:tabs>
        <w:ind w:left="3600" w:hanging="360"/>
      </w:pPr>
      <w:rPr>
        <w:rFonts w:ascii="Wingdings" w:hAnsi="Wingdings" w:hint="default"/>
      </w:rPr>
    </w:lvl>
    <w:lvl w:ilvl="5" w:tplc="FCC0EA16" w:tentative="1">
      <w:start w:val="1"/>
      <w:numFmt w:val="bullet"/>
      <w:lvlText w:val=""/>
      <w:lvlJc w:val="left"/>
      <w:pPr>
        <w:tabs>
          <w:tab w:val="num" w:pos="4320"/>
        </w:tabs>
        <w:ind w:left="4320" w:hanging="360"/>
      </w:pPr>
      <w:rPr>
        <w:rFonts w:ascii="Wingdings" w:hAnsi="Wingdings" w:hint="default"/>
      </w:rPr>
    </w:lvl>
    <w:lvl w:ilvl="6" w:tplc="F69694A0" w:tentative="1">
      <w:start w:val="1"/>
      <w:numFmt w:val="bullet"/>
      <w:lvlText w:val=""/>
      <w:lvlJc w:val="left"/>
      <w:pPr>
        <w:tabs>
          <w:tab w:val="num" w:pos="5040"/>
        </w:tabs>
        <w:ind w:left="5040" w:hanging="360"/>
      </w:pPr>
      <w:rPr>
        <w:rFonts w:ascii="Wingdings" w:hAnsi="Wingdings" w:hint="default"/>
      </w:rPr>
    </w:lvl>
    <w:lvl w:ilvl="7" w:tplc="251273A0" w:tentative="1">
      <w:start w:val="1"/>
      <w:numFmt w:val="bullet"/>
      <w:lvlText w:val=""/>
      <w:lvlJc w:val="left"/>
      <w:pPr>
        <w:tabs>
          <w:tab w:val="num" w:pos="5760"/>
        </w:tabs>
        <w:ind w:left="5760" w:hanging="360"/>
      </w:pPr>
      <w:rPr>
        <w:rFonts w:ascii="Wingdings" w:hAnsi="Wingdings" w:hint="default"/>
      </w:rPr>
    </w:lvl>
    <w:lvl w:ilvl="8" w:tplc="25AE098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CF0649"/>
    <w:multiLevelType w:val="hybridMultilevel"/>
    <w:tmpl w:val="C6CC1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F3626A"/>
    <w:multiLevelType w:val="hybridMultilevel"/>
    <w:tmpl w:val="323461E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0"/>
  </w:num>
  <w:num w:numId="3">
    <w:abstractNumId w:val="1"/>
  </w:num>
  <w:num w:numId="4">
    <w:abstractNumId w:val="3"/>
  </w:num>
  <w:num w:numId="5">
    <w:abstractNumId w:val="2"/>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srQ0sTA1MzYzNDRU0lEKTi0uzszPAykwrAUAwkJJkSwAAAA="/>
  </w:docVars>
  <w:rsids>
    <w:rsidRoot w:val="00636F64"/>
    <w:rsid w:val="0000123E"/>
    <w:rsid w:val="00002A88"/>
    <w:rsid w:val="00005015"/>
    <w:rsid w:val="00014532"/>
    <w:rsid w:val="0002090F"/>
    <w:rsid w:val="0002093B"/>
    <w:rsid w:val="00024DDD"/>
    <w:rsid w:val="00027E5E"/>
    <w:rsid w:val="00032CD7"/>
    <w:rsid w:val="00035ABD"/>
    <w:rsid w:val="0003753F"/>
    <w:rsid w:val="000425CA"/>
    <w:rsid w:val="000445D4"/>
    <w:rsid w:val="0005379B"/>
    <w:rsid w:val="00055926"/>
    <w:rsid w:val="00056991"/>
    <w:rsid w:val="0006023D"/>
    <w:rsid w:val="00061C17"/>
    <w:rsid w:val="0006224E"/>
    <w:rsid w:val="0008079F"/>
    <w:rsid w:val="00082E61"/>
    <w:rsid w:val="00084388"/>
    <w:rsid w:val="00096444"/>
    <w:rsid w:val="000A6FD3"/>
    <w:rsid w:val="000B3A71"/>
    <w:rsid w:val="000C1879"/>
    <w:rsid w:val="000C58C0"/>
    <w:rsid w:val="000C617F"/>
    <w:rsid w:val="000D48D2"/>
    <w:rsid w:val="000E2481"/>
    <w:rsid w:val="000E7BE7"/>
    <w:rsid w:val="000F7331"/>
    <w:rsid w:val="001022AC"/>
    <w:rsid w:val="001026E8"/>
    <w:rsid w:val="00107444"/>
    <w:rsid w:val="00114832"/>
    <w:rsid w:val="00117E4D"/>
    <w:rsid w:val="00126079"/>
    <w:rsid w:val="001264E6"/>
    <w:rsid w:val="00127DBD"/>
    <w:rsid w:val="00132CB8"/>
    <w:rsid w:val="001346A0"/>
    <w:rsid w:val="001357A4"/>
    <w:rsid w:val="00141C99"/>
    <w:rsid w:val="0014231C"/>
    <w:rsid w:val="00145BCC"/>
    <w:rsid w:val="00147FF0"/>
    <w:rsid w:val="001503AF"/>
    <w:rsid w:val="001644DF"/>
    <w:rsid w:val="00164C76"/>
    <w:rsid w:val="0016712D"/>
    <w:rsid w:val="0017186B"/>
    <w:rsid w:val="00174807"/>
    <w:rsid w:val="00187146"/>
    <w:rsid w:val="001873FC"/>
    <w:rsid w:val="001918F6"/>
    <w:rsid w:val="001B46E2"/>
    <w:rsid w:val="001B51CE"/>
    <w:rsid w:val="001D16B9"/>
    <w:rsid w:val="001D2879"/>
    <w:rsid w:val="001D3510"/>
    <w:rsid w:val="001D6A34"/>
    <w:rsid w:val="001E0A5C"/>
    <w:rsid w:val="001F4A3D"/>
    <w:rsid w:val="001F7227"/>
    <w:rsid w:val="0020306B"/>
    <w:rsid w:val="00205C5F"/>
    <w:rsid w:val="00231104"/>
    <w:rsid w:val="00232298"/>
    <w:rsid w:val="0023343D"/>
    <w:rsid w:val="00256E48"/>
    <w:rsid w:val="00256EA4"/>
    <w:rsid w:val="00271073"/>
    <w:rsid w:val="002764DB"/>
    <w:rsid w:val="00282ADF"/>
    <w:rsid w:val="00290F1D"/>
    <w:rsid w:val="00295CD0"/>
    <w:rsid w:val="002A305A"/>
    <w:rsid w:val="002A5125"/>
    <w:rsid w:val="002C2EC7"/>
    <w:rsid w:val="002C55E6"/>
    <w:rsid w:val="002C7044"/>
    <w:rsid w:val="002D0F2B"/>
    <w:rsid w:val="002D2BD2"/>
    <w:rsid w:val="002D3D46"/>
    <w:rsid w:val="002D43B3"/>
    <w:rsid w:val="002D6500"/>
    <w:rsid w:val="002E304C"/>
    <w:rsid w:val="0030077D"/>
    <w:rsid w:val="00301F15"/>
    <w:rsid w:val="003107B3"/>
    <w:rsid w:val="00311CE6"/>
    <w:rsid w:val="00316CFF"/>
    <w:rsid w:val="00322B0A"/>
    <w:rsid w:val="003420EB"/>
    <w:rsid w:val="0034576D"/>
    <w:rsid w:val="00361A1E"/>
    <w:rsid w:val="003640C6"/>
    <w:rsid w:val="0036770C"/>
    <w:rsid w:val="00382EE6"/>
    <w:rsid w:val="00390B9F"/>
    <w:rsid w:val="003924BE"/>
    <w:rsid w:val="00394B76"/>
    <w:rsid w:val="003A32A9"/>
    <w:rsid w:val="003A35B2"/>
    <w:rsid w:val="003A5D3F"/>
    <w:rsid w:val="003B29EE"/>
    <w:rsid w:val="003B58BF"/>
    <w:rsid w:val="003C35FE"/>
    <w:rsid w:val="003C406C"/>
    <w:rsid w:val="003C6537"/>
    <w:rsid w:val="003C71F2"/>
    <w:rsid w:val="003D4043"/>
    <w:rsid w:val="003E0459"/>
    <w:rsid w:val="003E2FCC"/>
    <w:rsid w:val="003E30D6"/>
    <w:rsid w:val="003E4C9A"/>
    <w:rsid w:val="003E68B2"/>
    <w:rsid w:val="003F0098"/>
    <w:rsid w:val="003F20F0"/>
    <w:rsid w:val="003F3273"/>
    <w:rsid w:val="00413AF0"/>
    <w:rsid w:val="00416D91"/>
    <w:rsid w:val="004172BB"/>
    <w:rsid w:val="00420F80"/>
    <w:rsid w:val="004259B8"/>
    <w:rsid w:val="004268C1"/>
    <w:rsid w:val="00435F1B"/>
    <w:rsid w:val="00455591"/>
    <w:rsid w:val="00482F24"/>
    <w:rsid w:val="0048456C"/>
    <w:rsid w:val="00496686"/>
    <w:rsid w:val="004A1675"/>
    <w:rsid w:val="004A5575"/>
    <w:rsid w:val="004A7A41"/>
    <w:rsid w:val="004B787E"/>
    <w:rsid w:val="004C1220"/>
    <w:rsid w:val="004C254D"/>
    <w:rsid w:val="004C558E"/>
    <w:rsid w:val="004C770E"/>
    <w:rsid w:val="004D6EF5"/>
    <w:rsid w:val="004E3F90"/>
    <w:rsid w:val="004F0328"/>
    <w:rsid w:val="004F0E0F"/>
    <w:rsid w:val="004F2923"/>
    <w:rsid w:val="00500ACB"/>
    <w:rsid w:val="00506207"/>
    <w:rsid w:val="00511508"/>
    <w:rsid w:val="00513FBC"/>
    <w:rsid w:val="00527BA5"/>
    <w:rsid w:val="0053222E"/>
    <w:rsid w:val="00540BF8"/>
    <w:rsid w:val="00547F26"/>
    <w:rsid w:val="00552D8E"/>
    <w:rsid w:val="00554CF5"/>
    <w:rsid w:val="0056309F"/>
    <w:rsid w:val="005637F7"/>
    <w:rsid w:val="00585C8E"/>
    <w:rsid w:val="00587800"/>
    <w:rsid w:val="0059162A"/>
    <w:rsid w:val="00597130"/>
    <w:rsid w:val="005A069E"/>
    <w:rsid w:val="005A4C84"/>
    <w:rsid w:val="005A584A"/>
    <w:rsid w:val="005B6429"/>
    <w:rsid w:val="005B72BB"/>
    <w:rsid w:val="005C0800"/>
    <w:rsid w:val="005C5178"/>
    <w:rsid w:val="005C6EE0"/>
    <w:rsid w:val="005D1953"/>
    <w:rsid w:val="005D44AC"/>
    <w:rsid w:val="005E1478"/>
    <w:rsid w:val="005E4650"/>
    <w:rsid w:val="005E4EA2"/>
    <w:rsid w:val="005E6B19"/>
    <w:rsid w:val="00604E85"/>
    <w:rsid w:val="00614EF5"/>
    <w:rsid w:val="00615358"/>
    <w:rsid w:val="00615F2C"/>
    <w:rsid w:val="006231D1"/>
    <w:rsid w:val="00636F64"/>
    <w:rsid w:val="00642932"/>
    <w:rsid w:val="006455E4"/>
    <w:rsid w:val="006518E5"/>
    <w:rsid w:val="00651A15"/>
    <w:rsid w:val="00654155"/>
    <w:rsid w:val="006548C1"/>
    <w:rsid w:val="0065733F"/>
    <w:rsid w:val="00661BE4"/>
    <w:rsid w:val="00664725"/>
    <w:rsid w:val="006668E7"/>
    <w:rsid w:val="00670A11"/>
    <w:rsid w:val="00671AC7"/>
    <w:rsid w:val="00673DE2"/>
    <w:rsid w:val="00682FE2"/>
    <w:rsid w:val="00683073"/>
    <w:rsid w:val="006875AB"/>
    <w:rsid w:val="0069100F"/>
    <w:rsid w:val="006A2326"/>
    <w:rsid w:val="006A6E66"/>
    <w:rsid w:val="006A7DD0"/>
    <w:rsid w:val="006C6201"/>
    <w:rsid w:val="006C6665"/>
    <w:rsid w:val="006C756F"/>
    <w:rsid w:val="006D1E73"/>
    <w:rsid w:val="006D63CE"/>
    <w:rsid w:val="006E5639"/>
    <w:rsid w:val="007004E2"/>
    <w:rsid w:val="007126E9"/>
    <w:rsid w:val="007427E2"/>
    <w:rsid w:val="0075315F"/>
    <w:rsid w:val="007535F1"/>
    <w:rsid w:val="0075465F"/>
    <w:rsid w:val="0075723A"/>
    <w:rsid w:val="00764D14"/>
    <w:rsid w:val="00772FAD"/>
    <w:rsid w:val="0077341D"/>
    <w:rsid w:val="0079462F"/>
    <w:rsid w:val="007A1844"/>
    <w:rsid w:val="007A544C"/>
    <w:rsid w:val="007A66E6"/>
    <w:rsid w:val="007B08CF"/>
    <w:rsid w:val="007B1B7E"/>
    <w:rsid w:val="007B4587"/>
    <w:rsid w:val="007B6D42"/>
    <w:rsid w:val="007C47EA"/>
    <w:rsid w:val="007C5484"/>
    <w:rsid w:val="007D5DA7"/>
    <w:rsid w:val="007E25D9"/>
    <w:rsid w:val="007F2E42"/>
    <w:rsid w:val="007F43AF"/>
    <w:rsid w:val="007F50D7"/>
    <w:rsid w:val="00805C61"/>
    <w:rsid w:val="00807746"/>
    <w:rsid w:val="00814254"/>
    <w:rsid w:val="00815DCB"/>
    <w:rsid w:val="008225DB"/>
    <w:rsid w:val="008248A6"/>
    <w:rsid w:val="00831694"/>
    <w:rsid w:val="00843769"/>
    <w:rsid w:val="0084778B"/>
    <w:rsid w:val="00850C39"/>
    <w:rsid w:val="008549F5"/>
    <w:rsid w:val="00855DF1"/>
    <w:rsid w:val="00857545"/>
    <w:rsid w:val="00861DAA"/>
    <w:rsid w:val="008627D7"/>
    <w:rsid w:val="00876B0A"/>
    <w:rsid w:val="00895D8F"/>
    <w:rsid w:val="008A2A31"/>
    <w:rsid w:val="008B4AA4"/>
    <w:rsid w:val="008C5DD2"/>
    <w:rsid w:val="008F3693"/>
    <w:rsid w:val="00900395"/>
    <w:rsid w:val="00912BE2"/>
    <w:rsid w:val="009314B2"/>
    <w:rsid w:val="009412DC"/>
    <w:rsid w:val="00946764"/>
    <w:rsid w:val="009470EE"/>
    <w:rsid w:val="00950492"/>
    <w:rsid w:val="009508DB"/>
    <w:rsid w:val="00951677"/>
    <w:rsid w:val="00953651"/>
    <w:rsid w:val="0097360F"/>
    <w:rsid w:val="0097794D"/>
    <w:rsid w:val="009806F4"/>
    <w:rsid w:val="0099425E"/>
    <w:rsid w:val="00994D7C"/>
    <w:rsid w:val="009973A0"/>
    <w:rsid w:val="009A1445"/>
    <w:rsid w:val="009B059F"/>
    <w:rsid w:val="009B0931"/>
    <w:rsid w:val="009B1DAF"/>
    <w:rsid w:val="009C2B71"/>
    <w:rsid w:val="009C62AE"/>
    <w:rsid w:val="009D3B70"/>
    <w:rsid w:val="009D5A28"/>
    <w:rsid w:val="009F209C"/>
    <w:rsid w:val="009F222C"/>
    <w:rsid w:val="009F7218"/>
    <w:rsid w:val="00A023B6"/>
    <w:rsid w:val="00A0277B"/>
    <w:rsid w:val="00A06E74"/>
    <w:rsid w:val="00A073C5"/>
    <w:rsid w:val="00A17D3B"/>
    <w:rsid w:val="00A233B8"/>
    <w:rsid w:val="00A24CB0"/>
    <w:rsid w:val="00A26874"/>
    <w:rsid w:val="00A26C53"/>
    <w:rsid w:val="00A33214"/>
    <w:rsid w:val="00A37FA4"/>
    <w:rsid w:val="00A449CE"/>
    <w:rsid w:val="00A45D41"/>
    <w:rsid w:val="00A5581E"/>
    <w:rsid w:val="00A575F8"/>
    <w:rsid w:val="00A630BC"/>
    <w:rsid w:val="00A64BD3"/>
    <w:rsid w:val="00A67AB0"/>
    <w:rsid w:val="00A7044E"/>
    <w:rsid w:val="00A731FE"/>
    <w:rsid w:val="00A73A8F"/>
    <w:rsid w:val="00A741FD"/>
    <w:rsid w:val="00A92EFF"/>
    <w:rsid w:val="00AB00C7"/>
    <w:rsid w:val="00AB3D72"/>
    <w:rsid w:val="00AB69A5"/>
    <w:rsid w:val="00AD5A52"/>
    <w:rsid w:val="00AD6787"/>
    <w:rsid w:val="00AE2330"/>
    <w:rsid w:val="00AE45F6"/>
    <w:rsid w:val="00AE489C"/>
    <w:rsid w:val="00AE6870"/>
    <w:rsid w:val="00AF53F6"/>
    <w:rsid w:val="00B12727"/>
    <w:rsid w:val="00B22E49"/>
    <w:rsid w:val="00B27603"/>
    <w:rsid w:val="00B33B1B"/>
    <w:rsid w:val="00B33E47"/>
    <w:rsid w:val="00B34AC8"/>
    <w:rsid w:val="00B41697"/>
    <w:rsid w:val="00B42148"/>
    <w:rsid w:val="00B45E2F"/>
    <w:rsid w:val="00B52F96"/>
    <w:rsid w:val="00B57830"/>
    <w:rsid w:val="00B604F8"/>
    <w:rsid w:val="00B66A8B"/>
    <w:rsid w:val="00B7440E"/>
    <w:rsid w:val="00B74A45"/>
    <w:rsid w:val="00B77BA6"/>
    <w:rsid w:val="00B803E8"/>
    <w:rsid w:val="00B82969"/>
    <w:rsid w:val="00B91E19"/>
    <w:rsid w:val="00BA345E"/>
    <w:rsid w:val="00BA3619"/>
    <w:rsid w:val="00BD2B4A"/>
    <w:rsid w:val="00BD5DC3"/>
    <w:rsid w:val="00BE5E78"/>
    <w:rsid w:val="00BF5E23"/>
    <w:rsid w:val="00C01A78"/>
    <w:rsid w:val="00C04EC8"/>
    <w:rsid w:val="00C0630A"/>
    <w:rsid w:val="00C06B5E"/>
    <w:rsid w:val="00C07744"/>
    <w:rsid w:val="00C10325"/>
    <w:rsid w:val="00C1279E"/>
    <w:rsid w:val="00C17B49"/>
    <w:rsid w:val="00C4474C"/>
    <w:rsid w:val="00C46112"/>
    <w:rsid w:val="00C51228"/>
    <w:rsid w:val="00C62335"/>
    <w:rsid w:val="00C62F4A"/>
    <w:rsid w:val="00C63F9C"/>
    <w:rsid w:val="00C7113C"/>
    <w:rsid w:val="00C81B1E"/>
    <w:rsid w:val="00C927E7"/>
    <w:rsid w:val="00C96790"/>
    <w:rsid w:val="00CA68C8"/>
    <w:rsid w:val="00CC2CBF"/>
    <w:rsid w:val="00CE04E6"/>
    <w:rsid w:val="00CE7951"/>
    <w:rsid w:val="00D13D42"/>
    <w:rsid w:val="00D20D41"/>
    <w:rsid w:val="00D23F70"/>
    <w:rsid w:val="00D34B7D"/>
    <w:rsid w:val="00D375F8"/>
    <w:rsid w:val="00D43093"/>
    <w:rsid w:val="00D46008"/>
    <w:rsid w:val="00D47AA9"/>
    <w:rsid w:val="00D558AC"/>
    <w:rsid w:val="00D61C18"/>
    <w:rsid w:val="00D67DBB"/>
    <w:rsid w:val="00D768FD"/>
    <w:rsid w:val="00D77EC5"/>
    <w:rsid w:val="00D84846"/>
    <w:rsid w:val="00D87045"/>
    <w:rsid w:val="00D9379A"/>
    <w:rsid w:val="00D95E15"/>
    <w:rsid w:val="00D962C6"/>
    <w:rsid w:val="00DA1EAA"/>
    <w:rsid w:val="00DC059A"/>
    <w:rsid w:val="00DD08EC"/>
    <w:rsid w:val="00DD335F"/>
    <w:rsid w:val="00DE4D9F"/>
    <w:rsid w:val="00DE6EE9"/>
    <w:rsid w:val="00DF0DD8"/>
    <w:rsid w:val="00DF1495"/>
    <w:rsid w:val="00E00707"/>
    <w:rsid w:val="00E01D63"/>
    <w:rsid w:val="00E0448B"/>
    <w:rsid w:val="00E07A45"/>
    <w:rsid w:val="00E1125C"/>
    <w:rsid w:val="00E20424"/>
    <w:rsid w:val="00E310A1"/>
    <w:rsid w:val="00E40FED"/>
    <w:rsid w:val="00E67A71"/>
    <w:rsid w:val="00E73C01"/>
    <w:rsid w:val="00E7538C"/>
    <w:rsid w:val="00E92AE9"/>
    <w:rsid w:val="00E94834"/>
    <w:rsid w:val="00E964DB"/>
    <w:rsid w:val="00E97089"/>
    <w:rsid w:val="00EA41DB"/>
    <w:rsid w:val="00EB2D7D"/>
    <w:rsid w:val="00EB56C7"/>
    <w:rsid w:val="00EB77B4"/>
    <w:rsid w:val="00EE6C8B"/>
    <w:rsid w:val="00EF01F0"/>
    <w:rsid w:val="00EF63E1"/>
    <w:rsid w:val="00EF6752"/>
    <w:rsid w:val="00EF6BF2"/>
    <w:rsid w:val="00F00114"/>
    <w:rsid w:val="00F07FD1"/>
    <w:rsid w:val="00F11C6E"/>
    <w:rsid w:val="00F15488"/>
    <w:rsid w:val="00F15692"/>
    <w:rsid w:val="00F157C0"/>
    <w:rsid w:val="00F1656A"/>
    <w:rsid w:val="00F21178"/>
    <w:rsid w:val="00F2485B"/>
    <w:rsid w:val="00F30B34"/>
    <w:rsid w:val="00F31C7A"/>
    <w:rsid w:val="00F323FC"/>
    <w:rsid w:val="00F36E9A"/>
    <w:rsid w:val="00F37DD7"/>
    <w:rsid w:val="00F4265E"/>
    <w:rsid w:val="00F45500"/>
    <w:rsid w:val="00F52E42"/>
    <w:rsid w:val="00F5754A"/>
    <w:rsid w:val="00F61C63"/>
    <w:rsid w:val="00F75588"/>
    <w:rsid w:val="00F77EF9"/>
    <w:rsid w:val="00F921BF"/>
    <w:rsid w:val="00FA0785"/>
    <w:rsid w:val="00FA089F"/>
    <w:rsid w:val="00FA4C7F"/>
    <w:rsid w:val="00FA4DC6"/>
    <w:rsid w:val="00FA6915"/>
    <w:rsid w:val="00FB283B"/>
    <w:rsid w:val="00FC55E8"/>
    <w:rsid w:val="00FC6B8D"/>
    <w:rsid w:val="00FE6D20"/>
    <w:rsid w:val="00FF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17F066"/>
  <w15:docId w15:val="{9F002C4C-6C5E-4579-BEC2-A7947FEDB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30B3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F64"/>
  </w:style>
  <w:style w:type="paragraph" w:styleId="Footer">
    <w:name w:val="footer"/>
    <w:basedOn w:val="Normal"/>
    <w:link w:val="FooterChar"/>
    <w:uiPriority w:val="99"/>
    <w:unhideWhenUsed/>
    <w:rsid w:val="0063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F64"/>
  </w:style>
  <w:style w:type="paragraph" w:styleId="ListParagraph">
    <w:name w:val="List Paragraph"/>
    <w:basedOn w:val="Normal"/>
    <w:uiPriority w:val="34"/>
    <w:qFormat/>
    <w:rsid w:val="009F209C"/>
    <w:pPr>
      <w:ind w:left="720"/>
      <w:contextualSpacing/>
    </w:pPr>
  </w:style>
  <w:style w:type="paragraph" w:styleId="BalloonText">
    <w:name w:val="Balloon Text"/>
    <w:basedOn w:val="Normal"/>
    <w:link w:val="BalloonTextChar"/>
    <w:uiPriority w:val="99"/>
    <w:semiHidden/>
    <w:unhideWhenUsed/>
    <w:rsid w:val="00141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C99"/>
    <w:rPr>
      <w:rFonts w:ascii="Segoe UI" w:hAnsi="Segoe UI" w:cs="Segoe UI"/>
      <w:sz w:val="18"/>
      <w:szCs w:val="18"/>
    </w:rPr>
  </w:style>
  <w:style w:type="paragraph" w:styleId="NormalWeb">
    <w:name w:val="Normal (Web)"/>
    <w:basedOn w:val="Normal"/>
    <w:uiPriority w:val="99"/>
    <w:semiHidden/>
    <w:unhideWhenUsed/>
    <w:rsid w:val="000569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6991"/>
    <w:rPr>
      <w:b/>
      <w:bCs/>
    </w:rPr>
  </w:style>
  <w:style w:type="character" w:styleId="Hyperlink">
    <w:name w:val="Hyperlink"/>
    <w:basedOn w:val="DefaultParagraphFont"/>
    <w:uiPriority w:val="99"/>
    <w:unhideWhenUsed/>
    <w:rsid w:val="00056991"/>
    <w:rPr>
      <w:color w:val="0000FF" w:themeColor="hyperlink"/>
      <w:u w:val="single"/>
    </w:rPr>
  </w:style>
  <w:style w:type="character" w:styleId="Emphasis">
    <w:name w:val="Emphasis"/>
    <w:basedOn w:val="DefaultParagraphFont"/>
    <w:uiPriority w:val="20"/>
    <w:qFormat/>
    <w:rsid w:val="00032CD7"/>
    <w:rPr>
      <w:i/>
      <w:iCs/>
    </w:rPr>
  </w:style>
  <w:style w:type="character" w:customStyle="1" w:styleId="apple-converted-space">
    <w:name w:val="apple-converted-space"/>
    <w:basedOn w:val="DefaultParagraphFont"/>
    <w:rsid w:val="00032CD7"/>
  </w:style>
  <w:style w:type="character" w:customStyle="1" w:styleId="Heading2Char">
    <w:name w:val="Heading 2 Char"/>
    <w:basedOn w:val="DefaultParagraphFont"/>
    <w:link w:val="Heading2"/>
    <w:uiPriority w:val="9"/>
    <w:rsid w:val="00F30B34"/>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615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29256">
      <w:bodyDiv w:val="1"/>
      <w:marLeft w:val="0"/>
      <w:marRight w:val="0"/>
      <w:marTop w:val="0"/>
      <w:marBottom w:val="0"/>
      <w:divBdr>
        <w:top w:val="none" w:sz="0" w:space="0" w:color="auto"/>
        <w:left w:val="none" w:sz="0" w:space="0" w:color="auto"/>
        <w:bottom w:val="none" w:sz="0" w:space="0" w:color="auto"/>
        <w:right w:val="none" w:sz="0" w:space="0" w:color="auto"/>
      </w:divBdr>
    </w:div>
    <w:div w:id="1009678348">
      <w:bodyDiv w:val="1"/>
      <w:marLeft w:val="0"/>
      <w:marRight w:val="0"/>
      <w:marTop w:val="0"/>
      <w:marBottom w:val="0"/>
      <w:divBdr>
        <w:top w:val="none" w:sz="0" w:space="0" w:color="auto"/>
        <w:left w:val="none" w:sz="0" w:space="0" w:color="auto"/>
        <w:bottom w:val="none" w:sz="0" w:space="0" w:color="auto"/>
        <w:right w:val="none" w:sz="0" w:space="0" w:color="auto"/>
      </w:divBdr>
    </w:div>
    <w:div w:id="1867475544">
      <w:bodyDiv w:val="1"/>
      <w:marLeft w:val="0"/>
      <w:marRight w:val="0"/>
      <w:marTop w:val="0"/>
      <w:marBottom w:val="0"/>
      <w:divBdr>
        <w:top w:val="none" w:sz="0" w:space="0" w:color="auto"/>
        <w:left w:val="none" w:sz="0" w:space="0" w:color="auto"/>
        <w:bottom w:val="none" w:sz="0" w:space="0" w:color="auto"/>
        <w:right w:val="none" w:sz="0" w:space="0" w:color="auto"/>
      </w:divBdr>
    </w:div>
    <w:div w:id="194380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fred.stlouisfed.org/" TargetMode="External"/><Relationship Id="rId18" Type="http://schemas.openxmlformats.org/officeDocument/2006/relationships/hyperlink" Target="https://higherlogicdownload.s3.amazonaws.com/NASBO/9d2d2db1-c943-4f1b-b750-0fca152d64c2/UploadedImages/SER%20Archive/2019_State_Expenditure_Report-S.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iowa.gov/docs/publications/FTNO/966760.pdf" TargetMode="Externa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hyperlink" Target="https://www.census.gov/data/tables/2018/econ/school-finances/secondary-education-finance.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iowa.gov/docs/publications/FTNO/966760.pdf" TargetMode="External"/><Relationship Id="rId5" Type="http://schemas.openxmlformats.org/officeDocument/2006/relationships/webSettings" Target="webSettings.xml"/><Relationship Id="rId15" Type="http://schemas.openxmlformats.org/officeDocument/2006/relationships/hyperlink" Target="https://www.deptofnumbers.com/income/iowa/" TargetMode="Externa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fred.stlouisfed.or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buckton@rsaia.org" TargetMode="External"/><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Margaret\Desktop\Education%20Coalition\Allowable%20GROWTH%20History%201972.73%20to%202019.20.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garet\Desktop\Education%20Coalition\NASBO%20state%20expenditure%20repor%202018.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baseline="0"/>
            </a:pPr>
            <a:r>
              <a:rPr lang="en-US" sz="1100" baseline="0"/>
              <a:t>Iowa State Cost Per Pupil Funding History</a:t>
            </a:r>
          </a:p>
        </c:rich>
      </c:tx>
      <c:layout>
        <c:manualLayout>
          <c:xMode val="edge"/>
          <c:yMode val="edge"/>
          <c:x val="0.25491672464826409"/>
          <c:y val="2.0929553030662306E-2"/>
        </c:manualLayout>
      </c:layout>
      <c:overlay val="0"/>
    </c:title>
    <c:autoTitleDeleted val="0"/>
    <c:plotArea>
      <c:layout>
        <c:manualLayout>
          <c:layoutTarget val="inner"/>
          <c:xMode val="edge"/>
          <c:yMode val="edge"/>
          <c:x val="9.2027946224525939E-2"/>
          <c:y val="0.11521067234435077"/>
          <c:w val="0.89045516308922135"/>
          <c:h val="0.74379397316540075"/>
        </c:manualLayout>
      </c:layout>
      <c:lineChart>
        <c:grouping val="standard"/>
        <c:varyColors val="0"/>
        <c:ser>
          <c:idx val="0"/>
          <c:order val="0"/>
          <c:dPt>
            <c:idx val="25"/>
            <c:marker>
              <c:spPr>
                <a:solidFill>
                  <a:schemeClr val="accent1">
                    <a:lumMod val="75000"/>
                  </a:schemeClr>
                </a:solidFill>
                <a:ln>
                  <a:solidFill>
                    <a:srgbClr val="0070C0"/>
                  </a:solidFill>
                </a:ln>
              </c:spPr>
            </c:marker>
            <c:bubble3D val="0"/>
            <c:extLst>
              <c:ext xmlns:c16="http://schemas.microsoft.com/office/drawing/2014/chart" uri="{C3380CC4-5D6E-409C-BE32-E72D297353CC}">
                <c16:uniqueId val="{00000000-0052-4CA3-8CDA-C8161C425750}"/>
              </c:ext>
            </c:extLst>
          </c:dPt>
          <c:trendline>
            <c:trendlineType val="linear"/>
            <c:dispRSqr val="0"/>
            <c:dispEq val="0"/>
          </c:trendline>
          <c:cat>
            <c:strRef>
              <c:f>Sheet1!$A$3:$A$51</c:f>
              <c:strCache>
                <c:ptCount val="49"/>
                <c:pt idx="0">
                  <c:v>72/73</c:v>
                </c:pt>
                <c:pt idx="1">
                  <c:v>73/74</c:v>
                </c:pt>
                <c:pt idx="2">
                  <c:v>74/75</c:v>
                </c:pt>
                <c:pt idx="3">
                  <c:v>75/76</c:v>
                </c:pt>
                <c:pt idx="4">
                  <c:v>76/77</c:v>
                </c:pt>
                <c:pt idx="5">
                  <c:v>77/78</c:v>
                </c:pt>
                <c:pt idx="6">
                  <c:v>78/79</c:v>
                </c:pt>
                <c:pt idx="7">
                  <c:v>79/80</c:v>
                </c:pt>
                <c:pt idx="8">
                  <c:v>80/81</c:v>
                </c:pt>
                <c:pt idx="9">
                  <c:v>81/82</c:v>
                </c:pt>
                <c:pt idx="10">
                  <c:v>82/83</c:v>
                </c:pt>
                <c:pt idx="11">
                  <c:v>83/84</c:v>
                </c:pt>
                <c:pt idx="12">
                  <c:v>84/85</c:v>
                </c:pt>
                <c:pt idx="13">
                  <c:v>85/86</c:v>
                </c:pt>
                <c:pt idx="14">
                  <c:v>86/87</c:v>
                </c:pt>
                <c:pt idx="15">
                  <c:v>87/88</c:v>
                </c:pt>
                <c:pt idx="16">
                  <c:v>88/89</c:v>
                </c:pt>
                <c:pt idx="17">
                  <c:v>89/90</c:v>
                </c:pt>
                <c:pt idx="18">
                  <c:v>90/91</c:v>
                </c:pt>
                <c:pt idx="19">
                  <c:v>91/92</c:v>
                </c:pt>
                <c:pt idx="20">
                  <c:v>92/93</c:v>
                </c:pt>
                <c:pt idx="21">
                  <c:v>93/94</c:v>
                </c:pt>
                <c:pt idx="22">
                  <c:v>94/95</c:v>
                </c:pt>
                <c:pt idx="23">
                  <c:v>95/96</c:v>
                </c:pt>
                <c:pt idx="24">
                  <c:v>96/97</c:v>
                </c:pt>
                <c:pt idx="25">
                  <c:v>97/98</c:v>
                </c:pt>
                <c:pt idx="26">
                  <c:v>98/99</c:v>
                </c:pt>
                <c:pt idx="27">
                  <c:v>99/00</c:v>
                </c:pt>
                <c:pt idx="28">
                  <c:v>00/01</c:v>
                </c:pt>
                <c:pt idx="29">
                  <c:v>01/02</c:v>
                </c:pt>
                <c:pt idx="30">
                  <c:v>02/03</c:v>
                </c:pt>
                <c:pt idx="31">
                  <c:v>03/04</c:v>
                </c:pt>
                <c:pt idx="32">
                  <c:v>04/05</c:v>
                </c:pt>
                <c:pt idx="33">
                  <c:v>05/06</c:v>
                </c:pt>
                <c:pt idx="34">
                  <c:v>06/07</c:v>
                </c:pt>
                <c:pt idx="35">
                  <c:v>07/08</c:v>
                </c:pt>
                <c:pt idx="36">
                  <c:v>08/09</c:v>
                </c:pt>
                <c:pt idx="37">
                  <c:v>09/10</c:v>
                </c:pt>
                <c:pt idx="38">
                  <c:v>10/11</c:v>
                </c:pt>
                <c:pt idx="39">
                  <c:v>11/12</c:v>
                </c:pt>
                <c:pt idx="40">
                  <c:v>12/13</c:v>
                </c:pt>
                <c:pt idx="41">
                  <c:v>13/14</c:v>
                </c:pt>
                <c:pt idx="42">
                  <c:v>14/15</c:v>
                </c:pt>
                <c:pt idx="43">
                  <c:v>15/16</c:v>
                </c:pt>
                <c:pt idx="44">
                  <c:v>16/17</c:v>
                </c:pt>
                <c:pt idx="45">
                  <c:v>17/18</c:v>
                </c:pt>
                <c:pt idx="46">
                  <c:v>18/19</c:v>
                </c:pt>
                <c:pt idx="47">
                  <c:v>19/20</c:v>
                </c:pt>
                <c:pt idx="48">
                  <c:v>20/21</c:v>
                </c:pt>
              </c:strCache>
            </c:strRef>
          </c:cat>
          <c:val>
            <c:numRef>
              <c:f>Sheet1!$B$3:$B$51</c:f>
              <c:numCache>
                <c:formatCode>.00000</c:formatCode>
                <c:ptCount val="49"/>
                <c:pt idx="0">
                  <c:v>4.9279999999999997E-2</c:v>
                </c:pt>
                <c:pt idx="1">
                  <c:v>0.05</c:v>
                </c:pt>
                <c:pt idx="2">
                  <c:v>0.08</c:v>
                </c:pt>
                <c:pt idx="3">
                  <c:v>0.107</c:v>
                </c:pt>
                <c:pt idx="4">
                  <c:v>9.8250000000000004E-2</c:v>
                </c:pt>
                <c:pt idx="5">
                  <c:v>7.8399999999999997E-2</c:v>
                </c:pt>
                <c:pt idx="6">
                  <c:v>9.4219999999999998E-2</c:v>
                </c:pt>
                <c:pt idx="7">
                  <c:v>9.4839999999999994E-2</c:v>
                </c:pt>
                <c:pt idx="8">
                  <c:v>0.13592000000000001</c:v>
                </c:pt>
                <c:pt idx="9">
                  <c:v>0.05</c:v>
                </c:pt>
                <c:pt idx="10">
                  <c:v>7.0000000000000007E-2</c:v>
                </c:pt>
                <c:pt idx="11">
                  <c:v>6.1030000000000001E-2</c:v>
                </c:pt>
                <c:pt idx="12">
                  <c:v>2.5399999999999999E-2</c:v>
                </c:pt>
                <c:pt idx="13">
                  <c:v>5.3249999999999999E-2</c:v>
                </c:pt>
                <c:pt idx="14">
                  <c:v>3.8429999999999999E-2</c:v>
                </c:pt>
                <c:pt idx="15">
                  <c:v>3.4689999999999999E-2</c:v>
                </c:pt>
                <c:pt idx="16">
                  <c:v>3.5920000000000001E-2</c:v>
                </c:pt>
                <c:pt idx="17">
                  <c:v>3.5340000000000003E-2</c:v>
                </c:pt>
                <c:pt idx="18">
                  <c:v>7.1819999999999995E-2</c:v>
                </c:pt>
                <c:pt idx="19">
                  <c:v>4.2110000000000002E-2</c:v>
                </c:pt>
                <c:pt idx="20">
                  <c:v>4.1509999999999998E-2</c:v>
                </c:pt>
                <c:pt idx="21">
                  <c:v>2.1000000000000001E-2</c:v>
                </c:pt>
                <c:pt idx="22">
                  <c:v>2.8500000000000001E-2</c:v>
                </c:pt>
                <c:pt idx="23">
                  <c:v>3.5000000000000003E-2</c:v>
                </c:pt>
                <c:pt idx="24">
                  <c:v>3.3000000000000002E-2</c:v>
                </c:pt>
                <c:pt idx="25">
                  <c:v>3.5000000000000003E-2</c:v>
                </c:pt>
                <c:pt idx="26">
                  <c:v>3.5000000000000003E-2</c:v>
                </c:pt>
                <c:pt idx="27">
                  <c:v>0.03</c:v>
                </c:pt>
                <c:pt idx="28">
                  <c:v>0.04</c:v>
                </c:pt>
                <c:pt idx="29">
                  <c:v>0.04</c:v>
                </c:pt>
                <c:pt idx="30">
                  <c:v>0.01</c:v>
                </c:pt>
                <c:pt idx="31">
                  <c:v>0.02</c:v>
                </c:pt>
                <c:pt idx="32">
                  <c:v>0.02</c:v>
                </c:pt>
                <c:pt idx="33">
                  <c:v>0.04</c:v>
                </c:pt>
                <c:pt idx="34">
                  <c:v>0.04</c:v>
                </c:pt>
                <c:pt idx="35">
                  <c:v>0.04</c:v>
                </c:pt>
                <c:pt idx="36">
                  <c:v>0.04</c:v>
                </c:pt>
                <c:pt idx="37">
                  <c:v>0.04</c:v>
                </c:pt>
                <c:pt idx="38">
                  <c:v>0.02</c:v>
                </c:pt>
                <c:pt idx="39">
                  <c:v>0</c:v>
                </c:pt>
                <c:pt idx="40">
                  <c:v>0.02</c:v>
                </c:pt>
                <c:pt idx="41">
                  <c:v>0.02</c:v>
                </c:pt>
                <c:pt idx="42">
                  <c:v>0.04</c:v>
                </c:pt>
                <c:pt idx="43">
                  <c:v>1.2500000000000001E-2</c:v>
                </c:pt>
                <c:pt idx="44">
                  <c:v>2.2499999999999999E-2</c:v>
                </c:pt>
                <c:pt idx="45">
                  <c:v>1.11E-2</c:v>
                </c:pt>
                <c:pt idx="46">
                  <c:v>0.01</c:v>
                </c:pt>
                <c:pt idx="47">
                  <c:v>2.06E-2</c:v>
                </c:pt>
                <c:pt idx="48">
                  <c:v>2.3E-2</c:v>
                </c:pt>
              </c:numCache>
            </c:numRef>
          </c:val>
          <c:smooth val="0"/>
          <c:extLst>
            <c:ext xmlns:c16="http://schemas.microsoft.com/office/drawing/2014/chart" uri="{C3380CC4-5D6E-409C-BE32-E72D297353CC}">
              <c16:uniqueId val="{00000001-0052-4CA3-8CDA-C8161C425750}"/>
            </c:ext>
          </c:extLst>
        </c:ser>
        <c:dLbls>
          <c:showLegendKey val="0"/>
          <c:showVal val="0"/>
          <c:showCatName val="0"/>
          <c:showSerName val="0"/>
          <c:showPercent val="0"/>
          <c:showBubbleSize val="0"/>
        </c:dLbls>
        <c:marker val="1"/>
        <c:smooth val="0"/>
        <c:axId val="237478288"/>
        <c:axId val="1"/>
      </c:lineChart>
      <c:catAx>
        <c:axId val="237478288"/>
        <c:scaling>
          <c:orientation val="minMax"/>
        </c:scaling>
        <c:delete val="0"/>
        <c:axPos val="b"/>
        <c:numFmt formatCode="General" sourceLinked="1"/>
        <c:majorTickMark val="none"/>
        <c:minorTickMark val="none"/>
        <c:tickLblPos val="nextTo"/>
        <c:txPr>
          <a:bodyPr/>
          <a:lstStyle/>
          <a:p>
            <a:pPr>
              <a:defRPr sz="1000" baseline="0"/>
            </a:pPr>
            <a:endParaRPr lang="en-US"/>
          </a:p>
        </c:txPr>
        <c:crossAx val="1"/>
        <c:crosses val="autoZero"/>
        <c:auto val="1"/>
        <c:lblAlgn val="ctr"/>
        <c:lblOffset val="100"/>
        <c:noMultiLvlLbl val="0"/>
      </c:catAx>
      <c:valAx>
        <c:axId val="1"/>
        <c:scaling>
          <c:orientation val="minMax"/>
          <c:max val="0.16000000000000003"/>
          <c:min val="0"/>
        </c:scaling>
        <c:delete val="0"/>
        <c:axPos val="l"/>
        <c:majorGridlines/>
        <c:title>
          <c:tx>
            <c:rich>
              <a:bodyPr/>
              <a:lstStyle/>
              <a:p>
                <a:pPr>
                  <a:defRPr sz="700"/>
                </a:pPr>
                <a:r>
                  <a:rPr lang="en-US" sz="700"/>
                  <a:t>Percent Increase in State Cost Per Pupil </a:t>
                </a:r>
              </a:p>
            </c:rich>
          </c:tx>
          <c:overlay val="0"/>
        </c:title>
        <c:numFmt formatCode="0%" sourceLinked="0"/>
        <c:majorTickMark val="none"/>
        <c:minorTickMark val="none"/>
        <c:tickLblPos val="nextTo"/>
        <c:txPr>
          <a:bodyPr/>
          <a:lstStyle/>
          <a:p>
            <a:pPr>
              <a:defRPr sz="800"/>
            </a:pPr>
            <a:endParaRPr lang="en-US"/>
          </a:p>
        </c:txPr>
        <c:crossAx val="237478288"/>
        <c:crosses val="autoZero"/>
        <c:crossBetween val="between"/>
      </c:valAx>
      <c:spPr>
        <a:solidFill>
          <a:srgbClr val="FFFF99"/>
        </a:solidFill>
      </c:spPr>
    </c:plotArea>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r>
              <a:rPr lang="en-US" sz="1000"/>
              <a:t>Elementary and Secondary Expenditures </a:t>
            </a:r>
          </a:p>
          <a:p>
            <a:pPr>
              <a:defRPr sz="800"/>
            </a:pPr>
            <a:r>
              <a:rPr lang="en-US" sz="1000"/>
              <a:t>as a Percent of Total Expenditures</a:t>
            </a:r>
          </a:p>
          <a:p>
            <a:pPr>
              <a:defRPr sz="800"/>
            </a:pPr>
            <a:r>
              <a:rPr lang="en-US" sz="1000"/>
              <a:t>Plains</a:t>
            </a:r>
            <a:r>
              <a:rPr lang="en-US" sz="1000" baseline="0"/>
              <a:t> States and USA Average</a:t>
            </a:r>
            <a:endParaRPr lang="en-US" sz="1000"/>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6580927384076991E-2"/>
          <c:y val="0.2437037037037037"/>
          <c:w val="0.90286351706036749"/>
          <c:h val="0.5429935841353164"/>
        </c:manualLayout>
      </c:layout>
      <c:barChart>
        <c:barDir val="col"/>
        <c:grouping val="clustered"/>
        <c:varyColors val="0"/>
        <c:ser>
          <c:idx val="0"/>
          <c:order val="0"/>
          <c:tx>
            <c:strRef>
              <c:f>Sheet1!$B$2</c:f>
              <c:strCache>
                <c:ptCount val="1"/>
                <c:pt idx="0">
                  <c:v>FY16</c:v>
                </c:pt>
              </c:strCache>
            </c:strRef>
          </c:tx>
          <c:spPr>
            <a:pattFill prst="wdUpDiag">
              <a:fgClr>
                <a:schemeClr val="accent1">
                  <a:lumMod val="50000"/>
                </a:schemeClr>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Sheet1!$B$3:$B$10</c:f>
              <c:numCache>
                <c:formatCode>General</c:formatCode>
                <c:ptCount val="8"/>
                <c:pt idx="0">
                  <c:v>14.2</c:v>
                </c:pt>
                <c:pt idx="1">
                  <c:v>14.4</c:v>
                </c:pt>
                <c:pt idx="2">
                  <c:v>15.7</c:v>
                </c:pt>
                <c:pt idx="3">
                  <c:v>15.4</c:v>
                </c:pt>
                <c:pt idx="4">
                  <c:v>19.8</c:v>
                </c:pt>
                <c:pt idx="5">
                  <c:v>23.1</c:v>
                </c:pt>
                <c:pt idx="6">
                  <c:v>24.7</c:v>
                </c:pt>
                <c:pt idx="7">
                  <c:v>29.4</c:v>
                </c:pt>
              </c:numCache>
            </c:numRef>
          </c:val>
          <c:extLst>
            <c:ext xmlns:c16="http://schemas.microsoft.com/office/drawing/2014/chart" uri="{C3380CC4-5D6E-409C-BE32-E72D297353CC}">
              <c16:uniqueId val="{00000000-0AEA-42BD-B016-6FA42E20B663}"/>
            </c:ext>
          </c:extLst>
        </c:ser>
        <c:ser>
          <c:idx val="1"/>
          <c:order val="1"/>
          <c:tx>
            <c:strRef>
              <c:f>Sheet1!$C$2</c:f>
              <c:strCache>
                <c:ptCount val="1"/>
                <c:pt idx="0">
                  <c:v>FY17</c:v>
                </c:pt>
              </c:strCache>
            </c:strRef>
          </c:tx>
          <c:spPr>
            <a:pattFill prst="lgCheck">
              <a:fgClr>
                <a:srgbClr val="FF0000"/>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Sheet1!$C$3:$C$10</c:f>
              <c:numCache>
                <c:formatCode>General</c:formatCode>
                <c:ptCount val="8"/>
                <c:pt idx="0">
                  <c:v>13.9</c:v>
                </c:pt>
                <c:pt idx="1">
                  <c:v>16.5</c:v>
                </c:pt>
                <c:pt idx="2">
                  <c:v>16.600000000000001</c:v>
                </c:pt>
                <c:pt idx="3">
                  <c:v>17.5</c:v>
                </c:pt>
                <c:pt idx="4">
                  <c:v>19.600000000000001</c:v>
                </c:pt>
                <c:pt idx="5">
                  <c:v>22.8</c:v>
                </c:pt>
                <c:pt idx="6">
                  <c:v>26</c:v>
                </c:pt>
                <c:pt idx="7">
                  <c:v>29.5</c:v>
                </c:pt>
              </c:numCache>
            </c:numRef>
          </c:val>
          <c:extLst>
            <c:ext xmlns:c16="http://schemas.microsoft.com/office/drawing/2014/chart" uri="{C3380CC4-5D6E-409C-BE32-E72D297353CC}">
              <c16:uniqueId val="{00000001-0AEA-42BD-B016-6FA42E20B663}"/>
            </c:ext>
          </c:extLst>
        </c:ser>
        <c:ser>
          <c:idx val="2"/>
          <c:order val="2"/>
          <c:tx>
            <c:strRef>
              <c:f>Sheet1!$D$2</c:f>
              <c:strCache>
                <c:ptCount val="1"/>
                <c:pt idx="0">
                  <c:v>FY18</c:v>
                </c:pt>
              </c:strCache>
            </c:strRef>
          </c:tx>
          <c:spPr>
            <a:pattFill prst="pct90">
              <a:fgClr>
                <a:schemeClr val="tx1"/>
              </a:fgClr>
              <a:bgClr>
                <a:schemeClr val="bg1"/>
              </a:bgClr>
            </a:pattFill>
            <a:ln>
              <a:noFill/>
            </a:ln>
            <a:effectLst/>
          </c:spPr>
          <c:invertIfNegative val="0"/>
          <c:cat>
            <c:strRef>
              <c:f>Sheet1!$A$3:$A$10</c:f>
              <c:strCache>
                <c:ptCount val="8"/>
                <c:pt idx="0">
                  <c:v>NE</c:v>
                </c:pt>
                <c:pt idx="1">
                  <c:v>SD</c:v>
                </c:pt>
                <c:pt idx="2">
                  <c:v>IA</c:v>
                </c:pt>
                <c:pt idx="3">
                  <c:v>ND</c:v>
                </c:pt>
                <c:pt idx="4">
                  <c:v>USA AVG</c:v>
                </c:pt>
                <c:pt idx="5">
                  <c:v>MO</c:v>
                </c:pt>
                <c:pt idx="6">
                  <c:v>MN</c:v>
                </c:pt>
                <c:pt idx="7">
                  <c:v>KS</c:v>
                </c:pt>
              </c:strCache>
            </c:strRef>
          </c:cat>
          <c:val>
            <c:numRef>
              <c:f>Sheet1!$D$3:$D$10</c:f>
              <c:numCache>
                <c:formatCode>General</c:formatCode>
                <c:ptCount val="8"/>
                <c:pt idx="0">
                  <c:v>13.9</c:v>
                </c:pt>
                <c:pt idx="1">
                  <c:v>16.399999999999999</c:v>
                </c:pt>
                <c:pt idx="2">
                  <c:v>16.899999999999999</c:v>
                </c:pt>
                <c:pt idx="3">
                  <c:v>19.100000000000001</c:v>
                </c:pt>
                <c:pt idx="4">
                  <c:v>19.600000000000001</c:v>
                </c:pt>
                <c:pt idx="5">
                  <c:v>22.5</c:v>
                </c:pt>
                <c:pt idx="6">
                  <c:v>24.6</c:v>
                </c:pt>
                <c:pt idx="7">
                  <c:v>30.4</c:v>
                </c:pt>
              </c:numCache>
            </c:numRef>
          </c:val>
          <c:extLst>
            <c:ext xmlns:c16="http://schemas.microsoft.com/office/drawing/2014/chart" uri="{C3380CC4-5D6E-409C-BE32-E72D297353CC}">
              <c16:uniqueId val="{00000002-0AEA-42BD-B016-6FA42E20B663}"/>
            </c:ext>
          </c:extLst>
        </c:ser>
        <c:ser>
          <c:idx val="3"/>
          <c:order val="3"/>
          <c:tx>
            <c:strRef>
              <c:f>Sheet1!$E$2</c:f>
              <c:strCache>
                <c:ptCount val="1"/>
                <c:pt idx="0">
                  <c:v>FY19</c:v>
                </c:pt>
              </c:strCache>
            </c:strRef>
          </c:tx>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Sheet1!$A$3:$A$10</c:f>
              <c:strCache>
                <c:ptCount val="8"/>
                <c:pt idx="0">
                  <c:v>NE</c:v>
                </c:pt>
                <c:pt idx="1">
                  <c:v>SD</c:v>
                </c:pt>
                <c:pt idx="2">
                  <c:v>IA</c:v>
                </c:pt>
                <c:pt idx="3">
                  <c:v>ND</c:v>
                </c:pt>
                <c:pt idx="4">
                  <c:v>USA AVG</c:v>
                </c:pt>
                <c:pt idx="5">
                  <c:v>MO</c:v>
                </c:pt>
                <c:pt idx="6">
                  <c:v>MN</c:v>
                </c:pt>
                <c:pt idx="7">
                  <c:v>KS</c:v>
                </c:pt>
              </c:strCache>
            </c:strRef>
          </c:cat>
          <c:val>
            <c:numRef>
              <c:f>Sheet1!$E$3:$E$10</c:f>
              <c:numCache>
                <c:formatCode>General</c:formatCode>
                <c:ptCount val="8"/>
                <c:pt idx="0">
                  <c:v>13.7</c:v>
                </c:pt>
                <c:pt idx="1">
                  <c:v>16.3</c:v>
                </c:pt>
                <c:pt idx="2">
                  <c:v>16.5</c:v>
                </c:pt>
                <c:pt idx="3">
                  <c:v>17.8</c:v>
                </c:pt>
                <c:pt idx="4">
                  <c:v>19.5</c:v>
                </c:pt>
                <c:pt idx="5">
                  <c:v>22.6</c:v>
                </c:pt>
                <c:pt idx="6">
                  <c:v>24.9</c:v>
                </c:pt>
                <c:pt idx="7">
                  <c:v>29.6</c:v>
                </c:pt>
              </c:numCache>
            </c:numRef>
          </c:val>
          <c:extLst>
            <c:ext xmlns:c16="http://schemas.microsoft.com/office/drawing/2014/chart" uri="{C3380CC4-5D6E-409C-BE32-E72D297353CC}">
              <c16:uniqueId val="{00000003-0AEA-42BD-B016-6FA42E20B663}"/>
            </c:ext>
          </c:extLst>
        </c:ser>
        <c:dLbls>
          <c:showLegendKey val="0"/>
          <c:showVal val="0"/>
          <c:showCatName val="0"/>
          <c:showSerName val="0"/>
          <c:showPercent val="0"/>
          <c:showBubbleSize val="0"/>
        </c:dLbls>
        <c:gapWidth val="219"/>
        <c:overlap val="-27"/>
        <c:axId val="352753272"/>
        <c:axId val="352756552"/>
      </c:barChart>
      <c:catAx>
        <c:axId val="35275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6552"/>
        <c:crosses val="autoZero"/>
        <c:auto val="1"/>
        <c:lblAlgn val="ctr"/>
        <c:lblOffset val="100"/>
        <c:noMultiLvlLbl val="0"/>
      </c:catAx>
      <c:valAx>
        <c:axId val="3527565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275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drawing1.xml><?xml version="1.0" encoding="utf-8"?>
<c:userShapes xmlns:c="http://schemas.openxmlformats.org/drawingml/2006/chart">
  <cdr:relSizeAnchor xmlns:cdr="http://schemas.openxmlformats.org/drawingml/2006/chartDrawing">
    <cdr:from>
      <cdr:x>0.11062</cdr:x>
      <cdr:y>0.09792</cdr:y>
    </cdr:from>
    <cdr:to>
      <cdr:x>0.43423</cdr:x>
      <cdr:y>0.24014</cdr:y>
    </cdr:to>
    <cdr:sp macro="" textlink="">
      <cdr:nvSpPr>
        <cdr:cNvPr id="6" name="TextBox 1"/>
        <cdr:cNvSpPr txBox="1"/>
      </cdr:nvSpPr>
      <cdr:spPr>
        <a:xfrm xmlns:a="http://schemas.openxmlformats.org/drawingml/2006/main">
          <a:off x="467822" y="320040"/>
          <a:ext cx="1368597" cy="464820"/>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lnSpc>
              <a:spcPct val="100000"/>
            </a:lnSpc>
          </a:pPr>
          <a:r>
            <a:rPr lang="en-US" sz="650"/>
            <a:t>Set by formula based on economic conditions automatically from the beginning of the formula through 1993-94.</a:t>
          </a:r>
        </a:p>
      </cdr:txBody>
    </cdr:sp>
  </cdr:relSizeAnchor>
  <cdr:relSizeAnchor xmlns:cdr="http://schemas.openxmlformats.org/drawingml/2006/chartDrawing">
    <cdr:from>
      <cdr:x>0.64316</cdr:x>
      <cdr:y>0.67735</cdr:y>
    </cdr:from>
    <cdr:to>
      <cdr:x>0.98987</cdr:x>
      <cdr:y>0.71794</cdr:y>
    </cdr:to>
    <cdr:sp macro="" textlink="">
      <cdr:nvSpPr>
        <cdr:cNvPr id="2" name="TextBox 1"/>
        <cdr:cNvSpPr txBox="1"/>
      </cdr:nvSpPr>
      <cdr:spPr>
        <a:xfrm xmlns:a="http://schemas.openxmlformats.org/drawingml/2006/main">
          <a:off x="6125282" y="4669353"/>
          <a:ext cx="3301973" cy="279837"/>
        </a:xfrm>
        <a:prstGeom xmlns:a="http://schemas.openxmlformats.org/drawingml/2006/main" prst="rect">
          <a:avLst/>
        </a:prstGeom>
        <a:solidFill xmlns:a="http://schemas.openxmlformats.org/drawingml/2006/main">
          <a:srgbClr val="FF0000">
            <a:alpha val="16000"/>
          </a:srgbClr>
        </a:solidFill>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0.4736</cdr:x>
      <cdr:y>0.12266</cdr:y>
    </cdr:from>
    <cdr:to>
      <cdr:x>0.4736</cdr:x>
      <cdr:y>0.85734</cdr:y>
    </cdr:to>
    <cdr:cxnSp macro="">
      <cdr:nvCxnSpPr>
        <cdr:cNvPr id="4" name="Straight Connector 3"/>
        <cdr:cNvCxnSpPr/>
      </cdr:nvCxnSpPr>
      <cdr:spPr>
        <a:xfrm xmlns:a="http://schemas.openxmlformats.org/drawingml/2006/main" flipV="1">
          <a:off x="4511040" y="835660"/>
          <a:ext cx="0" cy="50800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0.47413</cdr:x>
      <cdr:y>0.14365</cdr:y>
    </cdr:from>
    <cdr:to>
      <cdr:x>0.73308</cdr:x>
      <cdr:y>0.27744</cdr:y>
    </cdr:to>
    <cdr:sp macro="" textlink="">
      <cdr:nvSpPr>
        <cdr:cNvPr id="9" name="TextBox 1"/>
        <cdr:cNvSpPr txBox="1"/>
      </cdr:nvSpPr>
      <cdr:spPr>
        <a:xfrm xmlns:a="http://schemas.openxmlformats.org/drawingml/2006/main">
          <a:off x="2005143" y="469498"/>
          <a:ext cx="1095126" cy="437282"/>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50"/>
            <a:t>Legislatively set one year in advance of the budget year beginning in 1994-95.</a:t>
          </a:r>
        </a:p>
      </cdr:txBody>
    </cdr:sp>
  </cdr:relSizeAnchor>
  <cdr:relSizeAnchor xmlns:cdr="http://schemas.openxmlformats.org/drawingml/2006/chartDrawing">
    <cdr:from>
      <cdr:x>0.93333</cdr:x>
      <cdr:y>0.11087</cdr:y>
    </cdr:from>
    <cdr:to>
      <cdr:x>0.93333</cdr:x>
      <cdr:y>0.84579</cdr:y>
    </cdr:to>
    <cdr:cxnSp macro="">
      <cdr:nvCxnSpPr>
        <cdr:cNvPr id="10" name="Straight Connector 9"/>
        <cdr:cNvCxnSpPr/>
      </cdr:nvCxnSpPr>
      <cdr:spPr>
        <a:xfrm xmlns:a="http://schemas.openxmlformats.org/drawingml/2006/main" flipV="1">
          <a:off x="8890000" y="754380"/>
          <a:ext cx="0" cy="508000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0.75971</cdr:x>
      <cdr:y>0.19152</cdr:y>
    </cdr:from>
    <cdr:to>
      <cdr:x>1</cdr:x>
      <cdr:y>0.34039</cdr:y>
    </cdr:to>
    <cdr:sp macro="" textlink="">
      <cdr:nvSpPr>
        <cdr:cNvPr id="7" name="TextBox 1"/>
        <cdr:cNvSpPr txBox="1"/>
      </cdr:nvSpPr>
      <cdr:spPr>
        <a:xfrm xmlns:a="http://schemas.openxmlformats.org/drawingml/2006/main">
          <a:off x="3212890" y="625953"/>
          <a:ext cx="1016210" cy="486567"/>
        </a:xfrm>
        <a:prstGeom xmlns:a="http://schemas.openxmlformats.org/drawingml/2006/main" prst="rect">
          <a:avLst/>
        </a:prstGeom>
        <a:solidFill xmlns:a="http://schemas.openxmlformats.org/drawingml/2006/main">
          <a:schemeClr val="bg1">
            <a:lumMod val="85000"/>
          </a:schemeClr>
        </a:solidFill>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650"/>
            <a:t>Beginning in FY18, set</a:t>
          </a:r>
          <a:r>
            <a:rPr lang="en-US" sz="650" baseline="0"/>
            <a:t> within 30 days of Gov.'s Budget, no longer a year in advance.</a:t>
          </a:r>
          <a:endParaRPr lang="en-US" sz="650"/>
        </a:p>
      </cdr:txBody>
    </cdr:sp>
  </cdr:relSizeAnchor>
  <cdr:relSizeAnchor xmlns:cdr="http://schemas.openxmlformats.org/drawingml/2006/chartDrawing">
    <cdr:from>
      <cdr:x>0.62162</cdr:x>
      <cdr:y>0.44181</cdr:y>
    </cdr:from>
    <cdr:to>
      <cdr:x>0.99932</cdr:x>
      <cdr:y>0.59102</cdr:y>
    </cdr:to>
    <cdr:sp macro="" textlink="">
      <cdr:nvSpPr>
        <cdr:cNvPr id="5" name="TextBox 4"/>
        <cdr:cNvSpPr txBox="1"/>
      </cdr:nvSpPr>
      <cdr:spPr>
        <a:xfrm xmlns:a="http://schemas.openxmlformats.org/drawingml/2006/main">
          <a:off x="2628900" y="1443990"/>
          <a:ext cx="1597335" cy="487680"/>
        </a:xfrm>
        <a:prstGeom xmlns:a="http://schemas.openxmlformats.org/drawingml/2006/main" prst="rect">
          <a:avLst/>
        </a:prstGeom>
        <a:solidFill xmlns:a="http://schemas.openxmlformats.org/drawingml/2006/main">
          <a:schemeClr val="bg1"/>
        </a:solidFill>
      </cdr:spPr>
      <cdr:txBody>
        <a:bodyPr xmlns:a="http://schemas.openxmlformats.org/drawingml/2006/main" vertOverflow="clip" wrap="square" rtlCol="0"/>
        <a:lstStyle xmlns:a="http://schemas.openxmlformats.org/drawingml/2006/main"/>
        <a:p xmlns:a="http://schemas.openxmlformats.org/drawingml/2006/main">
          <a:pPr>
            <a:lnSpc>
              <a:spcPct val="100000"/>
            </a:lnSpc>
          </a:pPr>
          <a:r>
            <a:rPr lang="en-US" sz="600"/>
            <a:t>Historical annual cost increase</a:t>
          </a:r>
          <a:r>
            <a:rPr lang="en-US" sz="600" baseline="0"/>
            <a:t> of doing school is 3.0-4.0% (orange band below): SSA set in 10 of the last 11 years lags the cost increase schools have faced.</a:t>
          </a:r>
          <a:endParaRPr lang="en-US" sz="600"/>
        </a:p>
      </cdr:txBody>
    </cdr:sp>
  </cdr:relSizeAnchor>
  <cdr:relSizeAnchor xmlns:cdr="http://schemas.openxmlformats.org/drawingml/2006/chartDrawing">
    <cdr:from>
      <cdr:x>0.00533</cdr:x>
      <cdr:y>0.00737</cdr:y>
    </cdr:from>
    <cdr:to>
      <cdr:x>0.11375</cdr:x>
      <cdr:y>0.07102</cdr:y>
    </cdr:to>
    <cdr:pic>
      <cdr:nvPicPr>
        <cdr:cNvPr id="11" name="Picture 10"/>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3211" y="24088"/>
          <a:ext cx="472151" cy="208030"/>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A4FC9-EB6A-480C-B58F-A855B4E4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1211</Words>
  <Characters>6907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dc:creator>
  <cp:lastModifiedBy>Jen</cp:lastModifiedBy>
  <cp:revision>15</cp:revision>
  <cp:lastPrinted>2019-10-11T21:21:00Z</cp:lastPrinted>
  <dcterms:created xsi:type="dcterms:W3CDTF">2019-10-14T20:21:00Z</dcterms:created>
  <dcterms:modified xsi:type="dcterms:W3CDTF">2020-11-25T15:53:00Z</dcterms:modified>
</cp:coreProperties>
</file>