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r>
        <w:rPr>
          <w:rFonts w:ascii="Arial" w:hAnsi="Arial" w:cs="Arial"/>
          <w:sz w:val="20"/>
          <w:szCs w:val="20"/>
        </w:rPr>
        <w:t>STI – High Cost Area Charge</w:t>
      </w: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r>
        <w:rPr>
          <w:rFonts w:ascii="Arial" w:hAnsi="Arial" w:cs="Arial"/>
          <w:sz w:val="20"/>
          <w:szCs w:val="20"/>
        </w:rPr>
        <w:t>Greetings,</w:t>
      </w: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r>
        <w:rPr>
          <w:rFonts w:ascii="Arial" w:hAnsi="Arial" w:cs="Arial"/>
          <w:sz w:val="20"/>
          <w:szCs w:val="20"/>
        </w:rPr>
        <w:t>Recently we announced the implementation of a High Cost Area charge to address significant increases in expenses, most specifically rising toll costs.  Our immediate and long term desire is to craft a sensible and comprehensive approach to rising costs and yield management.</w:t>
      </w: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r>
        <w:rPr>
          <w:rFonts w:ascii="Arial" w:hAnsi="Arial" w:cs="Arial"/>
          <w:sz w:val="20"/>
          <w:szCs w:val="20"/>
        </w:rPr>
        <w:t xml:space="preserve">Based upon input and careful consideration, we have decided not to implement a specific line item or accessorial charge. Instead we will be adjusting base tariffs internally with significantly reduced amounts that recover the increase in toll costs, not the entire toll expense we are paying.  This method should be fairly invisible to many customers and reduce the impact of the increase. This part of our strategy will only affect base tariff customers not those on contracts and TA’s. </w:t>
      </w:r>
    </w:p>
    <w:p w:rsidR="00C52C4C" w:rsidRDefault="00C52C4C" w:rsidP="00C52C4C">
      <w:pPr>
        <w:rPr>
          <w:rFonts w:ascii="Arial" w:hAnsi="Arial" w:cs="Arial"/>
          <w:sz w:val="20"/>
          <w:szCs w:val="20"/>
        </w:rPr>
      </w:pPr>
    </w:p>
    <w:p w:rsidR="00C52C4C" w:rsidRDefault="00C52C4C" w:rsidP="00C52C4C">
      <w:pPr>
        <w:rPr>
          <w:rFonts w:ascii="Arial" w:hAnsi="Arial" w:cs="Arial"/>
          <w:sz w:val="20"/>
          <w:szCs w:val="20"/>
        </w:rPr>
      </w:pPr>
      <w:r>
        <w:rPr>
          <w:rFonts w:ascii="Arial" w:hAnsi="Arial" w:cs="Arial"/>
          <w:sz w:val="20"/>
          <w:szCs w:val="20"/>
        </w:rPr>
        <w:t xml:space="preserve">The changes to base tariff 302 will be effective on November 1.  The change dates to other base tariffs will be forthcoming.  </w:t>
      </w:r>
    </w:p>
    <w:p w:rsidR="00C52C4C" w:rsidRDefault="00C52C4C" w:rsidP="00C52C4C">
      <w:pPr>
        <w:rPr>
          <w:rFonts w:ascii="Arial" w:hAnsi="Arial" w:cs="Arial"/>
          <w:sz w:val="20"/>
          <w:szCs w:val="20"/>
        </w:rPr>
      </w:pPr>
    </w:p>
    <w:sectPr w:rsidR="00C52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C4C"/>
    <w:rsid w:val="00C52C4C"/>
    <w:rsid w:val="00FA6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Struensee</dc:creator>
  <cp:lastModifiedBy>Jack Struensee</cp:lastModifiedBy>
  <cp:revision>2</cp:revision>
  <dcterms:created xsi:type="dcterms:W3CDTF">2013-10-13T21:51:00Z</dcterms:created>
  <dcterms:modified xsi:type="dcterms:W3CDTF">2013-10-13T21:51:00Z</dcterms:modified>
</cp:coreProperties>
</file>