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1EA5" w14:textId="259EE179" w:rsidR="00C42836" w:rsidRPr="00803EB6" w:rsidRDefault="00C42836" w:rsidP="00C42836">
      <w:pPr>
        <w:jc w:val="center"/>
        <w:rPr>
          <w:rFonts w:cstheme="minorHAnsi"/>
          <w:b/>
          <w:bCs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b/>
          <w:noProof/>
          <w:sz w:val="56"/>
          <w:szCs w:val="56"/>
          <w:lang w:val="fr-CA" w:eastAsia="fr-CA"/>
        </w:rPr>
        <w:drawing>
          <wp:inline distT="0" distB="0" distL="0" distR="0" wp14:anchorId="5B3CA1DE" wp14:editId="401AA35B">
            <wp:extent cx="4651248" cy="1143000"/>
            <wp:effectExtent l="0" t="0" r="0" b="0"/>
            <wp:docPr id="3" name="Picture 3" descr="Diagram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, 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24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3C023" w14:textId="77777777" w:rsidR="00C42836" w:rsidRPr="00803EB6" w:rsidRDefault="00C42836" w:rsidP="00892CB5">
      <w:pPr>
        <w:rPr>
          <w:rFonts w:cstheme="minorHAnsi"/>
          <w:b/>
          <w:bCs/>
          <w:color w:val="000000" w:themeColor="text1"/>
          <w:sz w:val="22"/>
          <w:szCs w:val="22"/>
          <w:lang w:val="fr-CA"/>
        </w:rPr>
      </w:pPr>
    </w:p>
    <w:p w14:paraId="30E20DEA" w14:textId="288AABD0" w:rsidR="00892CB5" w:rsidRPr="00803EB6" w:rsidRDefault="00707685" w:rsidP="00C42836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</w:pPr>
      <w:r w:rsidRPr="00803EB6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 xml:space="preserve">Document d’accompagnement des </w:t>
      </w:r>
      <w:r w:rsidR="00C636A0" w:rsidRPr="00803EB6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module</w:t>
      </w:r>
      <w:r w:rsidRPr="00803EB6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s</w:t>
      </w:r>
      <w:r w:rsidR="00C636A0" w:rsidRPr="00803EB6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 xml:space="preserve"> de</w:t>
      </w:r>
      <w:r w:rsidRPr="00803EB6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 xml:space="preserve"> lutte antiparasitaire </w:t>
      </w:r>
      <w:r w:rsidR="00C636A0" w:rsidRPr="00803EB6">
        <w:rPr>
          <w:rFonts w:ascii="Arial" w:hAnsi="Arial" w:cs="Arial"/>
          <w:b/>
          <w:bCs/>
          <w:color w:val="000000" w:themeColor="text1"/>
          <w:sz w:val="32"/>
          <w:szCs w:val="32"/>
          <w:lang w:val="fr-CA"/>
        </w:rPr>
        <w:t>de l’ICPC</w:t>
      </w:r>
    </w:p>
    <w:p w14:paraId="402B035F" w14:textId="600DE6D9" w:rsidR="00302BBC" w:rsidRPr="00803EB6" w:rsidRDefault="00302BBC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6545DD65" w14:textId="43081F16" w:rsidR="00F53E9A" w:rsidRPr="00803EB6" w:rsidRDefault="000D209F" w:rsidP="00892CB5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>Qu’est-ce qu’</w:t>
      </w:r>
      <w:r w:rsidR="00333413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 xml:space="preserve">un </w:t>
      </w:r>
      <w:r w:rsidR="00707685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>module de lutte antiparasitaire</w:t>
      </w:r>
      <w:r w:rsidR="00F53E9A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>?</w:t>
      </w:r>
    </w:p>
    <w:p w14:paraId="6BDF9E99" w14:textId="731EDC9B" w:rsidR="00E92711" w:rsidRPr="00803EB6" w:rsidRDefault="000D209F" w:rsidP="004C1810">
      <w:pPr>
        <w:rPr>
          <w:rFonts w:ascii="Arial" w:hAnsi="Arial" w:cs="Arial"/>
          <w:color w:val="000000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Un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036A5F">
        <w:rPr>
          <w:rFonts w:ascii="Arial" w:hAnsi="Arial" w:cs="Arial"/>
          <w:color w:val="000000" w:themeColor="text1"/>
          <w:sz w:val="22"/>
          <w:szCs w:val="22"/>
          <w:lang w:val="fr-CA"/>
        </w:rPr>
        <w:t>est une combinaison</w:t>
      </w:r>
      <w:r w:rsidR="001A688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de mesures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de gestion du r</w:t>
      </w:r>
      <w:r w:rsidR="0043094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isque phytosanitaire visant un ravageur en particulier. Une fois mises 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en œuvre, </w:t>
      </w:r>
      <w:r w:rsidR="0043094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ces mesures 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atténuent l</w:t>
      </w:r>
      <w:r w:rsidR="008D3D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es risques d’</w:t>
      </w:r>
      <w:r w:rsidR="004643D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entrée</w:t>
      </w:r>
      <w:r w:rsidR="008D3D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,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étab</w:t>
      </w:r>
      <w:r w:rsidR="008D3D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lissement et de</w:t>
      </w:r>
      <w:r w:rsidR="004643D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dissémination d’un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ravageur. Un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es</w:t>
      </w:r>
      <w:r w:rsidR="004643D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t conçu pour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être mis en œuvre dans le cadre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une approche systémique</w:t>
      </w:r>
      <w:r w:rsidR="008D3D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. Il s’agit donc d’un 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sous</w:t>
      </w:r>
      <w:r w:rsidR="001A688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-ensemble de mesures applicable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à un rava</w:t>
      </w:r>
      <w:r w:rsidR="008D3D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geur en particulier </w:t>
      </w:r>
      <w:r w:rsid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qui, </w:t>
      </w:r>
      <w:r w:rsidR="00036A5F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jumelées </w:t>
      </w:r>
      <w:r w:rsid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à d’autres sous-ensembles de mesures, 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permettent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atteindre le niveau approprié de protection contre tous les ravageurs préoccupant</w:t>
      </w:r>
      <w:r w:rsidR="00FD5A0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="001A688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dans une installation.</w:t>
      </w:r>
      <w:r w:rsidR="00F4120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L’</w:t>
      </w:r>
      <w:r w:rsidR="00FD5A0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approche systémique </w:t>
      </w:r>
      <w:r w:rsidR="004643D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est le fondement de</w:t>
      </w:r>
      <w:r w:rsidR="00FD5A0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programmes visant l’ensemble d’une installation 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tels que </w:t>
      </w:r>
      <w:r w:rsidR="00FD5A0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le </w:t>
      </w:r>
      <w:r w:rsidR="00C61A8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Programme États-Unis-Canada de certification des végétaux cultivés en serre (GCP)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, le </w:t>
      </w:r>
      <w:r w:rsidR="00C61A8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Programme canadien de certification des pépinières (PCCP) 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et </w:t>
      </w:r>
      <w:r w:rsidR="00FD5A0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le programme </w:t>
      </w:r>
      <w:r w:rsidR="00F4120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</w:t>
      </w:r>
      <w:r w:rsidR="00FD5A0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lantes saines. </w:t>
      </w:r>
      <w:r w:rsidR="004643D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Chaque module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de lutte antiparasitaire</w:t>
      </w:r>
      <w:r w:rsidR="004643D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est axé </w:t>
      </w:r>
      <w:r w:rsidR="00D13C3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sur la pr</w:t>
      </w:r>
      <w:r w:rsidR="004643D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évention de la dissémination d’un ravageur en particulier</w:t>
      </w:r>
      <w:r w:rsidR="004C1810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. </w:t>
      </w:r>
    </w:p>
    <w:p w14:paraId="2C038E89" w14:textId="33237D04" w:rsidR="00F53E9A" w:rsidRPr="00803EB6" w:rsidRDefault="00F53E9A" w:rsidP="00F53E9A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090833E2" w14:textId="043F4F14" w:rsidR="004C1810" w:rsidRPr="00803EB6" w:rsidRDefault="00F04CFE" w:rsidP="004C1810">
      <w:pPr>
        <w:rPr>
          <w:rFonts w:ascii="Arial" w:hAnsi="Arial" w:cs="Arial"/>
          <w:color w:val="FF0000"/>
          <w:sz w:val="22"/>
          <w:szCs w:val="22"/>
          <w:lang w:val="fr-CA"/>
        </w:rPr>
      </w:pP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Un gabarit universel a été conçu pour servir de </w:t>
      </w:r>
      <w:r w:rsidR="00711345" w:rsidRPr="00803EB6">
        <w:rPr>
          <w:rFonts w:ascii="Arial" w:hAnsi="Arial" w:cs="Arial"/>
          <w:color w:val="000000"/>
          <w:sz w:val="22"/>
          <w:szCs w:val="22"/>
          <w:lang w:val="fr-CA"/>
        </w:rPr>
        <w:t>formulaire normalisé</w:t>
      </w:r>
      <w:r w:rsidR="0023307E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>pour t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ous les types de ravageurs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>, qu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>il s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>agisse d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="00803EB6">
        <w:rPr>
          <w:rFonts w:ascii="Arial" w:hAnsi="Arial" w:cs="Arial"/>
          <w:color w:val="000000"/>
          <w:sz w:val="22"/>
          <w:szCs w:val="22"/>
          <w:lang w:val="fr-CA"/>
        </w:rPr>
        <w:t>i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>nsecte</w:t>
      </w:r>
      <w:r w:rsidR="00803EB6">
        <w:rPr>
          <w:rFonts w:ascii="Arial" w:hAnsi="Arial" w:cs="Arial"/>
          <w:color w:val="000000"/>
          <w:sz w:val="22"/>
          <w:szCs w:val="22"/>
          <w:lang w:val="fr-CA"/>
        </w:rPr>
        <w:t>s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>, d</w:t>
      </w:r>
      <w:r w:rsidR="00803EB6">
        <w:rPr>
          <w:rFonts w:ascii="Arial" w:hAnsi="Arial" w:cs="Arial"/>
          <w:color w:val="000000"/>
          <w:sz w:val="22"/>
          <w:szCs w:val="22"/>
          <w:lang w:val="fr-CA"/>
        </w:rPr>
        <w:t xml:space="preserve">e 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>champignon</w:t>
      </w:r>
      <w:r w:rsidR="00803EB6">
        <w:rPr>
          <w:rFonts w:ascii="Arial" w:hAnsi="Arial" w:cs="Arial"/>
          <w:color w:val="000000"/>
          <w:sz w:val="22"/>
          <w:szCs w:val="22"/>
          <w:lang w:val="fr-CA"/>
        </w:rPr>
        <w:t>s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>, d</w:t>
      </w:r>
      <w:r w:rsidR="00803EB6">
        <w:rPr>
          <w:rFonts w:ascii="Arial" w:hAnsi="Arial" w:cs="Arial"/>
          <w:color w:val="000000"/>
          <w:sz w:val="22"/>
          <w:szCs w:val="22"/>
          <w:lang w:val="fr-CA"/>
        </w:rPr>
        <w:t>e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bactérie</w:t>
      </w:r>
      <w:r w:rsidR="00803EB6">
        <w:rPr>
          <w:rFonts w:ascii="Arial" w:hAnsi="Arial" w:cs="Arial"/>
          <w:color w:val="000000"/>
          <w:sz w:val="22"/>
          <w:szCs w:val="22"/>
          <w:lang w:val="fr-CA"/>
        </w:rPr>
        <w:t>s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ou d</w:t>
      </w:r>
      <w:r w:rsidR="00803EB6">
        <w:rPr>
          <w:rFonts w:ascii="Arial" w:hAnsi="Arial" w:cs="Arial"/>
          <w:color w:val="000000"/>
          <w:sz w:val="22"/>
          <w:szCs w:val="22"/>
          <w:lang w:val="fr-CA"/>
        </w:rPr>
        <w:t>e</w:t>
      </w:r>
      <w:r w:rsidR="0023307E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virus. Après avoir passé en revue les facteurs de risques liés au cycle biologique d’un ravageur </w:t>
      </w:r>
      <w:r w:rsidR="00523850" w:rsidRPr="00803EB6">
        <w:rPr>
          <w:rFonts w:ascii="Arial" w:hAnsi="Arial" w:cs="Arial"/>
          <w:color w:val="000000"/>
          <w:sz w:val="22"/>
          <w:szCs w:val="22"/>
          <w:lang w:val="fr-CA"/>
        </w:rPr>
        <w:t>(risque de diss</w:t>
      </w:r>
      <w:r w:rsidR="00803EB6" w:rsidRPr="00803EB6">
        <w:rPr>
          <w:rFonts w:ascii="Arial" w:hAnsi="Arial" w:cs="Arial"/>
          <w:color w:val="000000"/>
          <w:sz w:val="22"/>
          <w:szCs w:val="22"/>
          <w:lang w:val="fr-CA"/>
        </w:rPr>
        <w:t>é</w:t>
      </w:r>
      <w:r w:rsidR="00523850" w:rsidRPr="00803EB6">
        <w:rPr>
          <w:rFonts w:ascii="Arial" w:hAnsi="Arial" w:cs="Arial"/>
          <w:color w:val="000000"/>
          <w:sz w:val="22"/>
          <w:szCs w:val="22"/>
          <w:lang w:val="fr-CA"/>
        </w:rPr>
        <w:t>mination, etc.)</w:t>
      </w:r>
      <w:r w:rsidR="0023307E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, l’exploitant évalue les risques que pose ce ravageur dans son </w:t>
      </w:r>
      <w:r w:rsidR="00523850" w:rsidRPr="00803EB6">
        <w:rPr>
          <w:rFonts w:ascii="Arial" w:hAnsi="Arial" w:cs="Arial"/>
          <w:color w:val="000000"/>
          <w:sz w:val="22"/>
          <w:szCs w:val="22"/>
          <w:lang w:val="fr-CA"/>
        </w:rPr>
        <w:t>installation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. </w:t>
      </w:r>
      <w:r w:rsidR="00036A5F">
        <w:rPr>
          <w:rFonts w:ascii="Arial" w:hAnsi="Arial" w:cs="Arial"/>
          <w:color w:val="000000"/>
          <w:sz w:val="22"/>
          <w:szCs w:val="22"/>
          <w:lang w:val="fr-CA"/>
        </w:rPr>
        <w:t>L</w:t>
      </w:r>
      <w:r w:rsidR="0023307E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a 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>dernière section</w:t>
      </w:r>
      <w:r w:rsidR="0023307E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du gabarit</w:t>
      </w:r>
      <w:r w:rsidR="00D13C3A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, </w:t>
      </w:r>
      <w:r w:rsidR="00523850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qui est la plus </w:t>
      </w:r>
      <w:r w:rsidR="00036A5F">
        <w:rPr>
          <w:rFonts w:ascii="Arial" w:hAnsi="Arial" w:cs="Arial"/>
          <w:sz w:val="22"/>
          <w:szCs w:val="22"/>
          <w:lang w:val="fr-CA"/>
        </w:rPr>
        <w:t xml:space="preserve">approfondie, </w:t>
      </w:r>
      <w:r w:rsidR="0023307E" w:rsidRPr="00803EB6">
        <w:rPr>
          <w:rFonts w:ascii="Arial" w:hAnsi="Arial" w:cs="Arial"/>
          <w:sz w:val="22"/>
          <w:szCs w:val="22"/>
          <w:lang w:val="fr-CA"/>
        </w:rPr>
        <w:t>dé</w:t>
      </w:r>
      <w:r w:rsidR="00523850" w:rsidRPr="00803EB6">
        <w:rPr>
          <w:rFonts w:ascii="Arial" w:hAnsi="Arial" w:cs="Arial"/>
          <w:sz w:val="22"/>
          <w:szCs w:val="22"/>
          <w:lang w:val="fr-CA"/>
        </w:rPr>
        <w:t xml:space="preserve">crit en détail les mesures </w:t>
      </w:r>
      <w:r w:rsidR="0023307E" w:rsidRPr="00803EB6">
        <w:rPr>
          <w:rFonts w:ascii="Arial" w:hAnsi="Arial" w:cs="Arial"/>
          <w:sz w:val="22"/>
          <w:szCs w:val="22"/>
          <w:lang w:val="fr-CA"/>
        </w:rPr>
        <w:t>qu</w:t>
      </w:r>
      <w:r w:rsidR="00036A5F">
        <w:rPr>
          <w:rFonts w:ascii="Arial" w:hAnsi="Arial" w:cs="Arial"/>
          <w:sz w:val="22"/>
          <w:szCs w:val="22"/>
          <w:lang w:val="fr-CA"/>
        </w:rPr>
        <w:t xml:space="preserve">e doit prendre l’exploitant </w:t>
      </w:r>
      <w:r w:rsidR="0023307E" w:rsidRPr="00803EB6">
        <w:rPr>
          <w:rFonts w:ascii="Arial" w:hAnsi="Arial" w:cs="Arial"/>
          <w:sz w:val="22"/>
          <w:szCs w:val="22"/>
          <w:lang w:val="fr-CA"/>
        </w:rPr>
        <w:t>p</w:t>
      </w:r>
      <w:r w:rsidR="00523850" w:rsidRPr="00803EB6">
        <w:rPr>
          <w:rFonts w:ascii="Arial" w:hAnsi="Arial" w:cs="Arial"/>
          <w:sz w:val="22"/>
          <w:szCs w:val="22"/>
          <w:lang w:val="fr-CA"/>
        </w:rPr>
        <w:t xml:space="preserve">our </w:t>
      </w:r>
      <w:r w:rsidR="0023307E" w:rsidRPr="00803EB6">
        <w:rPr>
          <w:rFonts w:ascii="Arial" w:hAnsi="Arial" w:cs="Arial"/>
          <w:sz w:val="22"/>
          <w:szCs w:val="22"/>
          <w:lang w:val="fr-CA"/>
        </w:rPr>
        <w:t>réduire l</w:t>
      </w:r>
      <w:r w:rsidR="00523850" w:rsidRPr="00803EB6">
        <w:rPr>
          <w:rFonts w:ascii="Arial" w:hAnsi="Arial" w:cs="Arial"/>
          <w:sz w:val="22"/>
          <w:szCs w:val="22"/>
          <w:lang w:val="fr-CA"/>
        </w:rPr>
        <w:t xml:space="preserve">es </w:t>
      </w:r>
      <w:r w:rsidR="007E367C" w:rsidRPr="00803EB6">
        <w:rPr>
          <w:rFonts w:ascii="Arial" w:hAnsi="Arial" w:cs="Arial"/>
          <w:sz w:val="22"/>
          <w:szCs w:val="22"/>
          <w:lang w:val="fr-CA"/>
        </w:rPr>
        <w:t>risques recensés</w:t>
      </w:r>
      <w:r w:rsidR="0023307E" w:rsidRPr="00803EB6">
        <w:rPr>
          <w:rFonts w:ascii="Arial" w:hAnsi="Arial" w:cs="Arial"/>
          <w:sz w:val="22"/>
          <w:szCs w:val="22"/>
          <w:lang w:val="fr-CA"/>
        </w:rPr>
        <w:t xml:space="preserve"> dans son installation. Veuillez </w:t>
      </w:r>
      <w:r w:rsidR="00D13C3A" w:rsidRPr="00803EB6">
        <w:rPr>
          <w:rFonts w:ascii="Arial" w:hAnsi="Arial" w:cs="Arial"/>
          <w:sz w:val="22"/>
          <w:szCs w:val="22"/>
          <w:lang w:val="fr-CA"/>
        </w:rPr>
        <w:t>noter qu</w:t>
      </w:r>
      <w:r w:rsidR="00523850" w:rsidRPr="00803EB6">
        <w:rPr>
          <w:rFonts w:ascii="Arial" w:hAnsi="Arial" w:cs="Arial"/>
          <w:sz w:val="22"/>
          <w:szCs w:val="22"/>
          <w:lang w:val="fr-CA"/>
        </w:rPr>
        <w:t xml:space="preserve">e certaines sections du gabarit universel </w:t>
      </w:r>
      <w:r w:rsidR="00A86996" w:rsidRPr="00803EB6">
        <w:rPr>
          <w:rFonts w:ascii="Arial" w:hAnsi="Arial" w:cs="Arial"/>
          <w:sz w:val="22"/>
          <w:szCs w:val="22"/>
          <w:lang w:val="fr-CA"/>
        </w:rPr>
        <w:t xml:space="preserve">comprennent </w:t>
      </w:r>
      <w:r w:rsidR="00523850" w:rsidRPr="00803EB6">
        <w:rPr>
          <w:rFonts w:ascii="Arial" w:hAnsi="Arial" w:cs="Arial"/>
          <w:sz w:val="22"/>
          <w:szCs w:val="22"/>
          <w:lang w:val="fr-CA"/>
        </w:rPr>
        <w:t xml:space="preserve">des </w:t>
      </w:r>
      <w:r w:rsidR="00A86996" w:rsidRPr="00803EB6">
        <w:rPr>
          <w:rFonts w:ascii="Arial" w:hAnsi="Arial" w:cs="Arial"/>
          <w:sz w:val="22"/>
          <w:szCs w:val="22"/>
          <w:lang w:val="fr-CA"/>
        </w:rPr>
        <w:t xml:space="preserve">points </w:t>
      </w:r>
      <w:r w:rsidR="00D13C3A" w:rsidRPr="00803EB6">
        <w:rPr>
          <w:rFonts w:ascii="Arial" w:hAnsi="Arial" w:cs="Arial"/>
          <w:sz w:val="22"/>
          <w:szCs w:val="22"/>
          <w:lang w:val="fr-CA"/>
        </w:rPr>
        <w:t xml:space="preserve">de risque </w:t>
      </w:r>
      <w:r w:rsidR="00523850" w:rsidRPr="00803EB6">
        <w:rPr>
          <w:rFonts w:ascii="Arial" w:hAnsi="Arial" w:cs="Arial"/>
          <w:sz w:val="22"/>
          <w:szCs w:val="22"/>
          <w:lang w:val="fr-CA"/>
        </w:rPr>
        <w:t xml:space="preserve">fictifs </w:t>
      </w:r>
      <w:r w:rsidR="00D13C3A" w:rsidRPr="00803EB6">
        <w:rPr>
          <w:rFonts w:ascii="Arial" w:hAnsi="Arial" w:cs="Arial"/>
          <w:sz w:val="22"/>
          <w:szCs w:val="22"/>
          <w:lang w:val="fr-CA"/>
        </w:rPr>
        <w:t>qui</w:t>
      </w:r>
      <w:r w:rsidR="0023307E" w:rsidRPr="00803EB6">
        <w:rPr>
          <w:rFonts w:ascii="Arial" w:hAnsi="Arial" w:cs="Arial"/>
          <w:sz w:val="22"/>
          <w:szCs w:val="22"/>
          <w:lang w:val="fr-CA"/>
        </w:rPr>
        <w:t xml:space="preserve"> peuvent ne pas s’</w:t>
      </w:r>
      <w:r w:rsidR="00A86996" w:rsidRPr="00803EB6">
        <w:rPr>
          <w:rFonts w:ascii="Arial" w:hAnsi="Arial" w:cs="Arial"/>
          <w:sz w:val="22"/>
          <w:szCs w:val="22"/>
          <w:lang w:val="fr-CA"/>
        </w:rPr>
        <w:t>appliquer à un</w:t>
      </w:r>
      <w:r w:rsidR="00280D07" w:rsidRPr="00803EB6">
        <w:rPr>
          <w:rFonts w:ascii="Arial" w:hAnsi="Arial" w:cs="Arial"/>
          <w:sz w:val="22"/>
          <w:szCs w:val="22"/>
          <w:lang w:val="fr-CA"/>
        </w:rPr>
        <w:t xml:space="preserve"> </w:t>
      </w:r>
      <w:r w:rsidR="00523850" w:rsidRPr="00803EB6">
        <w:rPr>
          <w:rFonts w:ascii="Arial" w:hAnsi="Arial" w:cs="Arial"/>
          <w:sz w:val="22"/>
          <w:szCs w:val="22"/>
          <w:lang w:val="fr-CA"/>
        </w:rPr>
        <w:t>ravageur</w:t>
      </w:r>
      <w:r w:rsidR="00D13C3A" w:rsidRPr="00803EB6">
        <w:rPr>
          <w:rFonts w:ascii="Arial" w:hAnsi="Arial" w:cs="Arial"/>
          <w:sz w:val="22"/>
          <w:szCs w:val="22"/>
          <w:lang w:val="fr-CA"/>
        </w:rPr>
        <w:t xml:space="preserve"> </w:t>
      </w:r>
      <w:r w:rsidR="00A86996" w:rsidRPr="00803EB6">
        <w:rPr>
          <w:rFonts w:ascii="Arial" w:hAnsi="Arial" w:cs="Arial"/>
          <w:sz w:val="22"/>
          <w:szCs w:val="22"/>
          <w:lang w:val="fr-CA"/>
        </w:rPr>
        <w:t xml:space="preserve">en particulier </w:t>
      </w:r>
      <w:r w:rsidR="00036A5F">
        <w:rPr>
          <w:rFonts w:ascii="Arial" w:hAnsi="Arial" w:cs="Arial"/>
          <w:sz w:val="22"/>
          <w:szCs w:val="22"/>
          <w:lang w:val="fr-CA"/>
        </w:rPr>
        <w:t>mais qui doivent figurer dans le</w:t>
      </w:r>
      <w:r w:rsidR="0023307E" w:rsidRPr="00803EB6">
        <w:rPr>
          <w:rFonts w:ascii="Arial" w:hAnsi="Arial" w:cs="Arial"/>
          <w:sz w:val="22"/>
          <w:szCs w:val="22"/>
          <w:lang w:val="fr-CA"/>
        </w:rPr>
        <w:t xml:space="preserve"> module </w:t>
      </w:r>
      <w:r w:rsidR="00A86996" w:rsidRPr="00803EB6">
        <w:rPr>
          <w:rFonts w:ascii="Arial" w:hAnsi="Arial" w:cs="Arial"/>
          <w:sz w:val="22"/>
          <w:szCs w:val="22"/>
          <w:lang w:val="fr-CA"/>
        </w:rPr>
        <w:t>pour éviter les oublis. De cette manière, les organismes de réglementation ont l’assurance qu</w:t>
      </w:r>
      <w:r w:rsidR="00280D07" w:rsidRPr="00803EB6">
        <w:rPr>
          <w:rFonts w:ascii="Arial" w:hAnsi="Arial" w:cs="Arial"/>
          <w:sz w:val="22"/>
          <w:szCs w:val="22"/>
          <w:lang w:val="fr-CA"/>
        </w:rPr>
        <w:t xml:space="preserve">e l’installation a examiné </w:t>
      </w:r>
      <w:r w:rsidR="00D13C3A" w:rsidRPr="00803EB6">
        <w:rPr>
          <w:rFonts w:ascii="Arial" w:hAnsi="Arial" w:cs="Arial"/>
          <w:sz w:val="22"/>
          <w:szCs w:val="22"/>
          <w:lang w:val="fr-CA"/>
        </w:rPr>
        <w:t>to</w:t>
      </w:r>
      <w:r w:rsidR="00036A5F">
        <w:rPr>
          <w:rFonts w:ascii="Arial" w:hAnsi="Arial" w:cs="Arial"/>
          <w:sz w:val="22"/>
          <w:szCs w:val="22"/>
          <w:lang w:val="fr-CA"/>
        </w:rPr>
        <w:t>us les facteurs de risque et</w:t>
      </w:r>
      <w:r w:rsidR="00A86996" w:rsidRPr="00803EB6">
        <w:rPr>
          <w:rFonts w:ascii="Arial" w:hAnsi="Arial" w:cs="Arial"/>
          <w:sz w:val="22"/>
          <w:szCs w:val="22"/>
          <w:lang w:val="fr-CA"/>
        </w:rPr>
        <w:t xml:space="preserve"> </w:t>
      </w:r>
      <w:r w:rsidR="00280D07" w:rsidRPr="00803EB6">
        <w:rPr>
          <w:rFonts w:ascii="Arial" w:hAnsi="Arial" w:cs="Arial"/>
          <w:sz w:val="22"/>
          <w:szCs w:val="22"/>
          <w:lang w:val="fr-CA"/>
        </w:rPr>
        <w:t>j</w:t>
      </w:r>
      <w:r w:rsidR="00D13C3A" w:rsidRPr="00803EB6">
        <w:rPr>
          <w:rFonts w:ascii="Arial" w:hAnsi="Arial" w:cs="Arial"/>
          <w:sz w:val="22"/>
          <w:szCs w:val="22"/>
          <w:lang w:val="fr-CA"/>
        </w:rPr>
        <w:t>ugé que certains n</w:t>
      </w:r>
      <w:r w:rsidR="0023307E" w:rsidRPr="00803EB6">
        <w:rPr>
          <w:rFonts w:ascii="Arial" w:hAnsi="Arial" w:cs="Arial"/>
          <w:sz w:val="22"/>
          <w:szCs w:val="22"/>
          <w:lang w:val="fr-CA"/>
        </w:rPr>
        <w:t xml:space="preserve">e s’appliquaient pas </w:t>
      </w:r>
      <w:r w:rsidR="00280D07" w:rsidRPr="00803EB6">
        <w:rPr>
          <w:rFonts w:ascii="Arial" w:hAnsi="Arial" w:cs="Arial"/>
          <w:sz w:val="22"/>
          <w:szCs w:val="22"/>
          <w:lang w:val="fr-CA"/>
        </w:rPr>
        <w:t>à un ravageur en</w:t>
      </w:r>
      <w:r w:rsidR="00D13C3A" w:rsidRPr="00803EB6">
        <w:rPr>
          <w:rFonts w:ascii="Arial" w:hAnsi="Arial" w:cs="Arial"/>
          <w:sz w:val="22"/>
          <w:szCs w:val="22"/>
          <w:lang w:val="fr-CA"/>
        </w:rPr>
        <w:t xml:space="preserve"> particulier.</w:t>
      </w:r>
    </w:p>
    <w:p w14:paraId="1ABB0DF1" w14:textId="77777777" w:rsidR="004C1810" w:rsidRPr="00803EB6" w:rsidRDefault="004C1810" w:rsidP="004C1810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737FCDD4" w14:textId="77777777" w:rsidR="004C1810" w:rsidRPr="00803EB6" w:rsidRDefault="004C1810" w:rsidP="00F53E9A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06EF9F87" w14:textId="58B552E0" w:rsidR="00F53E9A" w:rsidRPr="00803EB6" w:rsidRDefault="00280D07" w:rsidP="00F53E9A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 xml:space="preserve">Comment les </w:t>
      </w:r>
      <w:r w:rsidR="00D13C3A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>modu</w:t>
      </w:r>
      <w:r w:rsidR="00711345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 xml:space="preserve">les </w:t>
      </w:r>
      <w:r w:rsidR="00696398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>de lutte antiparasitaire</w:t>
      </w:r>
      <w:r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 xml:space="preserve"> peuvent-ils être utiles à</w:t>
      </w:r>
      <w:r w:rsidR="00711345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 xml:space="preserve"> votre installation</w:t>
      </w:r>
      <w:r w:rsidR="00F53E9A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>?</w:t>
      </w:r>
    </w:p>
    <w:p w14:paraId="740156F6" w14:textId="1140338E" w:rsidR="004C1810" w:rsidRPr="00803EB6" w:rsidRDefault="00711345" w:rsidP="00F53E9A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Un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est un o</w:t>
      </w:r>
      <w:r w:rsidR="00DF437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util qui vous aide à recenser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les risques </w:t>
      </w:r>
      <w:r w:rsidR="00DF437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associés à un ravageur en particulier ainsi que les points de risque associés à votre installation. Il permet donc à l’exploitant d’une installation de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décrire les mesures qui</w:t>
      </w:r>
      <w:r w:rsidR="00DF437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atténueront </w:t>
      </w:r>
      <w:r w:rsidR="00036A5F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directement les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risques</w:t>
      </w:r>
      <w:r w:rsidR="00036A5F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recensés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. En mettant en œuvre un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dans le cadre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un</w:t>
      </w:r>
      <w:r w:rsidR="00036A5F">
        <w:rPr>
          <w:rFonts w:ascii="Arial" w:hAnsi="Arial" w:cs="Arial"/>
          <w:color w:val="000000" w:themeColor="text1"/>
          <w:sz w:val="22"/>
          <w:szCs w:val="22"/>
          <w:lang w:val="fr-CA"/>
        </w:rPr>
        <w:t>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appr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oche systémique,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DF437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exploitant d’une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installation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036A5F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démontre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aux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responsables de la réglementation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ou au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x autres membres du secteur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qu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il</w:t>
      </w:r>
      <w:r w:rsidR="00DF437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atténue activement le</w:t>
      </w:r>
      <w:r w:rsidR="00036A5F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="00DF437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risque</w:t>
      </w:r>
      <w:r w:rsidR="00036A5F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="00DF437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associé</w:t>
      </w:r>
      <w:r w:rsidR="00036A5F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="00DF437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au déplacement d’un </w:t>
      </w:r>
      <w:r w:rsidR="00DF4372" w:rsidRPr="00803EB6">
        <w:rPr>
          <w:rFonts w:ascii="Arial" w:hAnsi="Arial" w:cs="Arial"/>
          <w:sz w:val="22"/>
          <w:szCs w:val="22"/>
          <w:lang w:val="fr-CA"/>
        </w:rPr>
        <w:t>ravageur</w:t>
      </w:r>
      <w:r w:rsidRPr="00803EB6">
        <w:rPr>
          <w:rFonts w:ascii="Arial" w:hAnsi="Arial" w:cs="Arial"/>
          <w:sz w:val="22"/>
          <w:szCs w:val="22"/>
          <w:lang w:val="fr-CA"/>
        </w:rPr>
        <w:t>. La mise en œuvre d</w:t>
      </w:r>
      <w:r w:rsidR="00294145" w:rsidRPr="00803EB6">
        <w:rPr>
          <w:rFonts w:ascii="Arial" w:hAnsi="Arial" w:cs="Arial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sz w:val="22"/>
          <w:szCs w:val="22"/>
          <w:lang w:val="fr-CA"/>
        </w:rPr>
        <w:t xml:space="preserve">un </w:t>
      </w:r>
      <w:r w:rsidR="00707685" w:rsidRPr="00803EB6">
        <w:rPr>
          <w:rFonts w:ascii="Arial" w:hAnsi="Arial" w:cs="Arial"/>
          <w:sz w:val="22"/>
          <w:szCs w:val="22"/>
          <w:lang w:val="fr-CA"/>
        </w:rPr>
        <w:t>module de lutte antiparasitaire</w:t>
      </w:r>
      <w:r w:rsidRPr="00803EB6">
        <w:rPr>
          <w:rFonts w:ascii="Arial" w:hAnsi="Arial" w:cs="Arial"/>
          <w:sz w:val="22"/>
          <w:szCs w:val="22"/>
          <w:lang w:val="fr-CA"/>
        </w:rPr>
        <w:t xml:space="preserve"> </w:t>
      </w:r>
      <w:r w:rsidR="00036A5F">
        <w:rPr>
          <w:rFonts w:ascii="Arial" w:hAnsi="Arial" w:cs="Arial"/>
          <w:sz w:val="22"/>
          <w:szCs w:val="22"/>
          <w:lang w:val="fr-CA"/>
        </w:rPr>
        <w:t xml:space="preserve">donne </w:t>
      </w:r>
      <w:r w:rsidRPr="00803EB6">
        <w:rPr>
          <w:rFonts w:ascii="Arial" w:hAnsi="Arial" w:cs="Arial"/>
          <w:sz w:val="22"/>
          <w:szCs w:val="22"/>
          <w:lang w:val="fr-CA"/>
        </w:rPr>
        <w:t>l</w:t>
      </w:r>
      <w:r w:rsidR="00294145" w:rsidRPr="00803EB6">
        <w:rPr>
          <w:rFonts w:ascii="Arial" w:hAnsi="Arial" w:cs="Arial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sz w:val="22"/>
          <w:szCs w:val="22"/>
          <w:lang w:val="fr-CA"/>
        </w:rPr>
        <w:t>assurance aux clients</w:t>
      </w:r>
      <w:r w:rsidR="00660EC3" w:rsidRPr="00803EB6">
        <w:rPr>
          <w:rFonts w:ascii="Arial" w:hAnsi="Arial" w:cs="Arial"/>
          <w:sz w:val="22"/>
          <w:szCs w:val="22"/>
          <w:lang w:val="fr-CA"/>
        </w:rPr>
        <w:t xml:space="preserve"> que le produit </w:t>
      </w:r>
      <w:r w:rsidR="00DF4372" w:rsidRPr="00803EB6">
        <w:rPr>
          <w:rFonts w:ascii="Arial" w:hAnsi="Arial" w:cs="Arial"/>
          <w:sz w:val="22"/>
          <w:szCs w:val="22"/>
          <w:lang w:val="fr-CA"/>
        </w:rPr>
        <w:t xml:space="preserve">qu’ils achètent </w:t>
      </w:r>
      <w:r w:rsidR="00660EC3" w:rsidRPr="00803EB6">
        <w:rPr>
          <w:rFonts w:ascii="Arial" w:hAnsi="Arial" w:cs="Arial"/>
          <w:sz w:val="22"/>
          <w:szCs w:val="22"/>
          <w:lang w:val="fr-CA"/>
        </w:rPr>
        <w:t xml:space="preserve">est exempt du ravageur </w:t>
      </w:r>
      <w:r w:rsidR="00036A5F">
        <w:rPr>
          <w:rFonts w:ascii="Arial" w:hAnsi="Arial" w:cs="Arial"/>
          <w:sz w:val="22"/>
          <w:szCs w:val="22"/>
          <w:lang w:val="fr-CA"/>
        </w:rPr>
        <w:t xml:space="preserve">préoccupant tout en permettant </w:t>
      </w:r>
      <w:r w:rsidR="00A86996" w:rsidRPr="00803EB6">
        <w:rPr>
          <w:rFonts w:ascii="Arial" w:hAnsi="Arial" w:cs="Arial"/>
          <w:sz w:val="22"/>
          <w:szCs w:val="22"/>
          <w:lang w:val="fr-CA"/>
        </w:rPr>
        <w:t xml:space="preserve">à l’exploitant de satisfaire </w:t>
      </w:r>
      <w:r w:rsidRPr="00803EB6">
        <w:rPr>
          <w:rFonts w:ascii="Arial" w:hAnsi="Arial" w:cs="Arial"/>
          <w:sz w:val="22"/>
          <w:szCs w:val="22"/>
          <w:lang w:val="fr-CA"/>
        </w:rPr>
        <w:t xml:space="preserve">aux exigences </w:t>
      </w:r>
      <w:r w:rsidR="00DF4372" w:rsidRPr="00803EB6">
        <w:rPr>
          <w:rFonts w:ascii="Arial" w:hAnsi="Arial" w:cs="Arial"/>
          <w:sz w:val="22"/>
          <w:szCs w:val="22"/>
          <w:lang w:val="fr-CA"/>
        </w:rPr>
        <w:t>réglementaires relatives à</w:t>
      </w:r>
      <w:r w:rsidRPr="00803EB6">
        <w:rPr>
          <w:rFonts w:ascii="Arial" w:hAnsi="Arial" w:cs="Arial"/>
          <w:sz w:val="22"/>
          <w:szCs w:val="22"/>
          <w:lang w:val="fr-CA"/>
        </w:rPr>
        <w:t xml:space="preserve"> l</w:t>
      </w:r>
      <w:r w:rsidR="00294145" w:rsidRPr="00803EB6">
        <w:rPr>
          <w:rFonts w:ascii="Arial" w:hAnsi="Arial" w:cs="Arial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sz w:val="22"/>
          <w:szCs w:val="22"/>
          <w:lang w:val="fr-CA"/>
        </w:rPr>
        <w:t>expédition de</w:t>
      </w:r>
      <w:r w:rsidR="00036A5F">
        <w:rPr>
          <w:rFonts w:ascii="Arial" w:hAnsi="Arial" w:cs="Arial"/>
          <w:sz w:val="22"/>
          <w:szCs w:val="22"/>
          <w:lang w:val="fr-CA"/>
        </w:rPr>
        <w:t xml:space="preserve"> plantes au Canada </w:t>
      </w:r>
      <w:r w:rsidR="00DF4372" w:rsidRPr="00803EB6">
        <w:rPr>
          <w:rFonts w:ascii="Arial" w:hAnsi="Arial" w:cs="Arial"/>
          <w:sz w:val="22"/>
          <w:szCs w:val="22"/>
          <w:lang w:val="fr-CA"/>
        </w:rPr>
        <w:t>ou à l’étranger</w:t>
      </w:r>
      <w:r w:rsidRPr="00803EB6">
        <w:rPr>
          <w:rFonts w:ascii="Arial" w:hAnsi="Arial" w:cs="Arial"/>
          <w:sz w:val="22"/>
          <w:szCs w:val="22"/>
          <w:lang w:val="fr-CA"/>
        </w:rPr>
        <w:t>.</w:t>
      </w:r>
    </w:p>
    <w:p w14:paraId="1B1F22C5" w14:textId="77777777" w:rsidR="00F53E9A" w:rsidRPr="00803EB6" w:rsidRDefault="00F53E9A" w:rsidP="00F53E9A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75240A2B" w14:textId="042FDC77" w:rsidR="00892CB5" w:rsidRPr="00803EB6" w:rsidRDefault="0065056F" w:rsidP="00892CB5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lastRenderedPageBreak/>
        <w:t>Dé</w:t>
      </w:r>
      <w:r w:rsidR="00D37AFD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>finitions</w:t>
      </w:r>
    </w:p>
    <w:p w14:paraId="5E7ACCC6" w14:textId="5E51D130" w:rsidR="00D37AFD" w:rsidRPr="00803EB6" w:rsidRDefault="0065056F" w:rsidP="00D37AFD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Les défin</w:t>
      </w:r>
      <w:r w:rsidR="00DF437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itions suivantes sont tirées de la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NIMP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 </w:t>
      </w:r>
      <w:r w:rsidR="00D37AF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5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(2018) et des exigences techniques afférentes au Programme États-Unis-Canada de certification des végétaux cultivés en serre (</w:t>
      </w:r>
      <w:r w:rsidR="00D37AF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GCP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)</w:t>
      </w:r>
      <w:r w:rsidR="00D37AF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(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juin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 </w:t>
      </w:r>
      <w:r w:rsidR="00D37AF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2016).</w:t>
      </w:r>
    </w:p>
    <w:p w14:paraId="280EB062" w14:textId="77777777" w:rsidR="00D37AFD" w:rsidRPr="00803EB6" w:rsidRDefault="00D37AFD" w:rsidP="00D37AFD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215DAA3B" w14:textId="6E40329B" w:rsidR="00D37AFD" w:rsidRPr="00803EB6" w:rsidRDefault="00681C5C" w:rsidP="0065056F">
      <w:pPr>
        <w:ind w:left="567" w:hanging="567"/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Barrières d’exclusion d’organismes nuisibles </w:t>
      </w:r>
      <w:r w:rsidR="00614B1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– E</w:t>
      </w:r>
      <w:r w:rsidR="0065056F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mplacement physique couvert destiné à empêcher l’entrée ou l’établissement d’un organisme nuisible dans une zone.</w:t>
      </w:r>
    </w:p>
    <w:p w14:paraId="215863FD" w14:textId="52574D43" w:rsidR="00D37AFD" w:rsidRPr="00803EB6" w:rsidRDefault="0065056F" w:rsidP="0065056F">
      <w:pPr>
        <w:ind w:left="567" w:hanging="567"/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Site de production exempt</w:t>
      </w:r>
      <w:r w:rsidR="00DF437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614B1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–</w:t>
      </w:r>
      <w:r w:rsidR="00D37AF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Site de production où l’absence d’un organisme nuisible déterminé a été prouvée scientifiquement et où, au besoin, elle est maintenue pour une durée définie, par l’application de mesures officielles [NIMP10, 1999; révisée </w:t>
      </w:r>
      <w:r w:rsidR="00D37AF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CPM, 2015]</w:t>
      </w:r>
    </w:p>
    <w:p w14:paraId="288ABBAA" w14:textId="76F29A00" w:rsidR="00D37AFD" w:rsidRPr="00803EB6" w:rsidRDefault="00D37AFD" w:rsidP="00D37AFD">
      <w:pPr>
        <w:ind w:left="567" w:hanging="567"/>
        <w:rPr>
          <w:rFonts w:ascii="Arial" w:hAnsi="Arial" w:cs="Arial"/>
          <w:color w:val="000000"/>
          <w:sz w:val="22"/>
          <w:szCs w:val="22"/>
          <w:lang w:val="fr-CA"/>
        </w:rPr>
      </w:pPr>
      <w:r w:rsidRPr="00803EB6">
        <w:rPr>
          <w:rFonts w:ascii="Arial" w:hAnsi="Arial" w:cs="Arial"/>
          <w:color w:val="000000"/>
          <w:sz w:val="22"/>
          <w:szCs w:val="22"/>
          <w:lang w:val="fr-CA"/>
        </w:rPr>
        <w:t>Modules</w:t>
      </w:r>
      <w:r w:rsidR="00492FD5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de lutte antiparasitaire – Mesures de gestion du risque posé par des ravageurs réglementés, y compris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, </w:t>
      </w:r>
      <w:r w:rsidR="00492FD5" w:rsidRPr="00803EB6">
        <w:rPr>
          <w:rFonts w:ascii="Arial" w:hAnsi="Arial" w:cs="Arial"/>
          <w:color w:val="000000"/>
          <w:sz w:val="22"/>
          <w:szCs w:val="22"/>
          <w:lang w:val="fr-CA"/>
        </w:rPr>
        <w:t>une description écrite des procédures ou procédés visant à lutter contre des populations d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="00492FD5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organismes nuisibles, à les supprimer ou à les éradiquer, et à produire des végétaux qui respectent les exigences phytosanitaires du marché. </w:t>
      </w:r>
    </w:p>
    <w:p w14:paraId="5700B07C" w14:textId="3F9F032F" w:rsidR="00D37AFD" w:rsidRPr="00803EB6" w:rsidRDefault="0065056F" w:rsidP="0065056F">
      <w:pPr>
        <w:ind w:left="567" w:hanging="567"/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Site de production </w:t>
      </w:r>
      <w:r w:rsidR="00614B1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–</w:t>
      </w:r>
      <w:r w:rsidR="00D37AF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Partie déterminée d’un lieu de production qui est gérée en tant qu’unité</w:t>
      </w:r>
      <w:r w:rsidR="00F60E8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distincte à des fins phytosanitaires.</w:t>
      </w:r>
    </w:p>
    <w:p w14:paraId="41A42FC2" w14:textId="3E9EDFD2" w:rsidR="00D37AFD" w:rsidRPr="00803EB6" w:rsidRDefault="00492FD5" w:rsidP="00D37AFD">
      <w:pPr>
        <w:ind w:left="567" w:hanging="567"/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Environnement protégé – Endroit physique où des végétaux sont cultivés à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intérieur de structures, sous des structures ou abritées par des structures en vue de créer des conditions de croissance modifiées ou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offrir une protection contre les organismes nuisibles et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environnement extérieur. Ces structures peuvent inclure des serres, des serres à arceaux, des abris grillagés, des ombrières ou toute autre structure considérée par</w:t>
      </w:r>
      <w:r w:rsidRPr="00803EB6">
        <w:rPr>
          <w:rFonts w:ascii="Calibri" w:hAnsi="Calibri" w:cs="Calibri"/>
          <w:color w:val="000000" w:themeColor="text1"/>
          <w:sz w:val="22"/>
          <w:szCs w:val="22"/>
          <w:lang w:val="fr-CA"/>
        </w:rPr>
        <w:t xml:space="preserve">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l’ACIA</w:t>
      </w:r>
      <w:r w:rsidR="00D37AF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</w:t>
      </w:r>
    </w:p>
    <w:p w14:paraId="1F5B608E" w14:textId="7BD36BDB" w:rsidR="004C1810" w:rsidRPr="00803EB6" w:rsidRDefault="0065056F" w:rsidP="0065056F">
      <w:pPr>
        <w:ind w:left="567" w:hanging="567"/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Approche systémique </w:t>
      </w:r>
      <w:r w:rsidR="00614B1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–</w:t>
      </w:r>
      <w:r w:rsidRPr="00803EB6">
        <w:rPr>
          <w:lang w:val="fr-CA"/>
        </w:rPr>
        <w:t xml:space="preserve">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Option de gestion du risque phytosanitaire qui intègre diverses mesures, parmi lesquelles au moins deux agissent indépendamment, avec un effet cumulatif.</w:t>
      </w:r>
    </w:p>
    <w:p w14:paraId="00D4675A" w14:textId="6F8D8F7B" w:rsidR="00D37AFD" w:rsidRPr="00803EB6" w:rsidRDefault="00D37AFD" w:rsidP="00D37AFD">
      <w:pPr>
        <w:ind w:left="567" w:hanging="567"/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19060AC9" w14:textId="688557EC" w:rsidR="00D37AFD" w:rsidRPr="00803EB6" w:rsidRDefault="00015DCF" w:rsidP="00892CB5">
      <w:pPr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>Guide sur la façon de remplir un</w:t>
      </w:r>
      <w:r w:rsidR="0065056F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 xml:space="preserve"> module</w:t>
      </w:r>
      <w:r w:rsidR="00ED5267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 xml:space="preserve"> de lutte antiparasitaire visant</w:t>
      </w:r>
      <w:r w:rsidR="0065056F" w:rsidRPr="00803EB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lang w:val="fr-CA"/>
        </w:rPr>
        <w:t xml:space="preserve"> un ravageur</w:t>
      </w:r>
    </w:p>
    <w:p w14:paraId="4EBD0F1C" w14:textId="777B4FE4" w:rsidR="00D37AFD" w:rsidRPr="00803EB6" w:rsidRDefault="00D37AFD" w:rsidP="00892CB5">
      <w:pPr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A</w:t>
      </w:r>
      <w:r w:rsidR="00A24F5D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.</w:t>
      </w:r>
      <w:r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1</w:t>
      </w:r>
      <w:r w:rsidR="00F20D84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 xml:space="preserve"> </w:t>
      </w:r>
      <w:r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C</w:t>
      </w:r>
      <w:r w:rsidR="00711345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oordonnées</w:t>
      </w:r>
    </w:p>
    <w:p w14:paraId="1E627620" w14:textId="53BE5C5A" w:rsidR="00D37AFD" w:rsidRPr="00803EB6" w:rsidRDefault="00735E12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Dans cette section, précisez l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</w:t>
      </w:r>
      <w:r w:rsidR="00AD4DE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nom de la </w:t>
      </w:r>
      <w:r w:rsidR="002873B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personne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qui supervisera ou gérera les activités liées au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="002873B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et qui sera la principale personne</w:t>
      </w:r>
      <w:r w:rsidR="007B556E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responsable d</w:t>
      </w:r>
      <w:r w:rsidR="002873B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u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programme. </w:t>
      </w:r>
      <w:r w:rsidR="002873B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Recensez tous les sites de production de l’installation où se trouvent des pl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antes hôtes. </w:t>
      </w:r>
      <w:r w:rsidR="002873B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Désignez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</w:t>
      </w:r>
      <w:r w:rsidR="002873B6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 programme phytosanitaire reposant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sur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approche systémique auque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 votre installation participe</w:t>
      </w:r>
      <w:r w:rsidR="00F4120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 C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ette information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permettra à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organisme de réglementation de savoir si</w:t>
      </w:r>
      <w:r w:rsidR="00F4120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un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programme 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de base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audité par une tierce partie </w:t>
      </w:r>
      <w:r w:rsidR="00F4120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est utilisé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pour gérer les ri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sques phytosanitaires dans votre installation. Inscrivez votre numéro d’installation certifiée,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s’il y a lieu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. Les installations qui ne participent pas actuellement à un programme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axé sur une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approche systémique doivent remplir la section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 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A.2.</w:t>
      </w:r>
    </w:p>
    <w:p w14:paraId="57E98A3F" w14:textId="77777777" w:rsidR="006C61E3" w:rsidRPr="00803EB6" w:rsidRDefault="006C61E3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5EF408E7" w14:textId="27C1435F" w:rsidR="006C61E3" w:rsidRPr="00803EB6" w:rsidRDefault="00A24F5D" w:rsidP="00892CB5">
      <w:pPr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A.3</w:t>
      </w:r>
      <w:r w:rsidR="006C61E3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 xml:space="preserve"> </w:t>
      </w:r>
      <w:r w:rsidR="00711345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 xml:space="preserve">Facteurs de risque </w:t>
      </w:r>
      <w:r w:rsidR="00735E12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associés à</w:t>
      </w:r>
      <w:r w:rsidR="00516C3C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 xml:space="preserve"> un ravageur </w:t>
      </w:r>
      <w:r w:rsidR="00711345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particulier</w:t>
      </w:r>
    </w:p>
    <w:p w14:paraId="0E0A4A33" w14:textId="59045010" w:rsidR="006C61E3" w:rsidRPr="00803EB6" w:rsidRDefault="00660EC3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Cette section comprend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des informations de base sur le cycle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biologi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qu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 d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’un ravageur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. Les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renseignements fournis reflètent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les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caractéristiques biologiques 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d’un ravageur </w:t>
      </w:r>
      <w:r w:rsidR="007B556E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dont on tiendra compte dans la prise de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décisions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sur la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gestion du risque phytosanitaire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associé à ce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ravageur dans l’installation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 Le contenu de cette section est le fruit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une collaboration entr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 votre association sectorielle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et les minist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ères provinciaux et fédéraux. Cette section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peut également contenir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des r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envois 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menant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à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autres sources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information sur les </w:t>
      </w:r>
      <w:r w:rsidR="00516C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ravageurs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</w:t>
      </w:r>
    </w:p>
    <w:p w14:paraId="5F00D152" w14:textId="3D6B25AF" w:rsidR="00B742C0" w:rsidRPr="00803EB6" w:rsidRDefault="00B742C0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225BBE70" w14:textId="1EAD5F17" w:rsidR="00106037" w:rsidRPr="00803EB6" w:rsidRDefault="00106037" w:rsidP="00106037">
      <w:pPr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 xml:space="preserve">A.4 </w:t>
      </w:r>
      <w:r w:rsidR="00735E12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Analyse des po</w:t>
      </w:r>
      <w:r w:rsidR="00331413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i</w:t>
      </w:r>
      <w:r w:rsidR="00735E12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nts de risque</w:t>
      </w:r>
      <w:r w:rsidR="00711345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 xml:space="preserve"> associés à l’installation</w:t>
      </w:r>
    </w:p>
    <w:p w14:paraId="635A790B" w14:textId="79C90A2A" w:rsidR="00660EC3" w:rsidRPr="00803EB6" w:rsidRDefault="006A2B3B" w:rsidP="00660EC3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Cette s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ection fournit</w:t>
      </w:r>
      <w:r w:rsidR="007B556E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des exemples de points de risque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du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système de production de la pépinière où 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le ravageur peut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entrer dans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la cha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îne de production ou se disséminer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au sein de la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pépinière. La liste n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est 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pas exhaustive; l</w:t>
      </w:r>
      <w:r w:rsidR="00863A6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’exploitant 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peut y ajouter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tout</w:t>
      </w:r>
      <w:r w:rsidR="00863A6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autre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point de risque </w:t>
      </w:r>
      <w:r w:rsidR="00863A6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associé à son ins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tallation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</w:t>
      </w:r>
    </w:p>
    <w:p w14:paraId="20E27F8D" w14:textId="77777777" w:rsidR="00660EC3" w:rsidRPr="00803EB6" w:rsidRDefault="00660EC3" w:rsidP="00660EC3">
      <w:pPr>
        <w:rPr>
          <w:rFonts w:ascii="Arial" w:hAnsi="Arial" w:cs="Arial"/>
          <w:color w:val="000000" w:themeColor="text1"/>
          <w:sz w:val="22"/>
          <w:szCs w:val="22"/>
          <w:highlight w:val="yellow"/>
          <w:lang w:val="fr-CA"/>
        </w:rPr>
      </w:pPr>
    </w:p>
    <w:p w14:paraId="52917DD2" w14:textId="367D8962" w:rsidR="00B742C0" w:rsidRPr="00803EB6" w:rsidRDefault="00660EC3" w:rsidP="00660EC3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Il est ess</w:t>
      </w:r>
      <w:r w:rsidR="00561F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entiel que vous connaissiez 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les points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de risque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associés à votre installation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pour compr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endre où des mesures particulières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doivent être mises en place pour empêcher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entrée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et la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dissémination du ravageur à l’intérieur de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votre système de producti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on. 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Vous devez essentiellement 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utiliser cette section pour présenter une brève description 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de votre système de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production de plantes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hôtes en tenant compte des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probabilité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infestation 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de votre installation 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par le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ravageur ciblé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Notez ou mettez en évidence les risques applica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bles à votre installation – les résultats 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de 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votre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analyse sont essentiels</w:t>
      </w:r>
      <w:r w:rsidR="0033141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, car ils vous permettront de vous assurer 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que les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mesures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atténuation des risques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phytosanitaire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 liés au 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ravageur ciblé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sont adéquates</w:t>
      </w:r>
      <w:r w:rsidR="00613C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. </w:t>
      </w:r>
    </w:p>
    <w:p w14:paraId="62DFDC57" w14:textId="77777777" w:rsidR="006C61E3" w:rsidRPr="00803EB6" w:rsidRDefault="006C61E3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187E2847" w14:textId="4E54C5C3" w:rsidR="00106037" w:rsidRPr="00803EB6" w:rsidRDefault="00711345" w:rsidP="00892CB5">
      <w:pPr>
        <w:rPr>
          <w:rFonts w:ascii="Arial" w:hAnsi="Arial" w:cs="Arial"/>
          <w:color w:val="000000" w:themeColor="text1"/>
          <w:sz w:val="22"/>
          <w:szCs w:val="22"/>
          <w:u w:val="single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u w:val="single"/>
          <w:lang w:val="fr-CA"/>
        </w:rPr>
        <w:t>Emplacement</w:t>
      </w:r>
    </w:p>
    <w:p w14:paraId="646727DB" w14:textId="26B974E8" w:rsidR="00551B5B" w:rsidRPr="00803EB6" w:rsidRDefault="00613CA9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Votre installation se trouve-t-elle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dans une zone réglementée? L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 ravageur ciblé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est-il présent dans votre région ou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pourrait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-il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entrer dans votre installation</w:t>
      </w:r>
      <w:r w:rsidR="00561FA9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? Si un ravageur est réglementé, des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restrictions </w:t>
      </w:r>
      <w:r w:rsidR="007B556E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peuvent s’appliquer à la destination de vos envois de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plantes hôtes. </w:t>
      </w:r>
      <w:r w:rsidR="0098640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Étant donné que les 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esures phytosanitaires </w:t>
      </w:r>
      <w:r w:rsidR="0098640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applicables a</w:t>
      </w:r>
      <w:r w:rsidR="003F5AE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ux in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stallations situ</w:t>
      </w:r>
      <w:r w:rsidR="003F5AE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é</w:t>
      </w:r>
      <w:r w:rsidR="005849D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es dans les zones réglementées</w:t>
      </w:r>
      <w:r w:rsidR="0098640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peuvent varier en intensité, 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il est primordial que vous réalisiez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une analyse de</w:t>
      </w:r>
      <w:r w:rsidR="003F5AE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risque</w:t>
      </w:r>
      <w:r w:rsidR="003F5AE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 associés à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votre installation pour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déterminer </w:t>
      </w:r>
      <w:r w:rsidR="005849D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les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mesures 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que 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vous devez </w:t>
      </w:r>
      <w:r w:rsidR="003F5AE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prendre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pour satisfaire aux exigences phytosanitaires 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applicables aux produits 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destinés à être 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expédiés</w:t>
      </w:r>
      <w:r w:rsidR="005849D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hors de la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zone réglementée. 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Dans certaines régions </w:t>
      </w:r>
      <w:r w:rsidR="003F5AE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d’une zone réglementée, 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</w:t>
      </w:r>
      <w:r w:rsidR="002528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 risque d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’établissement d’un ravageur peut </w:t>
      </w:r>
      <w:r w:rsidR="007B556E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être moindre </w:t>
      </w:r>
      <w:r w:rsidR="003F5AE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(p. ex.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le nord de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3F5AE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Ontario dans le cas de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la pyrale du buis). Selon le document</w:t>
      </w:r>
      <w:r w:rsidR="00F4120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 </w:t>
      </w:r>
      <w:r w:rsidR="00F6330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DGR-22-02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de l’ACIA (</w:t>
      </w:r>
      <w:r w:rsidR="00F6330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Décision sur la gestion des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risque</w:t>
      </w:r>
      <w:r w:rsidR="00F6330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 phytosanitaires pour la réglementation de </w:t>
      </w:r>
      <w:r w:rsidR="00F63308" w:rsidRPr="00803EB6">
        <w:rPr>
          <w:rFonts w:ascii="Arial" w:hAnsi="Arial" w:cs="Arial"/>
          <w:i/>
          <w:color w:val="000000" w:themeColor="text1"/>
          <w:sz w:val="22"/>
          <w:szCs w:val="22"/>
          <w:lang w:val="fr-CA"/>
        </w:rPr>
        <w:t>Cydalima perspectalis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au Canada),</w:t>
      </w:r>
      <w:r w:rsidR="00F6330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les installations situées plus loin de la zone principale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infestation peuvent se qualifier pour établir des lieux de production et des sites de production exempts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144A4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organismes nuisibles respectant l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 NIMP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 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10. Notez que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ACIA n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effectue pas d</w:t>
      </w:r>
      <w:r w:rsidR="005849D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 relevés dans les zones réglementées et qu</w:t>
      </w:r>
      <w:r w:rsidR="007B556E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 vous pourriez devoir intégrer </w:t>
      </w:r>
      <w:r w:rsidR="005849D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une </w:t>
      </w:r>
      <w:r w:rsidR="00144A4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surv</w:t>
      </w:r>
      <w:r w:rsidR="007B556E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eillance systématique visant à assurer 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5849D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absence du ravageur 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à un </w:t>
      </w:r>
      <w:r w:rsidR="00144A4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odule de lutte antiparasitaire</w:t>
      </w:r>
      <w:r w:rsidR="00660EC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</w:t>
      </w:r>
    </w:p>
    <w:p w14:paraId="6812F956" w14:textId="77777777" w:rsidR="00A24F5D" w:rsidRPr="00803EB6" w:rsidRDefault="00A24F5D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7B7179B3" w14:textId="035A8FCC" w:rsidR="00434AD9" w:rsidRPr="00803EB6" w:rsidRDefault="00711345" w:rsidP="00892CB5">
      <w:pPr>
        <w:rPr>
          <w:rFonts w:ascii="Arial" w:hAnsi="Arial" w:cs="Arial"/>
          <w:color w:val="000000" w:themeColor="text1"/>
          <w:sz w:val="22"/>
          <w:szCs w:val="22"/>
          <w:u w:val="single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u w:val="single"/>
          <w:lang w:val="fr-CA"/>
        </w:rPr>
        <w:t>Activités de production</w:t>
      </w:r>
    </w:p>
    <w:p w14:paraId="1A9C3AEC" w14:textId="5E48B05C" w:rsidR="00434AD9" w:rsidRPr="00803EB6" w:rsidRDefault="00660EC3" w:rsidP="00434AD9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Prenez le temps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examiner chaque étape de votre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processus de production pour vous assurer que </w:t>
      </w:r>
      <w:r w:rsidR="00144A4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vous avez recensé tous les points de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risque. En vous inspirant des définitions ci-de</w:t>
      </w:r>
      <w:r w:rsidR="00144A4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ssus et des exemples de points de risque f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igurant dans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encadré sur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analyse des risques du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, examinez vos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différents systèmes de production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, vos </w:t>
      </w:r>
      <w:r w:rsidR="00144A4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intrants et vos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activités de production. Vous trouverez ci-desso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us un exemple de tableau que vous pouvez adapter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en fonction de votre installation. 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Fournissez les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détails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demandés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et </w:t>
      </w:r>
      <w:r w:rsidR="00144A4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détermine</w:t>
      </w:r>
      <w:r w:rsidR="00F41207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z</w:t>
      </w:r>
      <w:r w:rsidR="00144A4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le n</w:t>
      </w:r>
      <w:r w:rsidR="0089383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iveau de risque en fonction du </w:t>
      </w:r>
      <w:r w:rsidR="00144A4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cycle biologique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du ravageur ciblé.</w:t>
      </w:r>
    </w:p>
    <w:p w14:paraId="02840CE1" w14:textId="4C901B1B" w:rsidR="00434AD9" w:rsidRPr="00803EB6" w:rsidRDefault="00434AD9" w:rsidP="00A24F5D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0"/>
        <w:gridCol w:w="3347"/>
        <w:gridCol w:w="2126"/>
        <w:gridCol w:w="2267"/>
      </w:tblGrid>
      <w:tr w:rsidR="00D43B47" w:rsidRPr="00803EB6" w14:paraId="69345F89" w14:textId="77777777" w:rsidTr="007B556E">
        <w:tc>
          <w:tcPr>
            <w:tcW w:w="1610" w:type="dxa"/>
          </w:tcPr>
          <w:p w14:paraId="6B2E9E22" w14:textId="16421319" w:rsidR="00434AD9" w:rsidRPr="00803EB6" w:rsidRDefault="00711345" w:rsidP="00A24F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Catégorie</w:t>
            </w:r>
          </w:p>
        </w:tc>
        <w:tc>
          <w:tcPr>
            <w:tcW w:w="3347" w:type="dxa"/>
          </w:tcPr>
          <w:p w14:paraId="76757928" w14:textId="2FAD054E" w:rsidR="00434AD9" w:rsidRPr="00803EB6" w:rsidRDefault="00711345" w:rsidP="00A24F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Facteur de risque</w:t>
            </w:r>
          </w:p>
        </w:tc>
        <w:tc>
          <w:tcPr>
            <w:tcW w:w="2126" w:type="dxa"/>
          </w:tcPr>
          <w:p w14:paraId="13B5E8A6" w14:textId="79521513" w:rsidR="00434AD9" w:rsidRPr="00803EB6" w:rsidRDefault="00711345" w:rsidP="00A24F5D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Dé</w:t>
            </w:r>
            <w:r w:rsidR="00434AD9" w:rsidRPr="00803EB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tails</w:t>
            </w:r>
          </w:p>
        </w:tc>
        <w:tc>
          <w:tcPr>
            <w:tcW w:w="2267" w:type="dxa"/>
          </w:tcPr>
          <w:p w14:paraId="44AAD82F" w14:textId="5B111532" w:rsidR="00434AD9" w:rsidRPr="00803EB6" w:rsidRDefault="00711345" w:rsidP="0071134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fr-CA"/>
              </w:rPr>
              <w:t>Niveau de risque</w:t>
            </w:r>
          </w:p>
        </w:tc>
      </w:tr>
      <w:tr w:rsidR="00D43B47" w:rsidRPr="00803EB6" w14:paraId="2E18F75D" w14:textId="77777777" w:rsidTr="007B556E">
        <w:tc>
          <w:tcPr>
            <w:tcW w:w="1610" w:type="dxa"/>
          </w:tcPr>
          <w:p w14:paraId="1941EA28" w14:textId="6B1AF7C7" w:rsidR="00434AD9" w:rsidRPr="00803EB6" w:rsidRDefault="00C72963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Intrants</w:t>
            </w:r>
          </w:p>
        </w:tc>
        <w:tc>
          <w:tcPr>
            <w:tcW w:w="3347" w:type="dxa"/>
          </w:tcPr>
          <w:p w14:paraId="10C0BCC7" w14:textId="30F5340E" w:rsidR="00434AD9" w:rsidRPr="00803EB6" w:rsidRDefault="00C72963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Eau</w:t>
            </w:r>
          </w:p>
        </w:tc>
        <w:tc>
          <w:tcPr>
            <w:tcW w:w="2126" w:type="dxa"/>
          </w:tcPr>
          <w:p w14:paraId="4D16D344" w14:textId="08E83149" w:rsidR="00434AD9" w:rsidRPr="00803EB6" w:rsidRDefault="0090579C" w:rsidP="00B31BD1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Eau d</w:t>
            </w:r>
            <w:r w:rsidR="00294145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’</w:t>
            </w:r>
            <w:r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 xml:space="preserve">un puits, étang traité ou </w:t>
            </w:r>
            <w:r w:rsidR="00C72963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source d</w:t>
            </w:r>
            <w:r w:rsidR="00294145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’</w:t>
            </w:r>
            <w:r w:rsidR="00C72963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eau de surface,</w:t>
            </w:r>
            <w:r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 xml:space="preserve"> </w:t>
            </w:r>
            <w:r w:rsidR="00B31BD1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 xml:space="preserve">eau récupérée </w:t>
            </w:r>
            <w:r w:rsidR="00C72963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et recirculée non traitée</w:t>
            </w:r>
            <w:r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, etc.</w:t>
            </w:r>
          </w:p>
        </w:tc>
        <w:tc>
          <w:tcPr>
            <w:tcW w:w="2267" w:type="dxa"/>
          </w:tcPr>
          <w:p w14:paraId="7FB3C1A6" w14:textId="6DE67A29" w:rsidR="00434AD9" w:rsidRPr="00803EB6" w:rsidRDefault="00C72963" w:rsidP="00D43B47">
            <w:pPr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N</w:t>
            </w:r>
            <w:r w:rsidR="00B31BD1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 xml:space="preserve">iveau de risque </w:t>
            </w:r>
            <w:r w:rsidR="00D43B47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 xml:space="preserve">nul </w:t>
            </w:r>
            <w:r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 xml:space="preserve">ou faible pour les insectes nuisibles, plus élevé pour les maladies </w:t>
            </w:r>
            <w:r w:rsidR="00D43B47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hydriques –</w:t>
            </w:r>
            <w:r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 xml:space="preserve"> en particulier si l</w:t>
            </w:r>
            <w:r w:rsidR="00294145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’</w:t>
            </w:r>
            <w:r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 xml:space="preserve">eau </w:t>
            </w:r>
            <w:r w:rsidR="008225B6"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>est récupérée</w:t>
            </w:r>
            <w:r w:rsidRPr="00803EB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fr-CA"/>
              </w:rPr>
              <w:t xml:space="preserve"> et réutilisée sans traitement adéquat.</w:t>
            </w:r>
          </w:p>
        </w:tc>
      </w:tr>
      <w:tr w:rsidR="00D43B47" w:rsidRPr="00803EB6" w14:paraId="0AE58767" w14:textId="77777777" w:rsidTr="007B556E">
        <w:tc>
          <w:tcPr>
            <w:tcW w:w="1610" w:type="dxa"/>
          </w:tcPr>
          <w:p w14:paraId="0ED68095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560F86C8" w14:textId="2BD0D7F7" w:rsidR="00434AD9" w:rsidRPr="00803EB6" w:rsidRDefault="00C72963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Milieux</w:t>
            </w:r>
            <w:r w:rsidR="008225B6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de culture</w:t>
            </w:r>
          </w:p>
        </w:tc>
        <w:tc>
          <w:tcPr>
            <w:tcW w:w="2126" w:type="dxa"/>
          </w:tcPr>
          <w:p w14:paraId="2CB27868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55C1E7C6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061EF522" w14:textId="77777777" w:rsidTr="007B556E">
        <w:tc>
          <w:tcPr>
            <w:tcW w:w="1610" w:type="dxa"/>
          </w:tcPr>
          <w:p w14:paraId="2288202F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5B477387" w14:textId="7C00BB4F" w:rsidR="00434AD9" w:rsidRPr="00803EB6" w:rsidRDefault="00C72963" w:rsidP="00D43B4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</w:t>
            </w:r>
            <w:r w:rsidR="00434AD9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lants</w:t>
            </w: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de démarrage</w:t>
            </w:r>
            <w:r w:rsidR="00372E37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, </w:t>
            </w:r>
            <w:r w:rsidR="00D43B47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plants de repiquage</w:t>
            </w:r>
          </w:p>
        </w:tc>
        <w:tc>
          <w:tcPr>
            <w:tcW w:w="2126" w:type="dxa"/>
          </w:tcPr>
          <w:p w14:paraId="5F27F4AF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1AE2B3F8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01E15E47" w14:textId="77777777" w:rsidTr="007B556E">
        <w:tc>
          <w:tcPr>
            <w:tcW w:w="1610" w:type="dxa"/>
          </w:tcPr>
          <w:p w14:paraId="6CAECA21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088D3759" w14:textId="19D8171E" w:rsidR="00434AD9" w:rsidRPr="00803EB6" w:rsidRDefault="00261FD3" w:rsidP="00261FD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Pots, </w:t>
            </w:r>
            <w:r w:rsidR="00D43B47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boîtes</w:t>
            </w: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, </w:t>
            </w:r>
            <w:r w:rsidR="00CD3144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c</w:t>
            </w:r>
            <w:r w:rsidR="00C72963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ontenants</w:t>
            </w: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, </w:t>
            </w:r>
            <w:r w:rsidR="00C72963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toiles</w:t>
            </w:r>
            <w:r w:rsidR="00372E37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, </w:t>
            </w:r>
            <w:r w:rsidR="00CD3144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etc.</w:t>
            </w:r>
          </w:p>
        </w:tc>
        <w:tc>
          <w:tcPr>
            <w:tcW w:w="2126" w:type="dxa"/>
          </w:tcPr>
          <w:p w14:paraId="2C90FF6A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51A3542F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72D9CD5B" w14:textId="77777777" w:rsidTr="007B556E">
        <w:tc>
          <w:tcPr>
            <w:tcW w:w="1610" w:type="dxa"/>
          </w:tcPr>
          <w:p w14:paraId="3DEA7D0B" w14:textId="26983283" w:rsidR="00434AD9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Production</w:t>
            </w:r>
          </w:p>
        </w:tc>
        <w:tc>
          <w:tcPr>
            <w:tcW w:w="3347" w:type="dxa"/>
          </w:tcPr>
          <w:p w14:paraId="67CBF220" w14:textId="7352EE77" w:rsidR="00434AD9" w:rsidRPr="00803EB6" w:rsidRDefault="00C72963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Multiplication</w:t>
            </w:r>
          </w:p>
        </w:tc>
        <w:tc>
          <w:tcPr>
            <w:tcW w:w="2126" w:type="dxa"/>
          </w:tcPr>
          <w:p w14:paraId="1614B262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330C1DA3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758711D0" w14:textId="77777777" w:rsidTr="007B556E">
        <w:tc>
          <w:tcPr>
            <w:tcW w:w="1610" w:type="dxa"/>
          </w:tcPr>
          <w:p w14:paraId="28A7FF6A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4FFE59F4" w14:textId="4D1EEDD7" w:rsidR="00434AD9" w:rsidRPr="00803EB6" w:rsidRDefault="00D43B47" w:rsidP="00D43B47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Mise en pot</w:t>
            </w:r>
            <w:r w:rsidR="00C72963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/plantation</w:t>
            </w:r>
            <w:r w:rsidR="00CD3144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/</w:t>
            </w:r>
            <w:r w:rsidR="00C72963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ensemencement</w:t>
            </w:r>
          </w:p>
        </w:tc>
        <w:tc>
          <w:tcPr>
            <w:tcW w:w="2126" w:type="dxa"/>
          </w:tcPr>
          <w:p w14:paraId="6BCDB450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4D8B56A0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3B3F7780" w14:textId="77777777" w:rsidTr="007B556E">
        <w:tc>
          <w:tcPr>
            <w:tcW w:w="1610" w:type="dxa"/>
          </w:tcPr>
          <w:p w14:paraId="32B88F45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6D5D2121" w14:textId="48D135C2" w:rsidR="00376472" w:rsidRPr="00803EB6" w:rsidRDefault="00C72963" w:rsidP="00261FD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Cycle </w:t>
            </w:r>
            <w:r w:rsidR="00261FD3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(période de croissance typique</w:t>
            </w:r>
            <w:r w:rsidR="00376472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)</w:t>
            </w:r>
          </w:p>
        </w:tc>
        <w:tc>
          <w:tcPr>
            <w:tcW w:w="2126" w:type="dxa"/>
          </w:tcPr>
          <w:p w14:paraId="28CCF1BD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5962B826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309D4C75" w14:textId="77777777" w:rsidTr="007B556E">
        <w:tc>
          <w:tcPr>
            <w:tcW w:w="1610" w:type="dxa"/>
          </w:tcPr>
          <w:p w14:paraId="0D84E6DE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3E9986F3" w14:textId="0C2B6DFB" w:rsidR="00376472" w:rsidRPr="00803EB6" w:rsidRDefault="00C72963" w:rsidP="00C7296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Dépistage</w:t>
            </w:r>
          </w:p>
        </w:tc>
        <w:tc>
          <w:tcPr>
            <w:tcW w:w="2126" w:type="dxa"/>
          </w:tcPr>
          <w:p w14:paraId="22DAE9E0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434B08CC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7A1C0AB1" w14:textId="77777777" w:rsidTr="007B556E">
        <w:tc>
          <w:tcPr>
            <w:tcW w:w="1610" w:type="dxa"/>
          </w:tcPr>
          <w:p w14:paraId="4BC2DC91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0D947368" w14:textId="07D3DB2D" w:rsidR="00376472" w:rsidRPr="00803EB6" w:rsidRDefault="00261FD3" w:rsidP="00261FD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Programme de lutte antiparasitaire normalisé</w:t>
            </w:r>
          </w:p>
        </w:tc>
        <w:tc>
          <w:tcPr>
            <w:tcW w:w="2126" w:type="dxa"/>
          </w:tcPr>
          <w:p w14:paraId="131C1043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36A885A6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538D07DA" w14:textId="77777777" w:rsidTr="007B556E">
        <w:tc>
          <w:tcPr>
            <w:tcW w:w="1610" w:type="dxa"/>
          </w:tcPr>
          <w:p w14:paraId="510999E8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786240AE" w14:textId="4698555E" w:rsidR="00CD3144" w:rsidRPr="00803EB6" w:rsidRDefault="00C72963" w:rsidP="00C7296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Entretien des </w:t>
            </w:r>
            <w:r w:rsidR="00261FD3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plantes</w:t>
            </w:r>
            <w:r w:rsidR="00CD3144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– </w:t>
            </w: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gestion des d</w:t>
            </w:r>
            <w:r w:rsidR="004C6C65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é</w:t>
            </w: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bris végétaux</w:t>
            </w:r>
          </w:p>
        </w:tc>
        <w:tc>
          <w:tcPr>
            <w:tcW w:w="2126" w:type="dxa"/>
          </w:tcPr>
          <w:p w14:paraId="6C584686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11967180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02DF8F64" w14:textId="77777777" w:rsidTr="007B556E">
        <w:tc>
          <w:tcPr>
            <w:tcW w:w="1610" w:type="dxa"/>
          </w:tcPr>
          <w:p w14:paraId="6473138E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2DC214DD" w14:textId="50988DC7" w:rsidR="00CD3144" w:rsidRPr="00803EB6" w:rsidRDefault="00C72963" w:rsidP="00C7296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Déplacement des plantes</w:t>
            </w:r>
          </w:p>
        </w:tc>
        <w:tc>
          <w:tcPr>
            <w:tcW w:w="2126" w:type="dxa"/>
          </w:tcPr>
          <w:p w14:paraId="09A739CE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6F614D4E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2502B697" w14:textId="77777777" w:rsidTr="007B556E">
        <w:tc>
          <w:tcPr>
            <w:tcW w:w="1610" w:type="dxa"/>
          </w:tcPr>
          <w:p w14:paraId="558CB217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1198F021" w14:textId="07E1BA56" w:rsidR="00CD3144" w:rsidRPr="00803EB6" w:rsidRDefault="00C72963" w:rsidP="00C7296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Déplacement des gens</w:t>
            </w:r>
          </w:p>
        </w:tc>
        <w:tc>
          <w:tcPr>
            <w:tcW w:w="2126" w:type="dxa"/>
          </w:tcPr>
          <w:p w14:paraId="3340EF51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5D29BB49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67F9055D" w14:textId="77777777" w:rsidTr="007B556E">
        <w:tc>
          <w:tcPr>
            <w:tcW w:w="1610" w:type="dxa"/>
          </w:tcPr>
          <w:p w14:paraId="3E9AD650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551C80AC" w14:textId="773EDB30" w:rsidR="00CD3144" w:rsidRPr="00803EB6" w:rsidRDefault="00C72963" w:rsidP="00C7296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Déplacement de l’équipement</w:t>
            </w:r>
          </w:p>
        </w:tc>
        <w:tc>
          <w:tcPr>
            <w:tcW w:w="2126" w:type="dxa"/>
          </w:tcPr>
          <w:p w14:paraId="41811682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104952C5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1DFBF44A" w14:textId="77777777" w:rsidTr="007B556E">
        <w:tc>
          <w:tcPr>
            <w:tcW w:w="1610" w:type="dxa"/>
          </w:tcPr>
          <w:p w14:paraId="574FAAA8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2652E21F" w14:textId="7E069005" w:rsidR="00CD3144" w:rsidRPr="00803EB6" w:rsidRDefault="00C72963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Récolte</w:t>
            </w:r>
          </w:p>
        </w:tc>
        <w:tc>
          <w:tcPr>
            <w:tcW w:w="2126" w:type="dxa"/>
          </w:tcPr>
          <w:p w14:paraId="54B9991A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6F334C1D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14061D09" w14:textId="77777777" w:rsidTr="007B556E">
        <w:tc>
          <w:tcPr>
            <w:tcW w:w="1610" w:type="dxa"/>
          </w:tcPr>
          <w:p w14:paraId="3FA9872E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65B3BB63" w14:textId="33D86F04" w:rsidR="00CD3144" w:rsidRPr="00803EB6" w:rsidRDefault="00C72963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Réception</w:t>
            </w:r>
          </w:p>
        </w:tc>
        <w:tc>
          <w:tcPr>
            <w:tcW w:w="2126" w:type="dxa"/>
          </w:tcPr>
          <w:p w14:paraId="3B28B056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2301B83F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38AE74DC" w14:textId="77777777" w:rsidTr="007B556E">
        <w:tc>
          <w:tcPr>
            <w:tcW w:w="1610" w:type="dxa"/>
          </w:tcPr>
          <w:p w14:paraId="59C342A9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32E12F07" w14:textId="69B8379B" w:rsidR="00434AD9" w:rsidRPr="00803EB6" w:rsidRDefault="00C72963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Expédition</w:t>
            </w:r>
          </w:p>
        </w:tc>
        <w:tc>
          <w:tcPr>
            <w:tcW w:w="2126" w:type="dxa"/>
          </w:tcPr>
          <w:p w14:paraId="03D5ED06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40F2AB9D" w14:textId="77777777" w:rsidR="00434AD9" w:rsidRPr="00803EB6" w:rsidRDefault="00434AD9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62C28A1F" w14:textId="77777777" w:rsidTr="007B556E">
        <w:tc>
          <w:tcPr>
            <w:tcW w:w="1610" w:type="dxa"/>
          </w:tcPr>
          <w:p w14:paraId="0B88C02B" w14:textId="5EB33058" w:rsidR="00CD3144" w:rsidRPr="00803EB6" w:rsidRDefault="00C72963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Système</w:t>
            </w:r>
          </w:p>
        </w:tc>
        <w:tc>
          <w:tcPr>
            <w:tcW w:w="3347" w:type="dxa"/>
          </w:tcPr>
          <w:p w14:paraId="1840FBA7" w14:textId="601282FD" w:rsidR="00CD3144" w:rsidRPr="00803EB6" w:rsidRDefault="0090579C" w:rsidP="0090579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Environnement protégé (p. ex. serre ou autre environnement fermé et contrôlé)</w:t>
            </w:r>
          </w:p>
        </w:tc>
        <w:tc>
          <w:tcPr>
            <w:tcW w:w="2126" w:type="dxa"/>
          </w:tcPr>
          <w:p w14:paraId="1002FAD4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5D5D6397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5541A2D0" w14:textId="77777777" w:rsidTr="007B556E">
        <w:tc>
          <w:tcPr>
            <w:tcW w:w="1610" w:type="dxa"/>
          </w:tcPr>
          <w:p w14:paraId="4213225E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731A54D9" w14:textId="369734D6" w:rsidR="00CD3144" w:rsidRPr="00803EB6" w:rsidRDefault="0090579C" w:rsidP="0090579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Zones d’exclusion</w:t>
            </w:r>
            <w:r w:rsidR="00D43B47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des ravageurs</w:t>
            </w:r>
          </w:p>
        </w:tc>
        <w:tc>
          <w:tcPr>
            <w:tcW w:w="2126" w:type="dxa"/>
          </w:tcPr>
          <w:p w14:paraId="54360DD4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38BD67BD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0A3EE9F7" w14:textId="77777777" w:rsidTr="007B556E">
        <w:tc>
          <w:tcPr>
            <w:tcW w:w="1610" w:type="dxa"/>
          </w:tcPr>
          <w:p w14:paraId="23A8AD61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19102B12" w14:textId="43D6DFD0" w:rsidR="00CD3144" w:rsidRPr="00803EB6" w:rsidRDefault="00261FD3" w:rsidP="0090579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Production extéri</w:t>
            </w:r>
            <w:r w:rsidR="0090579C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eure</w:t>
            </w:r>
          </w:p>
        </w:tc>
        <w:tc>
          <w:tcPr>
            <w:tcW w:w="2126" w:type="dxa"/>
          </w:tcPr>
          <w:p w14:paraId="1C511A4C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6E6A9765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1F268044" w14:textId="77777777" w:rsidTr="007B556E">
        <w:tc>
          <w:tcPr>
            <w:tcW w:w="1610" w:type="dxa"/>
          </w:tcPr>
          <w:p w14:paraId="2AA26E57" w14:textId="4AE334A6" w:rsidR="00CD3144" w:rsidRPr="00803EB6" w:rsidRDefault="00C72963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Administration</w:t>
            </w:r>
          </w:p>
        </w:tc>
        <w:tc>
          <w:tcPr>
            <w:tcW w:w="3347" w:type="dxa"/>
          </w:tcPr>
          <w:p w14:paraId="346FCFA1" w14:textId="0DAC7AE2" w:rsidR="00CD3144" w:rsidRPr="00803EB6" w:rsidRDefault="0090579C" w:rsidP="0090579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Procédures écrites</w:t>
            </w:r>
          </w:p>
        </w:tc>
        <w:tc>
          <w:tcPr>
            <w:tcW w:w="2126" w:type="dxa"/>
          </w:tcPr>
          <w:p w14:paraId="407D2D07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1D3541B5" w14:textId="77777777" w:rsidR="00CD3144" w:rsidRPr="00803EB6" w:rsidRDefault="00CD3144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7B21B567" w14:textId="77777777" w:rsidTr="007B556E">
        <w:tc>
          <w:tcPr>
            <w:tcW w:w="1610" w:type="dxa"/>
          </w:tcPr>
          <w:p w14:paraId="419203B5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19A50163" w14:textId="4FAE4779" w:rsidR="00376472" w:rsidRPr="00803EB6" w:rsidRDefault="00261FD3" w:rsidP="0090579C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Contrôle des stocks</w:t>
            </w:r>
          </w:p>
        </w:tc>
        <w:tc>
          <w:tcPr>
            <w:tcW w:w="2126" w:type="dxa"/>
          </w:tcPr>
          <w:p w14:paraId="6A32E324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3D40D46A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  <w:tr w:rsidR="00D43B47" w:rsidRPr="00803EB6" w14:paraId="1578F8D6" w14:textId="77777777" w:rsidTr="007B556E">
        <w:tc>
          <w:tcPr>
            <w:tcW w:w="1610" w:type="dxa"/>
          </w:tcPr>
          <w:p w14:paraId="243A658B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3347" w:type="dxa"/>
          </w:tcPr>
          <w:p w14:paraId="6F564DCD" w14:textId="28A046D4" w:rsidR="00376472" w:rsidRPr="00803EB6" w:rsidRDefault="00261FD3" w:rsidP="00C72963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  <w:r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>Tenue de</w:t>
            </w:r>
            <w:r w:rsidR="00C72963" w:rsidRPr="00803EB6"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  <w:t xml:space="preserve"> registres</w:t>
            </w:r>
          </w:p>
        </w:tc>
        <w:tc>
          <w:tcPr>
            <w:tcW w:w="2126" w:type="dxa"/>
          </w:tcPr>
          <w:p w14:paraId="5CF3962D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  <w:tc>
          <w:tcPr>
            <w:tcW w:w="2267" w:type="dxa"/>
          </w:tcPr>
          <w:p w14:paraId="07D51AFC" w14:textId="77777777" w:rsidR="00376472" w:rsidRPr="00803EB6" w:rsidRDefault="00376472" w:rsidP="00A24F5D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fr-CA"/>
              </w:rPr>
            </w:pPr>
          </w:p>
        </w:tc>
      </w:tr>
    </w:tbl>
    <w:p w14:paraId="4F6CC6EE" w14:textId="7B83DE58" w:rsidR="00434AD9" w:rsidRPr="00803EB6" w:rsidRDefault="00434AD9" w:rsidP="00A24F5D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1AD1E087" w14:textId="62F4384C" w:rsidR="0090579C" w:rsidRPr="00803EB6" w:rsidRDefault="0090579C" w:rsidP="0090579C">
      <w:pPr>
        <w:rPr>
          <w:rFonts w:ascii="Arial" w:hAnsi="Arial" w:cs="Arial"/>
          <w:color w:val="000000"/>
          <w:sz w:val="22"/>
          <w:szCs w:val="22"/>
          <w:lang w:val="fr-CA"/>
        </w:rPr>
      </w:pP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Une fois que </w:t>
      </w:r>
      <w:r w:rsidR="00261FD3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vous aurez recensé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les facteurs de risque </w:t>
      </w:r>
      <w:r w:rsidR="00261FD3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associés à l’installation, vous devrez utiliser l’information recueillie pour </w:t>
      </w:r>
      <w:r w:rsidR="00C16C22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recenser les risques </w:t>
      </w:r>
      <w:r w:rsidR="00261FD3" w:rsidRPr="00803EB6">
        <w:rPr>
          <w:rFonts w:ascii="Arial" w:hAnsi="Arial" w:cs="Arial"/>
          <w:color w:val="000000"/>
          <w:sz w:val="22"/>
          <w:szCs w:val="22"/>
          <w:lang w:val="fr-CA"/>
        </w:rPr>
        <w:t>et</w:t>
      </w:r>
      <w:r w:rsidR="00544203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établir</w:t>
      </w:r>
      <w:r w:rsidR="00261FD3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les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mesures d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="00261FD3" w:rsidRPr="00803EB6">
        <w:rPr>
          <w:rFonts w:ascii="Arial" w:hAnsi="Arial" w:cs="Arial"/>
          <w:color w:val="000000"/>
          <w:sz w:val="22"/>
          <w:szCs w:val="22"/>
          <w:lang w:val="fr-CA"/>
        </w:rPr>
        <w:t>atténuation à prendre dans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votre pépinière. Les résultats de ce processus d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analyse des risques sont consignés dans les sections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 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A.5</w:t>
      </w:r>
      <w:r w:rsidR="00261FD3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à </w:t>
      </w:r>
      <w:r w:rsidR="00544203" w:rsidRPr="00803EB6">
        <w:rPr>
          <w:rFonts w:ascii="Arial" w:hAnsi="Arial" w:cs="Arial"/>
          <w:color w:val="000000"/>
          <w:sz w:val="22"/>
          <w:szCs w:val="22"/>
          <w:lang w:val="fr-CA"/>
        </w:rPr>
        <w:t>A.8 ci-après.</w:t>
      </w:r>
      <w:r w:rsidR="00261FD3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Si votre installation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n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a qu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une</w:t>
      </w:r>
      <w:r w:rsidR="00261FD3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expérience limitée en matière de recensement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des risques phytosanitaires et d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="00544203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établissement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de mesures d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atténuation appropriées, </w:t>
      </w:r>
      <w:r w:rsidR="00544203" w:rsidRPr="00803EB6">
        <w:rPr>
          <w:rFonts w:ascii="Arial" w:hAnsi="Arial" w:cs="Arial"/>
          <w:color w:val="000000"/>
          <w:sz w:val="22"/>
          <w:szCs w:val="22"/>
          <w:lang w:val="fr-CA"/>
        </w:rPr>
        <w:t>vous devriez communiquer avec v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otre association locale de producteurs ou l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ACIA pour obtenir de l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aide.</w:t>
      </w:r>
    </w:p>
    <w:p w14:paraId="009F6AFF" w14:textId="77777777" w:rsidR="0090579C" w:rsidRPr="00803EB6" w:rsidRDefault="0090579C" w:rsidP="0090579C">
      <w:pPr>
        <w:rPr>
          <w:rFonts w:ascii="Arial" w:hAnsi="Arial" w:cs="Arial"/>
          <w:color w:val="000000"/>
          <w:sz w:val="22"/>
          <w:szCs w:val="22"/>
          <w:lang w:val="fr-CA"/>
        </w:rPr>
      </w:pP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</w:p>
    <w:p w14:paraId="7F818116" w14:textId="703D6F0F" w:rsidR="0090579C" w:rsidRPr="00803EB6" w:rsidRDefault="00544203" w:rsidP="0090579C">
      <w:pPr>
        <w:rPr>
          <w:rFonts w:ascii="Arial" w:hAnsi="Arial" w:cs="Arial"/>
          <w:color w:val="000000"/>
          <w:sz w:val="22"/>
          <w:szCs w:val="22"/>
          <w:lang w:val="fr-CA"/>
        </w:rPr>
      </w:pPr>
      <w:r w:rsidRPr="00803EB6">
        <w:rPr>
          <w:rFonts w:ascii="Arial" w:hAnsi="Arial" w:cs="Arial"/>
          <w:color w:val="000000"/>
          <w:sz w:val="22"/>
          <w:szCs w:val="22"/>
          <w:lang w:val="fr-CA"/>
        </w:rPr>
        <w:t>Ajoutez</w:t>
      </w:r>
      <w:r w:rsidR="00C16C22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une carte de votre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C16C22" w:rsidRPr="00803EB6">
        <w:rPr>
          <w:rFonts w:ascii="Arial" w:hAnsi="Arial" w:cs="Arial"/>
          <w:color w:val="000000"/>
          <w:sz w:val="22"/>
          <w:szCs w:val="22"/>
          <w:lang w:val="fr-CA"/>
        </w:rPr>
        <w:t>ou de vos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zones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de production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de plantes 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>hôte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s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si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une telle carte </w:t>
      </w:r>
      <w:r w:rsidR="00C16C22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ne figure pas déjà dans 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votre manuel </w:t>
      </w:r>
      <w:r w:rsidR="00E80F32" w:rsidRPr="00803EB6">
        <w:rPr>
          <w:rFonts w:ascii="Arial" w:hAnsi="Arial" w:cs="Arial"/>
          <w:color w:val="000000"/>
          <w:sz w:val="22"/>
          <w:szCs w:val="22"/>
          <w:lang w:val="fr-CA"/>
        </w:rPr>
        <w:t>reposant sur une a</w:t>
      </w:r>
      <w:r w:rsidR="006724C5">
        <w:rPr>
          <w:rFonts w:ascii="Arial" w:hAnsi="Arial" w:cs="Arial"/>
          <w:color w:val="000000"/>
          <w:sz w:val="22"/>
          <w:szCs w:val="22"/>
          <w:lang w:val="fr-CA"/>
        </w:rPr>
        <w:t>pproche systémique. Notez que</w:t>
      </w:r>
      <w:r w:rsidR="00C16C22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>la séparation de 3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 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>m (10</w:t>
      </w:r>
      <w:r w:rsidR="00F41207" w:rsidRPr="00803EB6">
        <w:rPr>
          <w:rFonts w:ascii="Arial" w:hAnsi="Arial" w:cs="Arial"/>
          <w:color w:val="000000"/>
          <w:sz w:val="22"/>
          <w:szCs w:val="22"/>
          <w:lang w:val="fr-CA"/>
        </w:rPr>
        <w:t> 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pi) entre les blocs (selon le cycle biologique</w:t>
      </w:r>
      <w:r w:rsidR="00C16C22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des ravageurs) est </w:t>
      </w:r>
      <w:r w:rsidR="00E80F32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assurément 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>pertinente pour</w:t>
      </w:r>
      <w:r w:rsidR="006724C5">
        <w:rPr>
          <w:rFonts w:ascii="Arial" w:hAnsi="Arial" w:cs="Arial"/>
          <w:color w:val="000000"/>
          <w:sz w:val="22"/>
          <w:szCs w:val="22"/>
          <w:lang w:val="fr-CA"/>
        </w:rPr>
        <w:t xml:space="preserve"> les maladies ou les virus, mais qu’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elle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peut </w:t>
      </w:r>
      <w:r w:rsidR="00C16C22" w:rsidRPr="00803EB6">
        <w:rPr>
          <w:rFonts w:ascii="Arial" w:hAnsi="Arial" w:cs="Arial"/>
          <w:color w:val="000000"/>
          <w:sz w:val="22"/>
          <w:szCs w:val="22"/>
          <w:lang w:val="fr-CA"/>
        </w:rPr>
        <w:t>être</w:t>
      </w:r>
      <w:r w:rsidR="006724C5">
        <w:rPr>
          <w:rFonts w:ascii="Arial" w:hAnsi="Arial" w:cs="Arial"/>
          <w:color w:val="000000"/>
          <w:sz w:val="22"/>
          <w:szCs w:val="22"/>
          <w:lang w:val="fr-CA"/>
        </w:rPr>
        <w:t xml:space="preserve"> aussi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valable pour les 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>insectes ravageu</w:t>
      </w:r>
      <w:r w:rsidR="00E80F32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rs à certains stades </w:t>
      </w:r>
      <w:r w:rsidR="00C16C22" w:rsidRPr="00803EB6">
        <w:rPr>
          <w:rFonts w:ascii="Arial" w:hAnsi="Arial" w:cs="Arial"/>
          <w:color w:val="000000"/>
          <w:sz w:val="22"/>
          <w:szCs w:val="22"/>
          <w:lang w:val="fr-CA"/>
        </w:rPr>
        <w:t>de leur cycle biologique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(</w:t>
      </w:r>
      <w:r w:rsidR="00E80F32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p. ex. </w:t>
      </w:r>
      <w:r w:rsidR="0090579C" w:rsidRPr="00803EB6">
        <w:rPr>
          <w:rFonts w:ascii="Arial" w:hAnsi="Arial" w:cs="Arial"/>
          <w:color w:val="000000"/>
          <w:sz w:val="22"/>
          <w:szCs w:val="22"/>
          <w:lang w:val="fr-CA"/>
        </w:rPr>
        <w:t>au stade larvaire).</w:t>
      </w:r>
    </w:p>
    <w:p w14:paraId="2DC52C6A" w14:textId="53F944DA" w:rsidR="00FF37E3" w:rsidRPr="00803EB6" w:rsidRDefault="00FF37E3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5D8F6D95" w14:textId="2AAF1AB9" w:rsidR="007F07E1" w:rsidRPr="00803EB6" w:rsidRDefault="004E7591" w:rsidP="00892CB5">
      <w:pPr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A.</w:t>
      </w:r>
      <w:r w:rsidR="00434AD9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5</w:t>
      </w:r>
      <w:r w:rsidR="00F41207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-</w:t>
      </w:r>
      <w:r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A.</w:t>
      </w:r>
      <w:r w:rsidR="00434AD9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8</w:t>
      </w:r>
      <w:r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 xml:space="preserve"> </w:t>
      </w:r>
      <w:r w:rsidR="00376472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–</w:t>
      </w:r>
      <w:r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 xml:space="preserve"> </w:t>
      </w:r>
      <w:r w:rsidR="0090579C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 xml:space="preserve">Mesures d’atténuation des risques </w:t>
      </w:r>
      <w:r w:rsidR="00C16C22" w:rsidRPr="00803EB6">
        <w:rPr>
          <w:rFonts w:ascii="Arial" w:hAnsi="Arial" w:cs="Arial"/>
          <w:i/>
          <w:iCs/>
          <w:color w:val="000000" w:themeColor="text1"/>
          <w:sz w:val="22"/>
          <w:szCs w:val="22"/>
          <w:lang w:val="fr-CA"/>
        </w:rPr>
        <w:t>associés à un ravageur en particulier</w:t>
      </w:r>
    </w:p>
    <w:p w14:paraId="548A668B" w14:textId="41D26F36" w:rsidR="00376472" w:rsidRPr="00803EB6" w:rsidRDefault="0090579C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C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 sont les sections les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plus importante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du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 Si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vous n’avez pas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habitude d</w:t>
      </w:r>
      <w:r w:rsidR="0054420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 </w:t>
      </w:r>
      <w:r w:rsidR="006724C5">
        <w:rPr>
          <w:rFonts w:ascii="Arial" w:hAnsi="Arial" w:cs="Arial"/>
          <w:color w:val="000000" w:themeColor="text1"/>
          <w:sz w:val="22"/>
          <w:szCs w:val="22"/>
          <w:lang w:val="fr-CA"/>
        </w:rPr>
        <w:t>déterminer 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t </w:t>
      </w:r>
      <w:r w:rsidR="0054420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de mettre en œuvre des mesures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de gestion du risque phytosanitaire</w:t>
      </w:r>
      <w:r w:rsidR="00544203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appropriées, 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nous vous conseillons de </w:t>
      </w:r>
      <w:r w:rsidR="00E80F3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consulter des spécialistes en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vulgarisation, des organismes de réglementation ou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autres professionnels.</w:t>
      </w:r>
    </w:p>
    <w:p w14:paraId="6799D13B" w14:textId="77777777" w:rsidR="00E10F5B" w:rsidRPr="00803EB6" w:rsidRDefault="00E10F5B" w:rsidP="00376472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5585025F" w14:textId="0730B8D9" w:rsidR="00E10F5B" w:rsidRPr="00803EB6" w:rsidRDefault="00364183" w:rsidP="00376472">
      <w:pPr>
        <w:rPr>
          <w:rFonts w:ascii="Arial" w:hAnsi="Arial" w:cs="Arial"/>
          <w:color w:val="000000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Pour 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faciliter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établissement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d’un 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ensemble 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approprié 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de mesures de gestion du risque phytosanitaire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et pour des raisons pratiques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, ces sections comprennent des cases à coch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er 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lastRenderedPageBreak/>
        <w:t>avec des exemples de mesures ou d’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activités qui vous aid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eront à déterminer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les mesures que vous devriez mettre en place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 Le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 mesures proposées n’étant pas 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exhaustives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, vous pouvez y 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ajouter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d’autres mesures propres à vos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activités. Les installations situées dans des zones réglementées ou dans des zones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à forte prévalence de ravageurs devront mettre en place des mesures qui ne seraient pas nécessairement pertinentes pour des 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installations situées en dehors 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d’une 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zone réglementée. Ajoutez 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des détails sur la manière dont chaque mesure sera mise en œuvre dans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installation.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Les 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installations 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doivent s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assur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er que les mesures de gestion des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risque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phytosanitaire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 incluses dans un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sont mises 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en œuvre et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vérifiable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. 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Certaines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cases à cocher ne s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appliqueront pas aux risques recensés dans un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</w:t>
      </w:r>
      <w:r w:rsidR="00F9030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i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nstallation. 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Si un intrant ou une activité</w:t>
      </w:r>
      <w:r w:rsidR="009E2A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n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 pose auc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un risque à l’égard d’un 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ravageur 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en particulier, inscrivez l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 mention</w:t>
      </w:r>
      <w:r w:rsidR="003C29A1" w:rsidRPr="00803EB6">
        <w:rPr>
          <w:lang w:val="fr-CA"/>
        </w:rPr>
        <w:t xml:space="preserve"> 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S. O. (sans objet) au 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gabarit du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="003C29A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</w:t>
      </w:r>
    </w:p>
    <w:p w14:paraId="16B323DA" w14:textId="71732FE5" w:rsidR="005C31EF" w:rsidRPr="00803EB6" w:rsidRDefault="005C31EF" w:rsidP="00892CB5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20C5B297" w14:textId="0B6454C1" w:rsidR="00E10F5B" w:rsidRPr="00803EB6" w:rsidRDefault="0067274E" w:rsidP="00E10F5B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Les installations qui participent</w:t>
      </w:r>
      <w:r w:rsidR="0098022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à un programme phytosanitaire reposant sur une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approche systémique </w:t>
      </w:r>
      <w:r w:rsidR="0098022C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et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audité par</w:t>
      </w:r>
      <w:r w:rsidR="00681722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une tierce partie (p. ex.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661744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PCC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P, GCP, </w:t>
      </w:r>
      <w:r w:rsidR="00661744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Plantes saines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de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ICPC) 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ont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déjà</w:t>
      </w:r>
      <w:r w:rsidR="00C742A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ajouté à un </w:t>
      </w:r>
      <w:r w:rsidR="002D13C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module de lutte antiparasitaire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des activités 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et des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mesures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1103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atténuation des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risque</w:t>
      </w:r>
      <w:r w:rsidR="001103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phytosanitaire</w:t>
      </w:r>
      <w:r w:rsidR="002D13C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2D13C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associés à un ravageur en particulier. </w:t>
      </w:r>
      <w:r w:rsidR="001103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Le manuel ou le plan de gestion de ces installations 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contiennent </w:t>
      </w:r>
      <w:r w:rsidR="001103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déjà 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des détails sur </w:t>
      </w:r>
      <w:r w:rsidR="001103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les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responsabilités</w:t>
      </w:r>
      <w:r w:rsidR="00473871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et la formation du personnel</w:t>
      </w:r>
      <w:r w:rsidR="00D3219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, la traçabilité, l</w:t>
      </w:r>
      <w:r w:rsidR="002D13C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’inspection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à la réception et à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2D13C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expédition, </w:t>
      </w:r>
      <w:r w:rsidR="00D3219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la</w:t>
      </w:r>
      <w:r w:rsidR="002D13C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D3219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tenue de registres, l</w:t>
      </w:r>
      <w:r w:rsidR="002D13C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’audit et </w:t>
      </w:r>
      <w:r w:rsidR="00D3219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2D13C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utilisation d’</w:t>
      </w:r>
      <w:r w:rsidR="001103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estampilles ou </w:t>
      </w:r>
      <w:r w:rsidR="002D13C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d’</w:t>
      </w:r>
      <w:r w:rsidR="001103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étiquettes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de </w:t>
      </w:r>
      <w:r w:rsidR="003778D0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certification</w:t>
      </w:r>
      <w:r w:rsidR="00D3219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 Si vous avez déjà inclus les</w:t>
      </w:r>
      <w:r w:rsidR="001103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renseignements demandés </w:t>
      </w:r>
      <w:r w:rsidR="00D3219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dans un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programme </w:t>
      </w:r>
      <w:r w:rsidR="0011033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reposant sur une a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pproc</w:t>
      </w:r>
      <w:r w:rsidR="00D3219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he systémique, établissez des renvois menant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à la section pertinente de votre plan ou manuel de gestion du programme au lieu de</w:t>
      </w:r>
      <w:r w:rsidR="00C742A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répéter des </w:t>
      </w:r>
      <w:r w:rsidR="00D3219D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détails déjà fournis dans un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.</w:t>
      </w:r>
    </w:p>
    <w:p w14:paraId="5B610560" w14:textId="77777777" w:rsidR="00E10F5B" w:rsidRPr="00803EB6" w:rsidRDefault="00E10F5B" w:rsidP="00E10F5B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</w:p>
    <w:p w14:paraId="106B4365" w14:textId="5948DB4F" w:rsidR="0067274E" w:rsidRPr="00803EB6" w:rsidRDefault="0067274E" w:rsidP="0067274E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Les installations qui ne participent pas à un programme 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reposant sur une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approche systémique devront 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communiquer avec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ACIA pour 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s’informer des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exigence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s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supplémentaire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s à respecter pour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faciliter </w:t>
      </w:r>
      <w:r w:rsidR="00C742A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le commerce des 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plantes hôtes </w:t>
      </w:r>
      <w:r w:rsidR="0025230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d’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un ravageur en particulier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. Les 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installations q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ui 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participent </w:t>
      </w:r>
      <w:r w:rsidR="00C742A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depuis peu </w:t>
      </w:r>
      <w:r w:rsidR="007C036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à un programme reposant sur une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approche systémique devront démontrer qu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2D13CB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elles</w:t>
      </w:r>
      <w:r w:rsidR="00C742A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appliquent à la lettre </w:t>
      </w:r>
      <w:r w:rsidR="0025230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les activités décrites 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dans leur module.</w:t>
      </w:r>
    </w:p>
    <w:p w14:paraId="7E053A93" w14:textId="77777777" w:rsidR="0067274E" w:rsidRPr="00803EB6" w:rsidRDefault="0067274E" w:rsidP="0067274E">
      <w:pPr>
        <w:rPr>
          <w:rFonts w:ascii="Arial" w:hAnsi="Arial" w:cs="Arial"/>
          <w:color w:val="000000" w:themeColor="text1"/>
          <w:sz w:val="22"/>
          <w:szCs w:val="22"/>
          <w:highlight w:val="yellow"/>
          <w:lang w:val="fr-CA"/>
        </w:rPr>
      </w:pPr>
    </w:p>
    <w:p w14:paraId="48D25988" w14:textId="4997C58B" w:rsidR="00623BC1" w:rsidRPr="00803EB6" w:rsidRDefault="00C4579D" w:rsidP="0067274E">
      <w:p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La planification en cas d’urgence</w:t>
      </w:r>
      <w:r w:rsidR="00AA242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est un élément important d’un </w:t>
      </w:r>
      <w:r w:rsidR="0070768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module de lutte antiparasitaire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. </w:t>
      </w:r>
      <w:r w:rsidR="00AA242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À titre d’exemple, une urgence se produit lorsqu’on détecte un ravageur ciblé 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dans des plantes </w:t>
      </w:r>
      <w:r w:rsidR="00C742A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entrantes 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préparées pour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AA242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expédition ou, encore, lorsqu’on découvre un ravageur ciblé d</w:t>
      </w:r>
      <w:r w:rsidR="006724C5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ans une zone qui est protégée 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par une barrière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AA242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exclusion des ravageurs. 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Pour gérer efficacement les situations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urgence, il faut </w:t>
      </w:r>
      <w:r w:rsidR="006724C5">
        <w:rPr>
          <w:rFonts w:ascii="Arial" w:hAnsi="Arial" w:cs="Arial"/>
          <w:color w:val="000000" w:themeColor="text1"/>
          <w:sz w:val="22"/>
          <w:szCs w:val="22"/>
          <w:lang w:val="fr-CA"/>
        </w:rPr>
        <w:t>planifier</w:t>
      </w:r>
      <w:r w:rsidR="00C742A8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</w:t>
      </w:r>
      <w:r w:rsidR="00AA242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une ou des interventions i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mmédiates.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identification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une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personne clé, la notification de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ACIA,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arrêt de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AA242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expédition de 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plantes hôtes,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échantillonnage, les mesures de contrôle et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analyse de la cause fondamentale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 de l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urgence sont autant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éléments essentiels </w:t>
      </w:r>
      <w:r w:rsidR="00AA242A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 xml:space="preserve">à inclure dans 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un plan d</w:t>
      </w:r>
      <w:r w:rsidR="00294145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’</w:t>
      </w:r>
      <w:r w:rsidR="0067274E" w:rsidRPr="00803EB6">
        <w:rPr>
          <w:rFonts w:ascii="Arial" w:hAnsi="Arial" w:cs="Arial"/>
          <w:color w:val="000000" w:themeColor="text1"/>
          <w:sz w:val="22"/>
          <w:szCs w:val="22"/>
          <w:lang w:val="fr-CA"/>
        </w:rPr>
        <w:t>urgence.</w:t>
      </w:r>
    </w:p>
    <w:p w14:paraId="7B0CB3B0" w14:textId="77777777" w:rsidR="00B90B82" w:rsidRPr="00803EB6" w:rsidRDefault="00B90B82" w:rsidP="00B90B82">
      <w:pPr>
        <w:rPr>
          <w:rFonts w:ascii="Arial" w:hAnsi="Arial" w:cs="Arial"/>
          <w:color w:val="000000"/>
          <w:sz w:val="22"/>
          <w:szCs w:val="22"/>
          <w:lang w:val="fr-CA"/>
        </w:rPr>
      </w:pPr>
    </w:p>
    <w:p w14:paraId="227DBC54" w14:textId="19E845FA" w:rsidR="00BD04EF" w:rsidRPr="00803EB6" w:rsidRDefault="008C69E4" w:rsidP="00892CB5">
      <w:pPr>
        <w:rPr>
          <w:rFonts w:ascii="Arial" w:hAnsi="Arial" w:cs="Arial"/>
          <w:i/>
          <w:iCs/>
          <w:color w:val="000000"/>
          <w:sz w:val="22"/>
          <w:szCs w:val="22"/>
          <w:lang w:val="fr-CA"/>
        </w:rPr>
      </w:pPr>
      <w:r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>B.</w:t>
      </w:r>
      <w:r w:rsidR="005C31EF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 xml:space="preserve"> Signatures</w:t>
      </w:r>
    </w:p>
    <w:p w14:paraId="4107A191" w14:textId="2DC3BEA3" w:rsidR="005C31EF" w:rsidRPr="00803EB6" w:rsidRDefault="009E2A3B" w:rsidP="00892CB5">
      <w:pPr>
        <w:rPr>
          <w:rFonts w:ascii="Arial" w:hAnsi="Arial" w:cs="Arial"/>
          <w:color w:val="000000"/>
          <w:sz w:val="22"/>
          <w:szCs w:val="22"/>
          <w:lang w:val="fr-CA"/>
        </w:rPr>
      </w:pPr>
      <w:r w:rsidRPr="00803EB6">
        <w:rPr>
          <w:rFonts w:ascii="Arial" w:hAnsi="Arial" w:cs="Arial"/>
          <w:color w:val="000000"/>
          <w:sz w:val="22"/>
          <w:szCs w:val="22"/>
          <w:lang w:val="fr-CA"/>
        </w:rPr>
        <w:t>Le propriétaire de l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="00681722" w:rsidRPr="00803EB6">
        <w:rPr>
          <w:rFonts w:ascii="Arial" w:hAnsi="Arial" w:cs="Arial"/>
          <w:color w:val="000000"/>
          <w:sz w:val="22"/>
          <w:szCs w:val="22"/>
          <w:lang w:val="fr-CA"/>
        </w:rPr>
        <w:t>installation</w:t>
      </w:r>
      <w:r w:rsidR="00E5421E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signe le document et mentionne qu’il s’engage à mettre en œuvr</w:t>
      </w:r>
      <w:r w:rsidR="00372E37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e les activités décrites dans le </w:t>
      </w:r>
      <w:r w:rsidR="00707685" w:rsidRPr="00803EB6">
        <w:rPr>
          <w:rFonts w:ascii="Arial" w:hAnsi="Arial" w:cs="Arial"/>
          <w:color w:val="000000"/>
          <w:sz w:val="22"/>
          <w:szCs w:val="22"/>
          <w:lang w:val="fr-CA"/>
        </w:rPr>
        <w:t>module de lutte antiparasitaire</w:t>
      </w:r>
      <w:r w:rsidR="00E5421E" w:rsidRPr="00803EB6">
        <w:rPr>
          <w:rFonts w:ascii="Arial" w:hAnsi="Arial" w:cs="Arial"/>
          <w:color w:val="000000"/>
          <w:sz w:val="22"/>
          <w:szCs w:val="22"/>
          <w:lang w:val="fr-CA"/>
        </w:rPr>
        <w:t>.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L</w:t>
      </w:r>
      <w:r w:rsidR="00294145" w:rsidRPr="00803EB6">
        <w:rPr>
          <w:rFonts w:ascii="Arial" w:hAnsi="Arial" w:cs="Arial"/>
          <w:color w:val="000000"/>
          <w:sz w:val="22"/>
          <w:szCs w:val="22"/>
          <w:lang w:val="fr-CA"/>
        </w:rPr>
        <w:t>’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ACIA doit approuver tout </w:t>
      </w:r>
      <w:r w:rsidR="00707685" w:rsidRPr="00803EB6">
        <w:rPr>
          <w:rFonts w:ascii="Arial" w:hAnsi="Arial" w:cs="Arial"/>
          <w:color w:val="000000"/>
          <w:sz w:val="22"/>
          <w:szCs w:val="22"/>
          <w:lang w:val="fr-CA"/>
        </w:rPr>
        <w:t>module de lutte antiparasitaire</w:t>
      </w:r>
      <w:r w:rsidR="00E5421E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utilisé pour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satisfaire aux exige</w:t>
      </w:r>
      <w:r w:rsidR="00681722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nces officielles </w:t>
      </w:r>
      <w:r w:rsidR="00E5421E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relatives au </w:t>
      </w:r>
      <w:r w:rsidR="00681722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déplacement </w:t>
      </w:r>
      <w:r w:rsidR="00E5421E" w:rsidRPr="00803EB6">
        <w:rPr>
          <w:rFonts w:ascii="Arial" w:hAnsi="Arial" w:cs="Arial"/>
          <w:color w:val="000000"/>
          <w:sz w:val="22"/>
          <w:szCs w:val="22"/>
          <w:lang w:val="fr-CA"/>
        </w:rPr>
        <w:t>de plantes sur le territoire canadien.</w:t>
      </w:r>
    </w:p>
    <w:p w14:paraId="7734E833" w14:textId="06F46228" w:rsidR="005C31EF" w:rsidRPr="00803EB6" w:rsidRDefault="005C31EF">
      <w:pPr>
        <w:rPr>
          <w:rFonts w:ascii="Arial" w:hAnsi="Arial" w:cs="Arial"/>
          <w:color w:val="000000"/>
          <w:sz w:val="22"/>
          <w:szCs w:val="22"/>
          <w:lang w:val="fr-CA"/>
        </w:rPr>
      </w:pPr>
    </w:p>
    <w:p w14:paraId="7BD17B8E" w14:textId="301A91CD" w:rsidR="00FE6BB2" w:rsidRPr="00803EB6" w:rsidRDefault="00FE6BB2" w:rsidP="00FE6BB2">
      <w:pPr>
        <w:rPr>
          <w:rFonts w:ascii="Arial" w:hAnsi="Arial" w:cs="Arial"/>
          <w:i/>
          <w:iCs/>
          <w:color w:val="000000"/>
          <w:sz w:val="22"/>
          <w:szCs w:val="22"/>
          <w:lang w:val="fr-CA"/>
        </w:rPr>
      </w:pPr>
      <w:r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>C.</w:t>
      </w:r>
      <w:r w:rsidR="00294145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 xml:space="preserve"> </w:t>
      </w:r>
      <w:r w:rsidR="00E5421E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 xml:space="preserve">Documents supplémentaires que doivent fournir </w:t>
      </w:r>
      <w:r w:rsidR="009E2A3B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>les installations</w:t>
      </w:r>
      <w:r w:rsidR="000656AB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 xml:space="preserve"> souhaitant</w:t>
      </w:r>
      <w:r w:rsidR="009E2A3B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 xml:space="preserve"> </w:t>
      </w:r>
      <w:r w:rsidR="000656AB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>adhérer</w:t>
      </w:r>
      <w:r w:rsidR="00294145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 xml:space="preserve"> </w:t>
      </w:r>
      <w:r w:rsidR="00372E37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>au programme</w:t>
      </w:r>
      <w:r w:rsidR="00E5421E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 xml:space="preserve"> </w:t>
      </w:r>
      <w:r w:rsidR="00661744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>Plantes saines</w:t>
      </w:r>
      <w:r w:rsidR="00E5421E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 xml:space="preserve"> par l’intermédiaire </w:t>
      </w:r>
      <w:r w:rsidR="00661744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>d’un module de lutte antiparasitaire</w:t>
      </w:r>
      <w:r w:rsidR="00294145" w:rsidRPr="00803EB6">
        <w:rPr>
          <w:rFonts w:ascii="Arial" w:hAnsi="Arial" w:cs="Arial"/>
          <w:i/>
          <w:iCs/>
          <w:color w:val="000000"/>
          <w:sz w:val="22"/>
          <w:szCs w:val="22"/>
          <w:lang w:val="fr-CA"/>
        </w:rPr>
        <w:t xml:space="preserve"> </w:t>
      </w:r>
    </w:p>
    <w:p w14:paraId="4680504E" w14:textId="77777777" w:rsidR="00661744" w:rsidRPr="00803EB6" w:rsidRDefault="00661744">
      <w:pPr>
        <w:rPr>
          <w:lang w:val="fr-CA"/>
        </w:rPr>
      </w:pPr>
    </w:p>
    <w:p w14:paraId="4616C7D2" w14:textId="45B91E1E" w:rsidR="00C42836" w:rsidRPr="00803EB6" w:rsidRDefault="00294145">
      <w:pPr>
        <w:rPr>
          <w:rFonts w:ascii="Arial" w:hAnsi="Arial" w:cs="Arial"/>
          <w:color w:val="000000"/>
          <w:sz w:val="22"/>
          <w:szCs w:val="22"/>
          <w:lang w:val="fr-CA"/>
        </w:rPr>
      </w:pPr>
      <w:r w:rsidRPr="00803EB6">
        <w:rPr>
          <w:lang w:val="fr-CA"/>
        </w:rPr>
        <w:t>L</w:t>
      </w:r>
      <w:r w:rsidR="000656AB" w:rsidRPr="00803EB6">
        <w:rPr>
          <w:rFonts w:ascii="Arial" w:hAnsi="Arial" w:cs="Arial"/>
          <w:color w:val="000000"/>
          <w:sz w:val="22"/>
          <w:szCs w:val="22"/>
          <w:lang w:val="fr-CA"/>
        </w:rPr>
        <w:t>es installations souhaitant adhérer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372E37" w:rsidRPr="00803EB6">
        <w:rPr>
          <w:rFonts w:ascii="Arial" w:hAnsi="Arial" w:cs="Arial"/>
          <w:color w:val="000000"/>
          <w:sz w:val="22"/>
          <w:szCs w:val="22"/>
          <w:lang w:val="fr-CA"/>
        </w:rPr>
        <w:t>au programme</w:t>
      </w:r>
      <w:r w:rsidR="00F65154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</w:t>
      </w:r>
      <w:r w:rsidR="00661744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Plantes saines </w:t>
      </w:r>
      <w:r w:rsidR="00F65154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de manière progressive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par l’intermédiaire d’</w:t>
      </w:r>
      <w:r w:rsidR="00F65154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un module de lutte antiparasitaire visant un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ravageur </w:t>
      </w:r>
      <w:r w:rsidR="00F65154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en particulier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doivent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lastRenderedPageBreak/>
        <w:t>remplir l</w:t>
      </w:r>
      <w:r w:rsidR="00372E37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es sections A, B et C pour que leur demande soit complète.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Le</w:t>
      </w:r>
      <w:r w:rsidR="00F41207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 gabarit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de la section </w:t>
      </w:r>
      <w:r w:rsidR="00F41207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C est une annexe du module </w:t>
      </w:r>
      <w:r w:rsidR="00707685" w:rsidRPr="00803EB6">
        <w:rPr>
          <w:rFonts w:ascii="Arial" w:hAnsi="Arial" w:cs="Arial"/>
          <w:color w:val="000000"/>
          <w:sz w:val="22"/>
          <w:szCs w:val="22"/>
          <w:lang w:val="fr-CA"/>
        </w:rPr>
        <w:t>de lutte antiparasitaire</w:t>
      </w:r>
      <w:r w:rsidR="006724C5">
        <w:rPr>
          <w:rFonts w:ascii="Arial" w:hAnsi="Arial" w:cs="Arial"/>
          <w:color w:val="000000"/>
          <w:sz w:val="22"/>
          <w:szCs w:val="22"/>
          <w:lang w:val="fr-CA"/>
        </w:rPr>
        <w:t xml:space="preserve">. Un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document d’</w:t>
      </w:r>
      <w:r w:rsidR="00F41207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orientation </w:t>
      </w:r>
      <w:r w:rsidR="00372E37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conçu pour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aider </w:t>
      </w:r>
      <w:r w:rsidR="00F41207" w:rsidRPr="00803EB6">
        <w:rPr>
          <w:rFonts w:ascii="Arial" w:hAnsi="Arial" w:cs="Arial"/>
          <w:color w:val="000000"/>
          <w:sz w:val="22"/>
          <w:szCs w:val="22"/>
          <w:lang w:val="fr-CA"/>
        </w:rPr>
        <w:t xml:space="preserve">les installations à remplir ce gabarit figure </w:t>
      </w:r>
      <w:r w:rsidRPr="00803EB6">
        <w:rPr>
          <w:rFonts w:ascii="Arial" w:hAnsi="Arial" w:cs="Arial"/>
          <w:color w:val="000000"/>
          <w:sz w:val="22"/>
          <w:szCs w:val="22"/>
          <w:lang w:val="fr-CA"/>
        </w:rPr>
        <w:t>également dans les annexes.</w:t>
      </w:r>
    </w:p>
    <w:sectPr w:rsidR="00C42836" w:rsidRPr="00803EB6" w:rsidSect="00605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9DD5A" w14:textId="77777777" w:rsidR="0037698E" w:rsidRDefault="0037698E">
      <w:r>
        <w:separator/>
      </w:r>
    </w:p>
  </w:endnote>
  <w:endnote w:type="continuationSeparator" w:id="0">
    <w:p w14:paraId="03ABC982" w14:textId="77777777" w:rsidR="0037698E" w:rsidRDefault="00376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6655316"/>
      <w:docPartObj>
        <w:docPartGallery w:val="Page Numbers (Bottom of Page)"/>
        <w:docPartUnique/>
      </w:docPartObj>
    </w:sdtPr>
    <w:sdtContent>
      <w:p w14:paraId="7E0D5726" w14:textId="77777777" w:rsidR="00593EBA" w:rsidRDefault="0078216F" w:rsidP="00593E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D53F98" w14:textId="77777777" w:rsidR="00593EBA" w:rsidRDefault="00000000" w:rsidP="00E04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72410264"/>
      <w:docPartObj>
        <w:docPartGallery w:val="Page Numbers (Bottom of Page)"/>
        <w:docPartUnique/>
      </w:docPartObj>
    </w:sdtPr>
    <w:sdtContent>
      <w:p w14:paraId="3A6A7304" w14:textId="77777777" w:rsidR="00593EBA" w:rsidRDefault="0078216F" w:rsidP="00593E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724C5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20CB387F" w14:textId="77777777" w:rsidR="00593EBA" w:rsidRDefault="00000000" w:rsidP="00E04BF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34299" w14:textId="77777777" w:rsidR="00F41207" w:rsidRDefault="00F41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B049" w14:textId="77777777" w:rsidR="0037698E" w:rsidRDefault="0037698E">
      <w:r>
        <w:separator/>
      </w:r>
    </w:p>
  </w:footnote>
  <w:footnote w:type="continuationSeparator" w:id="0">
    <w:p w14:paraId="2B37589B" w14:textId="77777777" w:rsidR="0037698E" w:rsidRDefault="00376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D832D" w14:textId="77777777" w:rsidR="00F41207" w:rsidRDefault="00F412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CC79" w14:textId="63985BDC" w:rsidR="00C225D5" w:rsidRPr="009C24C5" w:rsidRDefault="0078216F">
    <w:pPr>
      <w:pStyle w:val="Header"/>
      <w:rPr>
        <w:rFonts w:ascii="Arial" w:hAnsi="Arial" w:cs="Arial"/>
        <w:sz w:val="18"/>
        <w:szCs w:val="18"/>
      </w:rPr>
    </w:pPr>
    <w:r w:rsidRPr="009C24C5">
      <w:rPr>
        <w:rFonts w:ascii="Arial" w:hAnsi="Arial" w:cs="Arial"/>
        <w:sz w:val="18"/>
        <w:szCs w:val="18"/>
      </w:rPr>
      <w:t>202</w:t>
    </w:r>
    <w:r w:rsidR="008C69E4" w:rsidRPr="009C24C5">
      <w:rPr>
        <w:rFonts w:ascii="Arial" w:hAnsi="Arial" w:cs="Arial"/>
        <w:sz w:val="18"/>
        <w:szCs w:val="18"/>
      </w:rPr>
      <w:t>3</w:t>
    </w:r>
    <w:r w:rsidRPr="009C24C5">
      <w:rPr>
        <w:rFonts w:ascii="Arial" w:hAnsi="Arial" w:cs="Arial"/>
        <w:sz w:val="18"/>
        <w:szCs w:val="18"/>
      </w:rPr>
      <w:t>-</w:t>
    </w:r>
    <w:r w:rsidR="00B321EE" w:rsidRPr="009C24C5">
      <w:rPr>
        <w:rFonts w:ascii="Arial" w:hAnsi="Arial" w:cs="Arial"/>
        <w:sz w:val="18"/>
        <w:szCs w:val="18"/>
      </w:rPr>
      <w:t>03</w:t>
    </w:r>
    <w:r w:rsidRPr="009C24C5">
      <w:rPr>
        <w:rFonts w:ascii="Arial" w:hAnsi="Arial" w:cs="Arial"/>
        <w:sz w:val="18"/>
        <w:szCs w:val="18"/>
      </w:rPr>
      <w:t>-</w:t>
    </w:r>
    <w:r w:rsidR="002C636A" w:rsidRPr="009C24C5">
      <w:rPr>
        <w:rFonts w:ascii="Arial" w:hAnsi="Arial" w:cs="Arial"/>
        <w:sz w:val="18"/>
        <w:szCs w:val="18"/>
      </w:rPr>
      <w:t>2</w:t>
    </w:r>
    <w:r w:rsidR="004252B8">
      <w:rPr>
        <w:rFonts w:ascii="Arial" w:hAnsi="Arial" w:cs="Arial"/>
        <w:sz w:val="18"/>
        <w:szCs w:val="18"/>
      </w:rPr>
      <w:t>9</w:t>
    </w:r>
    <w:r w:rsidRPr="009C24C5">
      <w:rPr>
        <w:rFonts w:ascii="Arial" w:hAnsi="Arial" w:cs="Arial"/>
        <w:sz w:val="18"/>
        <w:szCs w:val="18"/>
      </w:rPr>
      <w:tab/>
    </w:r>
    <w:r w:rsidRPr="009C24C5">
      <w:rPr>
        <w:rFonts w:ascii="Arial" w:hAnsi="Arial" w:cs="Arial"/>
        <w:sz w:val="18"/>
        <w:szCs w:val="18"/>
      </w:rPr>
      <w:tab/>
    </w:r>
    <w:r w:rsidR="00294145" w:rsidRPr="00F41207">
      <w:rPr>
        <w:rFonts w:ascii="Arial" w:hAnsi="Arial" w:cs="Arial"/>
        <w:sz w:val="18"/>
        <w:szCs w:val="18"/>
        <w:lang w:val="fr-CA"/>
      </w:rPr>
      <w:t>Annexe</w:t>
    </w:r>
    <w:r w:rsidR="00F41207">
      <w:rPr>
        <w:rFonts w:ascii="Arial" w:hAnsi="Arial" w:cs="Arial"/>
        <w:sz w:val="18"/>
        <w:szCs w:val="18"/>
        <w:lang w:val="fr-CA"/>
      </w:rPr>
      <w:t> </w:t>
    </w:r>
    <w:r w:rsidR="008F0F02" w:rsidRPr="00F41207">
      <w:rPr>
        <w:rFonts w:ascii="Arial" w:hAnsi="Arial" w:cs="Arial"/>
        <w:sz w:val="18"/>
        <w:szCs w:val="18"/>
        <w:lang w:val="fr-CA"/>
      </w:rPr>
      <w:t>2</w:t>
    </w:r>
    <w:r w:rsidR="00F41207" w:rsidRPr="00F41207">
      <w:rPr>
        <w:rFonts w:ascii="Arial" w:hAnsi="Arial" w:cs="Arial"/>
        <w:sz w:val="18"/>
        <w:szCs w:val="18"/>
        <w:lang w:val="fr-CA"/>
      </w:rPr>
      <w:t xml:space="preserve"> (pyrale du buis)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5A90" w14:textId="77777777" w:rsidR="00F41207" w:rsidRDefault="00F41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0217D"/>
    <w:multiLevelType w:val="hybridMultilevel"/>
    <w:tmpl w:val="F5041D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D20CC1"/>
    <w:multiLevelType w:val="hybridMultilevel"/>
    <w:tmpl w:val="D3C00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255B1"/>
    <w:multiLevelType w:val="hybridMultilevel"/>
    <w:tmpl w:val="3CE80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142109">
    <w:abstractNumId w:val="1"/>
  </w:num>
  <w:num w:numId="2" w16cid:durableId="632836175">
    <w:abstractNumId w:val="0"/>
  </w:num>
  <w:num w:numId="3" w16cid:durableId="165841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B5"/>
    <w:rsid w:val="00015DCF"/>
    <w:rsid w:val="00036A5F"/>
    <w:rsid w:val="00053EE4"/>
    <w:rsid w:val="0006483B"/>
    <w:rsid w:val="000656AB"/>
    <w:rsid w:val="00067BF2"/>
    <w:rsid w:val="00071729"/>
    <w:rsid w:val="00073930"/>
    <w:rsid w:val="0009427D"/>
    <w:rsid w:val="000D209F"/>
    <w:rsid w:val="001022F7"/>
    <w:rsid w:val="00106037"/>
    <w:rsid w:val="0011033B"/>
    <w:rsid w:val="0012467E"/>
    <w:rsid w:val="00144A41"/>
    <w:rsid w:val="001527D2"/>
    <w:rsid w:val="001769FF"/>
    <w:rsid w:val="001931D8"/>
    <w:rsid w:val="0019615C"/>
    <w:rsid w:val="001A3AD4"/>
    <w:rsid w:val="001A688A"/>
    <w:rsid w:val="001C30A7"/>
    <w:rsid w:val="002050DA"/>
    <w:rsid w:val="00224A85"/>
    <w:rsid w:val="0023307E"/>
    <w:rsid w:val="002413D9"/>
    <w:rsid w:val="00252305"/>
    <w:rsid w:val="00252832"/>
    <w:rsid w:val="00256F21"/>
    <w:rsid w:val="00261FD3"/>
    <w:rsid w:val="00275BE3"/>
    <w:rsid w:val="00280D07"/>
    <w:rsid w:val="002873B6"/>
    <w:rsid w:val="00294145"/>
    <w:rsid w:val="002C636A"/>
    <w:rsid w:val="002D13CB"/>
    <w:rsid w:val="002E1309"/>
    <w:rsid w:val="002E277B"/>
    <w:rsid w:val="002E76D1"/>
    <w:rsid w:val="00302BBC"/>
    <w:rsid w:val="00331413"/>
    <w:rsid w:val="00333413"/>
    <w:rsid w:val="003622C5"/>
    <w:rsid w:val="00364183"/>
    <w:rsid w:val="00372E37"/>
    <w:rsid w:val="00376472"/>
    <w:rsid w:val="003766B6"/>
    <w:rsid w:val="0037698E"/>
    <w:rsid w:val="003778D0"/>
    <w:rsid w:val="00380859"/>
    <w:rsid w:val="003C29A1"/>
    <w:rsid w:val="003F1FD6"/>
    <w:rsid w:val="003F246A"/>
    <w:rsid w:val="003F5AE3"/>
    <w:rsid w:val="004252B8"/>
    <w:rsid w:val="00430949"/>
    <w:rsid w:val="00434AD9"/>
    <w:rsid w:val="0044527F"/>
    <w:rsid w:val="004643D3"/>
    <w:rsid w:val="00473871"/>
    <w:rsid w:val="00492FD5"/>
    <w:rsid w:val="004C1810"/>
    <w:rsid w:val="004C6C65"/>
    <w:rsid w:val="004D292D"/>
    <w:rsid w:val="004E293F"/>
    <w:rsid w:val="004E7591"/>
    <w:rsid w:val="00514CF1"/>
    <w:rsid w:val="00516C3C"/>
    <w:rsid w:val="00523850"/>
    <w:rsid w:val="00544203"/>
    <w:rsid w:val="00551B5B"/>
    <w:rsid w:val="00561FA9"/>
    <w:rsid w:val="005849DC"/>
    <w:rsid w:val="005C24C2"/>
    <w:rsid w:val="005C31EF"/>
    <w:rsid w:val="005E2DE6"/>
    <w:rsid w:val="005E5DEF"/>
    <w:rsid w:val="0060526E"/>
    <w:rsid w:val="00606638"/>
    <w:rsid w:val="00613CA9"/>
    <w:rsid w:val="00614B17"/>
    <w:rsid w:val="00623BC1"/>
    <w:rsid w:val="0065056F"/>
    <w:rsid w:val="00660EC3"/>
    <w:rsid w:val="00661744"/>
    <w:rsid w:val="00664E7C"/>
    <w:rsid w:val="006724C5"/>
    <w:rsid w:val="0067274E"/>
    <w:rsid w:val="00681722"/>
    <w:rsid w:val="00681C5C"/>
    <w:rsid w:val="0069310D"/>
    <w:rsid w:val="00696398"/>
    <w:rsid w:val="006A2B3B"/>
    <w:rsid w:val="006A2ED3"/>
    <w:rsid w:val="006C61E3"/>
    <w:rsid w:val="006E528D"/>
    <w:rsid w:val="006F074E"/>
    <w:rsid w:val="00707685"/>
    <w:rsid w:val="00711345"/>
    <w:rsid w:val="00735E12"/>
    <w:rsid w:val="00741585"/>
    <w:rsid w:val="00755273"/>
    <w:rsid w:val="0078216F"/>
    <w:rsid w:val="007B1E58"/>
    <w:rsid w:val="007B556E"/>
    <w:rsid w:val="007C036E"/>
    <w:rsid w:val="007E367C"/>
    <w:rsid w:val="007F07E1"/>
    <w:rsid w:val="00803EB6"/>
    <w:rsid w:val="00806F73"/>
    <w:rsid w:val="008225B6"/>
    <w:rsid w:val="0083017A"/>
    <w:rsid w:val="00833DE0"/>
    <w:rsid w:val="00863A6D"/>
    <w:rsid w:val="00892CB5"/>
    <w:rsid w:val="0089383C"/>
    <w:rsid w:val="008A507C"/>
    <w:rsid w:val="008C69E4"/>
    <w:rsid w:val="008C7D09"/>
    <w:rsid w:val="008D3DA1"/>
    <w:rsid w:val="008F0F02"/>
    <w:rsid w:val="008F6088"/>
    <w:rsid w:val="0090579C"/>
    <w:rsid w:val="0098022C"/>
    <w:rsid w:val="00986405"/>
    <w:rsid w:val="00991F35"/>
    <w:rsid w:val="00994356"/>
    <w:rsid w:val="009C24C5"/>
    <w:rsid w:val="009E2A3B"/>
    <w:rsid w:val="00A24F5D"/>
    <w:rsid w:val="00A86996"/>
    <w:rsid w:val="00A9706E"/>
    <w:rsid w:val="00AA242A"/>
    <w:rsid w:val="00AB5F8B"/>
    <w:rsid w:val="00AD4DE8"/>
    <w:rsid w:val="00AF3120"/>
    <w:rsid w:val="00AF508C"/>
    <w:rsid w:val="00B31BD1"/>
    <w:rsid w:val="00B31F4D"/>
    <w:rsid w:val="00B321EE"/>
    <w:rsid w:val="00B742C0"/>
    <w:rsid w:val="00B90B82"/>
    <w:rsid w:val="00B9173C"/>
    <w:rsid w:val="00B945DB"/>
    <w:rsid w:val="00B95CB7"/>
    <w:rsid w:val="00BC3BD2"/>
    <w:rsid w:val="00BD04EF"/>
    <w:rsid w:val="00C1008C"/>
    <w:rsid w:val="00C16C22"/>
    <w:rsid w:val="00C16F1F"/>
    <w:rsid w:val="00C32E57"/>
    <w:rsid w:val="00C42836"/>
    <w:rsid w:val="00C44634"/>
    <w:rsid w:val="00C4579D"/>
    <w:rsid w:val="00C523C5"/>
    <w:rsid w:val="00C61A8A"/>
    <w:rsid w:val="00C636A0"/>
    <w:rsid w:val="00C72963"/>
    <w:rsid w:val="00C742A8"/>
    <w:rsid w:val="00CA5172"/>
    <w:rsid w:val="00CC696E"/>
    <w:rsid w:val="00CD3144"/>
    <w:rsid w:val="00CF6FDB"/>
    <w:rsid w:val="00D02FA8"/>
    <w:rsid w:val="00D13C3A"/>
    <w:rsid w:val="00D3219D"/>
    <w:rsid w:val="00D37AFD"/>
    <w:rsid w:val="00D42484"/>
    <w:rsid w:val="00D43B47"/>
    <w:rsid w:val="00D71B21"/>
    <w:rsid w:val="00D9398D"/>
    <w:rsid w:val="00DF4372"/>
    <w:rsid w:val="00E10F5B"/>
    <w:rsid w:val="00E41D1C"/>
    <w:rsid w:val="00E5421E"/>
    <w:rsid w:val="00E63EE2"/>
    <w:rsid w:val="00E80F32"/>
    <w:rsid w:val="00E92711"/>
    <w:rsid w:val="00EA244E"/>
    <w:rsid w:val="00EB1E41"/>
    <w:rsid w:val="00ED5267"/>
    <w:rsid w:val="00EF4694"/>
    <w:rsid w:val="00F04CFE"/>
    <w:rsid w:val="00F20D84"/>
    <w:rsid w:val="00F275C6"/>
    <w:rsid w:val="00F41207"/>
    <w:rsid w:val="00F53E9A"/>
    <w:rsid w:val="00F60E81"/>
    <w:rsid w:val="00F63308"/>
    <w:rsid w:val="00F65154"/>
    <w:rsid w:val="00F6741B"/>
    <w:rsid w:val="00F9030B"/>
    <w:rsid w:val="00FA2DD3"/>
    <w:rsid w:val="00FD44BE"/>
    <w:rsid w:val="00FD5A06"/>
    <w:rsid w:val="00FD66A4"/>
    <w:rsid w:val="00FE6BB2"/>
    <w:rsid w:val="00FF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A5D1E"/>
  <w15:chartTrackingRefBased/>
  <w15:docId w15:val="{C7B04ECC-7172-B349-A4F8-7A54F0F9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CB5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CB5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92C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CB5"/>
    <w:rPr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892CB5"/>
  </w:style>
  <w:style w:type="table" w:styleId="TableGrid">
    <w:name w:val="Table Grid"/>
    <w:basedOn w:val="TableNormal"/>
    <w:uiPriority w:val="39"/>
    <w:rsid w:val="00D42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472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472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0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09F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0D209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DAAA-03B4-43DB-98A1-76B543B7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2438</Words>
  <Characters>13901</Characters>
  <Application>Microsoft Office Word</Application>
  <DocSecurity>0</DocSecurity>
  <Lines>115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West</dc:creator>
  <cp:keywords/>
  <dc:description/>
  <cp:lastModifiedBy>Jamie Aalbers</cp:lastModifiedBy>
  <cp:revision>2</cp:revision>
  <cp:lastPrinted>2023-03-27T17:33:00Z</cp:lastPrinted>
  <dcterms:created xsi:type="dcterms:W3CDTF">2023-05-31T17:55:00Z</dcterms:created>
  <dcterms:modified xsi:type="dcterms:W3CDTF">2023-05-31T17:55:00Z</dcterms:modified>
</cp:coreProperties>
</file>