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BB" w:rsidRDefault="00126CBB" w:rsidP="00126CBB">
      <w:pPr>
        <w:jc w:val="center"/>
        <w:rPr>
          <w:rFonts w:ascii="Arial" w:hAnsi="Arial" w:cs="Arial"/>
          <w:b/>
          <w:u w:val="single"/>
        </w:rPr>
      </w:pPr>
      <w:r w:rsidRPr="00112F6C">
        <w:rPr>
          <w:rFonts w:ascii="Arial" w:hAnsi="Arial" w:cs="Arial"/>
          <w:b/>
          <w:u w:val="single"/>
        </w:rPr>
        <w:t>Criteria for diverting specialist trauma to Major Trauma Centres</w:t>
      </w:r>
    </w:p>
    <w:p w:rsidR="003E6FBE" w:rsidRPr="00112F6C" w:rsidRDefault="003E6FBE" w:rsidP="00126CBB">
      <w:pPr>
        <w:jc w:val="center"/>
        <w:rPr>
          <w:rFonts w:ascii="Arial" w:hAnsi="Arial" w:cs="Arial"/>
          <w:b/>
          <w:u w:val="single"/>
        </w:rPr>
      </w:pPr>
    </w:p>
    <w:p w:rsidR="00126CBB" w:rsidRPr="00112F6C" w:rsidRDefault="00126CBB" w:rsidP="00126CBB">
      <w:pPr>
        <w:jc w:val="center"/>
        <w:rPr>
          <w:rFonts w:ascii="Arial" w:hAnsi="Arial" w:cs="Arial"/>
          <w:b/>
        </w:rPr>
      </w:pPr>
    </w:p>
    <w:p w:rsidR="00126CBB" w:rsidRDefault="00126CBB" w:rsidP="00EF62EA">
      <w:pPr>
        <w:ind w:hanging="11"/>
        <w:rPr>
          <w:rFonts w:ascii="Arial" w:hAnsi="Arial" w:cs="Arial"/>
          <w:sz w:val="22"/>
          <w:szCs w:val="22"/>
        </w:rPr>
      </w:pPr>
      <w:r w:rsidRPr="003E6FBE">
        <w:rPr>
          <w:rFonts w:ascii="Arial" w:hAnsi="Arial" w:cs="Arial"/>
          <w:sz w:val="22"/>
          <w:szCs w:val="22"/>
        </w:rPr>
        <w:t xml:space="preserve">The types of trauma cases listed below are considered specialist trauma and will benefit from direct admission to a Major Trauma Centre </w:t>
      </w:r>
      <w:r w:rsidR="000C0E63">
        <w:rPr>
          <w:rFonts w:ascii="Arial" w:hAnsi="Arial" w:cs="Arial"/>
          <w:sz w:val="22"/>
          <w:szCs w:val="22"/>
        </w:rPr>
        <w:t xml:space="preserve">(MTC) </w:t>
      </w:r>
      <w:r w:rsidR="00EF62EA" w:rsidRPr="003E6FBE">
        <w:rPr>
          <w:rFonts w:ascii="Arial" w:hAnsi="Arial" w:cs="Arial"/>
          <w:sz w:val="22"/>
          <w:szCs w:val="22"/>
        </w:rPr>
        <w:t>even though</w:t>
      </w:r>
      <w:r w:rsidRPr="003E6FBE">
        <w:rPr>
          <w:rFonts w:ascii="Arial" w:hAnsi="Arial" w:cs="Arial"/>
          <w:sz w:val="22"/>
          <w:szCs w:val="22"/>
        </w:rPr>
        <w:t xml:space="preserve"> they do not trigger the major trauma triage tool.</w:t>
      </w:r>
    </w:p>
    <w:p w:rsidR="00EF62EA" w:rsidRPr="003E6FBE" w:rsidRDefault="00EF62EA" w:rsidP="00126CBB">
      <w:pPr>
        <w:ind w:hanging="11"/>
        <w:jc w:val="center"/>
        <w:rPr>
          <w:rFonts w:ascii="Arial" w:hAnsi="Arial" w:cs="Arial"/>
          <w:sz w:val="22"/>
          <w:szCs w:val="22"/>
        </w:rPr>
      </w:pPr>
    </w:p>
    <w:p w:rsidR="00126CBB" w:rsidRPr="003E6FBE" w:rsidRDefault="00126CBB" w:rsidP="00EF62EA">
      <w:pPr>
        <w:ind w:hanging="1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6FBE">
        <w:rPr>
          <w:rFonts w:ascii="Arial" w:hAnsi="Arial" w:cs="Arial"/>
          <w:sz w:val="22"/>
          <w:szCs w:val="22"/>
        </w:rPr>
        <w:t>This applies to Birmingham Children’s Hospital, Queen Elizabeth Hospital Birmingham, Royal Stoke University Hospital and the University Hospital Coventry and Warwickshire Major Trauma Centres.</w:t>
      </w:r>
    </w:p>
    <w:p w:rsidR="00126CBB" w:rsidRPr="003E6FBE" w:rsidRDefault="00126CBB" w:rsidP="00126CBB">
      <w:pPr>
        <w:ind w:hanging="11"/>
        <w:rPr>
          <w:rFonts w:ascii="Arial" w:hAnsi="Arial" w:cs="Arial"/>
          <w:b/>
          <w:sz w:val="22"/>
          <w:szCs w:val="22"/>
          <w:u w:val="single"/>
        </w:rPr>
      </w:pPr>
    </w:p>
    <w:p w:rsidR="00126CBB" w:rsidRDefault="00126CBB" w:rsidP="00126CBB">
      <w:pPr>
        <w:ind w:hanging="11"/>
        <w:rPr>
          <w:rFonts w:ascii="Arial" w:hAnsi="Arial" w:cs="Arial"/>
          <w:b/>
          <w:sz w:val="22"/>
          <w:szCs w:val="22"/>
          <w:u w:val="single"/>
        </w:rPr>
      </w:pPr>
      <w:r w:rsidRPr="003E6FBE">
        <w:rPr>
          <w:rFonts w:ascii="Arial" w:hAnsi="Arial" w:cs="Arial"/>
          <w:b/>
          <w:sz w:val="22"/>
          <w:szCs w:val="22"/>
          <w:u w:val="single"/>
        </w:rPr>
        <w:t>Musculoskeletal trauma</w:t>
      </w:r>
    </w:p>
    <w:p w:rsidR="003E6FBE" w:rsidRDefault="003E6FBE" w:rsidP="00126CBB">
      <w:pPr>
        <w:ind w:hanging="11"/>
        <w:rPr>
          <w:rFonts w:ascii="Arial" w:hAnsi="Arial" w:cs="Arial"/>
          <w:b/>
          <w:sz w:val="22"/>
          <w:szCs w:val="22"/>
          <w:u w:val="single"/>
        </w:rPr>
      </w:pPr>
    </w:p>
    <w:p w:rsidR="00D64A4C" w:rsidRDefault="003E6FBE" w:rsidP="00126CBB">
      <w:pPr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Transfer </w:t>
      </w:r>
      <w:r w:rsidR="00152E34">
        <w:rPr>
          <w:rFonts w:ascii="Arial" w:hAnsi="Arial" w:cs="Arial"/>
          <w:sz w:val="22"/>
          <w:szCs w:val="22"/>
        </w:rPr>
        <w:t xml:space="preserve">the following </w:t>
      </w:r>
      <w:r w:rsidR="00960A35">
        <w:rPr>
          <w:rFonts w:ascii="Arial" w:hAnsi="Arial" w:cs="Arial"/>
          <w:sz w:val="22"/>
          <w:szCs w:val="22"/>
        </w:rPr>
        <w:t xml:space="preserve">major </w:t>
      </w:r>
      <w:r>
        <w:rPr>
          <w:rFonts w:ascii="Arial" w:hAnsi="Arial" w:cs="Arial"/>
          <w:sz w:val="22"/>
          <w:szCs w:val="22"/>
        </w:rPr>
        <w:t xml:space="preserve">long bone </w:t>
      </w:r>
      <w:r w:rsidR="00152E34">
        <w:rPr>
          <w:rFonts w:ascii="Arial" w:hAnsi="Arial" w:cs="Arial"/>
          <w:sz w:val="22"/>
          <w:szCs w:val="22"/>
        </w:rPr>
        <w:t xml:space="preserve">injuries </w:t>
      </w:r>
      <w:r>
        <w:rPr>
          <w:rFonts w:ascii="Arial" w:hAnsi="Arial" w:cs="Arial"/>
          <w:sz w:val="22"/>
          <w:szCs w:val="22"/>
        </w:rPr>
        <w:t>(in this context f</w:t>
      </w:r>
      <w:r w:rsidRPr="003E6FBE">
        <w:rPr>
          <w:rFonts w:ascii="Arial" w:hAnsi="Arial" w:cs="Arial"/>
          <w:sz w:val="22"/>
          <w:szCs w:val="22"/>
        </w:rPr>
        <w:t>emur, tibia and humerus</w:t>
      </w:r>
      <w:r>
        <w:rPr>
          <w:rFonts w:ascii="Arial" w:hAnsi="Arial" w:cs="Arial"/>
          <w:sz w:val="22"/>
          <w:szCs w:val="22"/>
        </w:rPr>
        <w:t xml:space="preserve">) </w:t>
      </w:r>
      <w:r w:rsidR="00960A35">
        <w:rPr>
          <w:rFonts w:ascii="Arial" w:hAnsi="Arial" w:cs="Arial"/>
          <w:sz w:val="22"/>
          <w:szCs w:val="22"/>
        </w:rPr>
        <w:t xml:space="preserve">or open fractures of the </w:t>
      </w:r>
      <w:r>
        <w:rPr>
          <w:rFonts w:ascii="Arial" w:hAnsi="Arial" w:cs="Arial"/>
          <w:sz w:val="22"/>
          <w:szCs w:val="22"/>
        </w:rPr>
        <w:t xml:space="preserve">hindfoot or midfoot </w:t>
      </w:r>
      <w:r w:rsidR="00960A3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irectly to a major trauma centre for orthoplastic care</w:t>
      </w:r>
      <w:r w:rsidR="00EF62EA">
        <w:rPr>
          <w:rFonts w:ascii="Arial" w:hAnsi="Arial" w:cs="Arial"/>
          <w:sz w:val="22"/>
          <w:szCs w:val="22"/>
        </w:rPr>
        <w:t>.</w:t>
      </w:r>
      <w:r w:rsidR="00D64A4C">
        <w:rPr>
          <w:rFonts w:ascii="Arial" w:hAnsi="Arial" w:cs="Arial"/>
          <w:sz w:val="22"/>
          <w:szCs w:val="22"/>
        </w:rPr>
        <w:t xml:space="preserve"> </w:t>
      </w:r>
    </w:p>
    <w:p w:rsidR="00EF62EA" w:rsidRDefault="00EF62EA" w:rsidP="00126CBB">
      <w:pPr>
        <w:ind w:hanging="11"/>
        <w:rPr>
          <w:rFonts w:ascii="Arial" w:hAnsi="Arial" w:cs="Arial"/>
          <w:sz w:val="22"/>
          <w:szCs w:val="22"/>
        </w:rPr>
      </w:pPr>
    </w:p>
    <w:p w:rsidR="00126CBB" w:rsidRPr="003E6FBE" w:rsidRDefault="00126CBB" w:rsidP="006F73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E6FBE">
        <w:rPr>
          <w:rFonts w:ascii="Arial" w:hAnsi="Arial" w:cs="Arial"/>
        </w:rPr>
        <w:t>Fractures or dislocations with bone protruding out of skin.</w:t>
      </w:r>
    </w:p>
    <w:p w:rsidR="00126CBB" w:rsidRPr="003E6FBE" w:rsidRDefault="00126CBB" w:rsidP="00126CBB">
      <w:pPr>
        <w:pStyle w:val="ListParagraph"/>
        <w:ind w:left="426" w:hanging="11"/>
        <w:rPr>
          <w:rFonts w:ascii="Arial" w:hAnsi="Arial" w:cs="Arial"/>
        </w:rPr>
      </w:pPr>
    </w:p>
    <w:p w:rsidR="00126CBB" w:rsidRPr="003E6FBE" w:rsidRDefault="00126CBB" w:rsidP="006F73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E6FBE">
        <w:rPr>
          <w:rFonts w:ascii="Arial" w:hAnsi="Arial" w:cs="Arial"/>
        </w:rPr>
        <w:t>Fractures with loss of skin greater than the size of a credit card.</w:t>
      </w:r>
    </w:p>
    <w:p w:rsidR="00126CBB" w:rsidRPr="003E6FBE" w:rsidRDefault="00126CBB" w:rsidP="00126CBB">
      <w:pPr>
        <w:pStyle w:val="ListParagraph"/>
        <w:ind w:left="426" w:hanging="11"/>
        <w:rPr>
          <w:rFonts w:ascii="Arial" w:hAnsi="Arial" w:cs="Arial"/>
        </w:rPr>
      </w:pPr>
    </w:p>
    <w:p w:rsidR="00126CBB" w:rsidRPr="003E6FBE" w:rsidRDefault="00126CBB" w:rsidP="006F73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E6FBE">
        <w:rPr>
          <w:rFonts w:ascii="Arial" w:hAnsi="Arial" w:cs="Arial"/>
        </w:rPr>
        <w:t>Absence of pulses or compromise in capillary refill distal to a suspected fracture that does not rapidly recover once the limb is reduced into anatomical alignment.</w:t>
      </w:r>
    </w:p>
    <w:p w:rsidR="00126CBB" w:rsidRPr="003E6FBE" w:rsidRDefault="00126CBB" w:rsidP="00126CBB">
      <w:pPr>
        <w:pStyle w:val="ListParagraph"/>
        <w:ind w:left="426" w:hanging="11"/>
        <w:rPr>
          <w:rFonts w:ascii="Arial" w:hAnsi="Arial" w:cs="Arial"/>
        </w:rPr>
      </w:pPr>
    </w:p>
    <w:p w:rsidR="00126CBB" w:rsidRPr="006F736C" w:rsidRDefault="00126CBB" w:rsidP="006F736C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3E6FBE">
        <w:rPr>
          <w:rFonts w:ascii="Arial" w:hAnsi="Arial" w:cs="Arial"/>
        </w:rPr>
        <w:t>Severe soft tissue damage to limbs with or without fractures.</w:t>
      </w:r>
    </w:p>
    <w:p w:rsidR="006F736C" w:rsidRPr="006F736C" w:rsidRDefault="006F736C" w:rsidP="006F736C">
      <w:pPr>
        <w:pStyle w:val="ListParagraph"/>
        <w:rPr>
          <w:rFonts w:ascii="Arial" w:hAnsi="Arial" w:cs="Arial"/>
          <w:b/>
          <w:u w:val="single"/>
        </w:rPr>
      </w:pPr>
    </w:p>
    <w:p w:rsidR="006F736C" w:rsidRDefault="006F736C" w:rsidP="006F736C">
      <w:pPr>
        <w:ind w:left="360"/>
        <w:rPr>
          <w:rFonts w:ascii="Arial" w:hAnsi="Arial" w:cs="Arial"/>
          <w:sz w:val="22"/>
          <w:szCs w:val="22"/>
        </w:rPr>
      </w:pPr>
      <w:r w:rsidRPr="006F736C">
        <w:rPr>
          <w:rFonts w:ascii="Arial" w:hAnsi="Arial" w:cs="Arial"/>
          <w:sz w:val="22"/>
          <w:szCs w:val="22"/>
        </w:rPr>
        <w:t>Do not irrigate open fractures of the l</w:t>
      </w:r>
      <w:r>
        <w:rPr>
          <w:rFonts w:ascii="Arial" w:hAnsi="Arial" w:cs="Arial"/>
          <w:sz w:val="22"/>
          <w:szCs w:val="22"/>
        </w:rPr>
        <w:t>ong bones, hindfoot or midfoot as it may force contamination deeper into the bone or tissue.</w:t>
      </w:r>
    </w:p>
    <w:p w:rsidR="006F736C" w:rsidRDefault="006F736C" w:rsidP="006F736C">
      <w:pPr>
        <w:ind w:left="360"/>
        <w:rPr>
          <w:rFonts w:ascii="Arial" w:hAnsi="Arial" w:cs="Arial"/>
          <w:sz w:val="22"/>
          <w:szCs w:val="22"/>
        </w:rPr>
      </w:pPr>
    </w:p>
    <w:p w:rsidR="006F736C" w:rsidRPr="006F736C" w:rsidRDefault="006F736C" w:rsidP="006F736C">
      <w:pPr>
        <w:ind w:left="360"/>
        <w:rPr>
          <w:rFonts w:ascii="Arial" w:hAnsi="Arial" w:cs="Arial"/>
          <w:sz w:val="22"/>
          <w:szCs w:val="22"/>
        </w:rPr>
      </w:pPr>
      <w:r w:rsidRPr="006F736C">
        <w:rPr>
          <w:rFonts w:ascii="Arial" w:hAnsi="Arial" w:cs="Arial"/>
          <w:sz w:val="22"/>
          <w:szCs w:val="22"/>
        </w:rPr>
        <w:t xml:space="preserve">Gross contamination </w:t>
      </w:r>
      <w:r w:rsidRPr="006F736C">
        <w:rPr>
          <w:rFonts w:ascii="Arial" w:hAnsi="Arial" w:cs="Arial"/>
          <w:iCs/>
          <w:sz w:val="22"/>
          <w:szCs w:val="22"/>
        </w:rPr>
        <w:t>may</w:t>
      </w:r>
      <w:r w:rsidRPr="006F736C">
        <w:rPr>
          <w:rFonts w:ascii="Arial" w:hAnsi="Arial" w:cs="Arial"/>
          <w:i/>
          <w:iCs/>
          <w:sz w:val="22"/>
          <w:szCs w:val="22"/>
        </w:rPr>
        <w:t xml:space="preserve"> </w:t>
      </w:r>
      <w:r w:rsidRPr="006F736C">
        <w:rPr>
          <w:rFonts w:ascii="Arial" w:hAnsi="Arial" w:cs="Arial"/>
          <w:sz w:val="22"/>
          <w:szCs w:val="22"/>
        </w:rPr>
        <w:t xml:space="preserve">be removed from the wound using gloved fingers. E.g. removing lumps of mud, or plant material. </w:t>
      </w:r>
      <w:r>
        <w:rPr>
          <w:rFonts w:ascii="Arial" w:hAnsi="Arial" w:cs="Arial"/>
          <w:sz w:val="22"/>
          <w:szCs w:val="22"/>
        </w:rPr>
        <w:t>Document the nature of the contamination, as contaminates may be drawn inside following realignment.</w:t>
      </w:r>
    </w:p>
    <w:p w:rsidR="006F736C" w:rsidRPr="006F736C" w:rsidRDefault="006F736C" w:rsidP="006F736C">
      <w:pPr>
        <w:rPr>
          <w:rFonts w:ascii="Arial" w:hAnsi="Arial" w:cs="Arial"/>
          <w:sz w:val="22"/>
          <w:szCs w:val="22"/>
        </w:rPr>
      </w:pPr>
    </w:p>
    <w:p w:rsidR="006F736C" w:rsidRDefault="006F736C" w:rsidP="006F736C">
      <w:pPr>
        <w:ind w:left="360"/>
        <w:rPr>
          <w:rFonts w:ascii="Arial" w:hAnsi="Arial" w:cs="Arial"/>
          <w:sz w:val="22"/>
          <w:szCs w:val="22"/>
        </w:rPr>
      </w:pPr>
      <w:r w:rsidRPr="006F736C">
        <w:rPr>
          <w:rFonts w:ascii="Arial" w:hAnsi="Arial" w:cs="Arial"/>
          <w:sz w:val="22"/>
          <w:szCs w:val="22"/>
        </w:rPr>
        <w:t xml:space="preserve">Use a saline soaked-soaked dressing covered with an occlusive layer for open fractures. </w:t>
      </w:r>
    </w:p>
    <w:p w:rsidR="00774C63" w:rsidRDefault="00774C63" w:rsidP="006F736C">
      <w:pPr>
        <w:ind w:left="360"/>
        <w:rPr>
          <w:rFonts w:ascii="Arial" w:hAnsi="Arial" w:cs="Arial"/>
          <w:sz w:val="22"/>
          <w:szCs w:val="22"/>
        </w:rPr>
      </w:pPr>
    </w:p>
    <w:p w:rsidR="00774C63" w:rsidRPr="00774C63" w:rsidRDefault="00774C63" w:rsidP="006F736C">
      <w:pPr>
        <w:ind w:left="360"/>
        <w:rPr>
          <w:rFonts w:ascii="Arial" w:hAnsi="Arial" w:cs="Arial"/>
          <w:b/>
          <w:sz w:val="22"/>
          <w:szCs w:val="22"/>
        </w:rPr>
      </w:pPr>
      <w:r w:rsidRPr="00774C63">
        <w:rPr>
          <w:rFonts w:ascii="Arial" w:hAnsi="Arial" w:cs="Arial"/>
          <w:b/>
          <w:sz w:val="22"/>
          <w:szCs w:val="22"/>
        </w:rPr>
        <w:t>Take a photo of the wound using the EPR tablet prior to dressing.</w:t>
      </w:r>
    </w:p>
    <w:p w:rsidR="006F736C" w:rsidRPr="006F736C" w:rsidRDefault="006F736C" w:rsidP="006F736C">
      <w:pPr>
        <w:rPr>
          <w:rFonts w:ascii="Arial" w:hAnsi="Arial" w:cs="Arial"/>
          <w:b/>
          <w:u w:val="single"/>
        </w:rPr>
      </w:pPr>
    </w:p>
    <w:p w:rsidR="00970F1C" w:rsidRPr="003E6FBE" w:rsidRDefault="00970F1C" w:rsidP="00970F1C">
      <w:pPr>
        <w:ind w:hanging="1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Transfer suspected open fractures of the hand, wrist or toes to nearest </w:t>
      </w:r>
      <w:r w:rsidR="000C0E6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rauma </w:t>
      </w:r>
      <w:r w:rsidR="000C0E6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nit </w:t>
      </w:r>
      <w:r w:rsidR="000C0E63">
        <w:rPr>
          <w:rFonts w:ascii="Arial" w:hAnsi="Arial" w:cs="Arial"/>
          <w:sz w:val="22"/>
          <w:szCs w:val="22"/>
        </w:rPr>
        <w:t xml:space="preserve">(TU) </w:t>
      </w:r>
      <w:r>
        <w:rPr>
          <w:rFonts w:ascii="Arial" w:hAnsi="Arial" w:cs="Arial"/>
          <w:sz w:val="22"/>
          <w:szCs w:val="22"/>
        </w:rPr>
        <w:t>unless there are pre-hospital triage indications for direct transport to a major trauma centre.</w:t>
      </w:r>
    </w:p>
    <w:p w:rsidR="00970F1C" w:rsidRPr="00970F1C" w:rsidRDefault="00970F1C" w:rsidP="00970F1C">
      <w:pPr>
        <w:rPr>
          <w:rFonts w:ascii="Arial" w:hAnsi="Arial" w:cs="Arial"/>
          <w:b/>
          <w:u w:val="single"/>
        </w:rPr>
      </w:pPr>
    </w:p>
    <w:p w:rsidR="00126CBB" w:rsidRPr="003E6FBE" w:rsidRDefault="00126CBB" w:rsidP="00126CBB">
      <w:pPr>
        <w:rPr>
          <w:rFonts w:ascii="Arial" w:hAnsi="Arial" w:cs="Arial"/>
          <w:b/>
          <w:sz w:val="22"/>
          <w:szCs w:val="22"/>
          <w:u w:val="single"/>
        </w:rPr>
      </w:pPr>
      <w:r w:rsidRPr="003E6FBE">
        <w:rPr>
          <w:rFonts w:ascii="Arial" w:hAnsi="Arial" w:cs="Arial"/>
          <w:b/>
          <w:sz w:val="22"/>
          <w:szCs w:val="22"/>
          <w:u w:val="single"/>
        </w:rPr>
        <w:t xml:space="preserve">Hand Trauma </w:t>
      </w:r>
    </w:p>
    <w:p w:rsidR="00126CBB" w:rsidRPr="003E6FBE" w:rsidRDefault="00126CBB" w:rsidP="00126CBB">
      <w:pPr>
        <w:rPr>
          <w:rFonts w:ascii="Arial" w:hAnsi="Arial" w:cs="Arial"/>
          <w:sz w:val="22"/>
          <w:szCs w:val="22"/>
        </w:rPr>
      </w:pPr>
    </w:p>
    <w:p w:rsidR="00126CBB" w:rsidRPr="003E6FBE" w:rsidRDefault="00126CBB" w:rsidP="00126CB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3E6FBE">
        <w:rPr>
          <w:rFonts w:ascii="Arial" w:hAnsi="Arial" w:cs="Arial"/>
        </w:rPr>
        <w:t>Any patient with traumatic amputation of arm, forearm, hand, fingers. Does not include amputations of fingertips (distal to distal interphalangeal joint). Consider cervical spine immobilisation if high amputation/avulsion of upper arm.</w:t>
      </w:r>
    </w:p>
    <w:p w:rsidR="00126CBB" w:rsidRPr="003E6FBE" w:rsidRDefault="00126CBB" w:rsidP="00126CB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4A4C" w:rsidRDefault="00D64A4C" w:rsidP="00126CB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4A4C" w:rsidRDefault="00D64A4C" w:rsidP="00126CB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26CBB" w:rsidRPr="003E6FBE" w:rsidRDefault="00126CBB" w:rsidP="00126CB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E6FBE">
        <w:rPr>
          <w:rFonts w:ascii="Arial" w:hAnsi="Arial" w:cs="Arial"/>
          <w:b/>
          <w:bCs/>
          <w:sz w:val="22"/>
          <w:szCs w:val="22"/>
          <w:u w:val="single"/>
        </w:rPr>
        <w:t>Eye Trauma</w:t>
      </w:r>
    </w:p>
    <w:p w:rsidR="003E6FBE" w:rsidRPr="003E6FBE" w:rsidRDefault="003E6FBE" w:rsidP="00126CB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E6FBE" w:rsidRPr="003E6FBE" w:rsidRDefault="003E6FBE" w:rsidP="003E6FB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3E6FBE">
        <w:rPr>
          <w:rFonts w:ascii="Arial" w:hAnsi="Arial" w:cs="Arial"/>
        </w:rPr>
        <w:t>Eye injuries associated with major trauma cases should go to the nearest MTC</w:t>
      </w:r>
    </w:p>
    <w:p w:rsidR="00126CBB" w:rsidRPr="003E6FBE" w:rsidRDefault="00126CBB" w:rsidP="00126CB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26CBB" w:rsidRPr="003E6FBE" w:rsidRDefault="00126CBB" w:rsidP="003E6FB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3E6FBE">
        <w:rPr>
          <w:rFonts w:ascii="Arial" w:hAnsi="Arial" w:cs="Arial"/>
        </w:rPr>
        <w:t xml:space="preserve">Chemical burns to the eyes are always part of severe facial chemical skin burns. </w:t>
      </w:r>
      <w:r w:rsidR="005821BF">
        <w:rPr>
          <w:rFonts w:ascii="Arial" w:hAnsi="Arial" w:cs="Arial"/>
        </w:rPr>
        <w:t>S</w:t>
      </w:r>
      <w:r w:rsidR="005821BF" w:rsidRPr="005821BF">
        <w:rPr>
          <w:rFonts w:ascii="Arial" w:hAnsi="Arial" w:cs="Arial"/>
        </w:rPr>
        <w:t xml:space="preserve">pecialist irrigation and expert care is available </w:t>
      </w:r>
      <w:r w:rsidRPr="003E6FBE">
        <w:rPr>
          <w:rFonts w:ascii="Arial" w:hAnsi="Arial" w:cs="Arial"/>
        </w:rPr>
        <w:t>at QE and BCH EDs for both the eyes and the rest of the face.</w:t>
      </w:r>
    </w:p>
    <w:p w:rsidR="003E6FBE" w:rsidRPr="003E6FBE" w:rsidRDefault="003E6FBE" w:rsidP="003E6FBE">
      <w:pPr>
        <w:ind w:left="360"/>
        <w:rPr>
          <w:rFonts w:ascii="Arial" w:hAnsi="Arial" w:cs="Arial"/>
          <w:sz w:val="22"/>
          <w:szCs w:val="22"/>
        </w:rPr>
      </w:pPr>
    </w:p>
    <w:p w:rsidR="00126CBB" w:rsidRPr="003E6FBE" w:rsidRDefault="00126CBB" w:rsidP="003E6F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6FBE">
        <w:rPr>
          <w:rFonts w:ascii="Arial" w:hAnsi="Arial" w:cs="Arial"/>
          <w:b/>
          <w:color w:val="FF0000"/>
        </w:rPr>
        <w:t>Isolated</w:t>
      </w:r>
      <w:r w:rsidRPr="003E6FBE">
        <w:rPr>
          <w:rFonts w:ascii="Arial" w:hAnsi="Arial" w:cs="Arial"/>
        </w:rPr>
        <w:t xml:space="preserve"> eye injuries should be taken to a specialist eye hospital where practicable, in the West Midlands region these are:</w:t>
      </w:r>
    </w:p>
    <w:p w:rsidR="00126CBB" w:rsidRPr="003E6FBE" w:rsidRDefault="00126CBB" w:rsidP="00126CBB">
      <w:pPr>
        <w:rPr>
          <w:rFonts w:ascii="Arial" w:eastAsiaTheme="minorHAnsi" w:hAnsi="Arial" w:cs="Arial"/>
          <w:sz w:val="22"/>
          <w:szCs w:val="22"/>
        </w:rPr>
      </w:pPr>
    </w:p>
    <w:p w:rsidR="00126CBB" w:rsidRPr="003E6FBE" w:rsidRDefault="00126CBB" w:rsidP="003E6FBE">
      <w:pPr>
        <w:ind w:left="360"/>
        <w:rPr>
          <w:rFonts w:ascii="Arial" w:hAnsi="Arial" w:cs="Arial"/>
          <w:sz w:val="22"/>
          <w:szCs w:val="22"/>
        </w:rPr>
      </w:pPr>
      <w:r w:rsidRPr="003E6FBE">
        <w:rPr>
          <w:rFonts w:ascii="Arial" w:hAnsi="Arial" w:cs="Arial"/>
          <w:sz w:val="22"/>
          <w:szCs w:val="22"/>
        </w:rPr>
        <w:t>The Birmingham Midland Eye Centre, City Hospital NHS Trust, Dudley Road, Birmingham, West Midlands, B18 7QH</w:t>
      </w:r>
    </w:p>
    <w:p w:rsidR="00126CBB" w:rsidRPr="003E6FBE" w:rsidRDefault="00126CBB" w:rsidP="00126CBB">
      <w:pPr>
        <w:rPr>
          <w:rFonts w:ascii="Arial" w:hAnsi="Arial" w:cs="Arial"/>
          <w:sz w:val="22"/>
          <w:szCs w:val="22"/>
        </w:rPr>
      </w:pPr>
    </w:p>
    <w:p w:rsidR="00126CBB" w:rsidRDefault="00126CBB" w:rsidP="00EF62EA">
      <w:pPr>
        <w:ind w:left="360"/>
        <w:rPr>
          <w:rFonts w:ascii="Arial" w:hAnsi="Arial" w:cs="Arial"/>
          <w:sz w:val="22"/>
          <w:szCs w:val="22"/>
        </w:rPr>
      </w:pPr>
      <w:r w:rsidRPr="003E6FBE">
        <w:rPr>
          <w:rFonts w:ascii="Arial" w:hAnsi="Arial" w:cs="Arial"/>
          <w:sz w:val="22"/>
          <w:szCs w:val="22"/>
        </w:rPr>
        <w:t>Victoria Eye Unit, The County Hospital, Union Walk, Hereford, Herefordshire, HR1 2ER</w:t>
      </w:r>
    </w:p>
    <w:p w:rsidR="00774C63" w:rsidRDefault="00774C63" w:rsidP="00EF62EA">
      <w:pPr>
        <w:ind w:left="360"/>
        <w:rPr>
          <w:rFonts w:ascii="Arial" w:hAnsi="Arial" w:cs="Arial"/>
          <w:sz w:val="22"/>
          <w:szCs w:val="22"/>
        </w:rPr>
      </w:pPr>
    </w:p>
    <w:p w:rsidR="00774C63" w:rsidRDefault="00774C63" w:rsidP="00EF62EA">
      <w:pPr>
        <w:ind w:left="360"/>
        <w:rPr>
          <w:rFonts w:ascii="Arial" w:hAnsi="Arial" w:cs="Arial"/>
          <w:sz w:val="22"/>
          <w:szCs w:val="22"/>
        </w:rPr>
      </w:pPr>
    </w:p>
    <w:p w:rsidR="00774C63" w:rsidRDefault="00774C63" w:rsidP="00EF62EA">
      <w:pPr>
        <w:ind w:left="360"/>
        <w:rPr>
          <w:rFonts w:ascii="Arial" w:hAnsi="Arial" w:cs="Arial"/>
          <w:b/>
          <w:sz w:val="22"/>
          <w:szCs w:val="22"/>
        </w:rPr>
      </w:pPr>
      <w:r w:rsidRPr="00774C63">
        <w:rPr>
          <w:rFonts w:ascii="Arial" w:hAnsi="Arial" w:cs="Arial"/>
          <w:b/>
          <w:sz w:val="22"/>
          <w:szCs w:val="22"/>
        </w:rPr>
        <w:t>All the above cases should be discussed with the Regional Trauma Desk on 01384 215696 or ARP channel 282</w:t>
      </w:r>
    </w:p>
    <w:p w:rsidR="000A6A92" w:rsidRDefault="000A6A92" w:rsidP="00EF62EA">
      <w:pPr>
        <w:ind w:left="360"/>
        <w:rPr>
          <w:rFonts w:ascii="Arial" w:hAnsi="Arial" w:cs="Arial"/>
          <w:b/>
          <w:sz w:val="22"/>
          <w:szCs w:val="22"/>
        </w:rPr>
      </w:pPr>
    </w:p>
    <w:p w:rsidR="000A6A92" w:rsidRPr="000A6A92" w:rsidRDefault="000A6A92" w:rsidP="00EF62EA">
      <w:pPr>
        <w:ind w:left="360"/>
        <w:rPr>
          <w:rFonts w:ascii="Arial" w:hAnsi="Arial" w:cs="Arial"/>
          <w:sz w:val="22"/>
          <w:szCs w:val="22"/>
        </w:rPr>
      </w:pPr>
      <w:r w:rsidRPr="000A6A92">
        <w:rPr>
          <w:rFonts w:ascii="Arial" w:hAnsi="Arial" w:cs="Arial"/>
          <w:sz w:val="22"/>
          <w:szCs w:val="22"/>
        </w:rPr>
        <w:t>Author – Head of Clinical Practice Trauma Management</w:t>
      </w:r>
    </w:p>
    <w:p w:rsidR="000A6A92" w:rsidRPr="000A6A92" w:rsidRDefault="000A6A92" w:rsidP="00EF62EA">
      <w:pPr>
        <w:ind w:left="360"/>
        <w:rPr>
          <w:rFonts w:ascii="Arial" w:hAnsi="Arial" w:cs="Arial"/>
          <w:sz w:val="22"/>
          <w:szCs w:val="22"/>
        </w:rPr>
      </w:pPr>
    </w:p>
    <w:p w:rsidR="000A6A92" w:rsidRPr="000A6A92" w:rsidRDefault="000A6A92" w:rsidP="00EF62EA">
      <w:pPr>
        <w:ind w:left="360"/>
        <w:rPr>
          <w:rFonts w:ascii="Arial" w:hAnsi="Arial" w:cs="Arial"/>
          <w:sz w:val="22"/>
          <w:szCs w:val="22"/>
        </w:rPr>
      </w:pPr>
      <w:r w:rsidRPr="000A6A92">
        <w:rPr>
          <w:rFonts w:ascii="Arial" w:hAnsi="Arial" w:cs="Arial"/>
          <w:sz w:val="22"/>
          <w:szCs w:val="22"/>
        </w:rPr>
        <w:t>Approved by Medical Director</w:t>
      </w:r>
    </w:p>
    <w:p w:rsidR="000A6A92" w:rsidRPr="000A6A92" w:rsidRDefault="000A6A92" w:rsidP="00EF62EA">
      <w:pPr>
        <w:ind w:left="360"/>
        <w:rPr>
          <w:rFonts w:ascii="Arial" w:hAnsi="Arial" w:cs="Arial"/>
          <w:sz w:val="22"/>
          <w:szCs w:val="22"/>
        </w:rPr>
      </w:pPr>
    </w:p>
    <w:p w:rsidR="000A6A92" w:rsidRPr="00774C63" w:rsidRDefault="000A6A92" w:rsidP="00EF62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0A6A92">
        <w:rPr>
          <w:rFonts w:ascii="Arial" w:hAnsi="Arial" w:cs="Arial"/>
          <w:sz w:val="22"/>
          <w:szCs w:val="22"/>
        </w:rPr>
        <w:t>For further information – Shane Roberts 07747795065</w:t>
      </w:r>
      <w:bookmarkStart w:id="0" w:name="_GoBack"/>
      <w:bookmarkEnd w:id="0"/>
    </w:p>
    <w:sectPr w:rsidR="000A6A92" w:rsidRPr="00774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D32" w:rsidRDefault="00274D32" w:rsidP="00EF62EA">
      <w:r>
        <w:separator/>
      </w:r>
    </w:p>
  </w:endnote>
  <w:endnote w:type="continuationSeparator" w:id="0">
    <w:p w:rsidR="00274D32" w:rsidRDefault="00274D32" w:rsidP="00EF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D32" w:rsidRDefault="00274D32" w:rsidP="00EF62EA">
      <w:r>
        <w:separator/>
      </w:r>
    </w:p>
  </w:footnote>
  <w:footnote w:type="continuationSeparator" w:id="0">
    <w:p w:rsidR="00274D32" w:rsidRDefault="00274D32" w:rsidP="00EF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3EB9"/>
    <w:multiLevelType w:val="hybridMultilevel"/>
    <w:tmpl w:val="F72AC6DA"/>
    <w:lvl w:ilvl="0" w:tplc="46AEED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00512"/>
    <w:multiLevelType w:val="multilevel"/>
    <w:tmpl w:val="681A2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6092D"/>
    <w:multiLevelType w:val="multilevel"/>
    <w:tmpl w:val="7736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D7A67"/>
    <w:multiLevelType w:val="hybridMultilevel"/>
    <w:tmpl w:val="6D8C244C"/>
    <w:lvl w:ilvl="0" w:tplc="0C50C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4135B"/>
    <w:multiLevelType w:val="hybridMultilevel"/>
    <w:tmpl w:val="F4C6E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80F66"/>
    <w:multiLevelType w:val="hybridMultilevel"/>
    <w:tmpl w:val="7E527144"/>
    <w:lvl w:ilvl="0" w:tplc="01F449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72CCE"/>
    <w:multiLevelType w:val="hybridMultilevel"/>
    <w:tmpl w:val="7C543998"/>
    <w:lvl w:ilvl="0" w:tplc="DB1A2A5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4489043A"/>
    <w:multiLevelType w:val="hybridMultilevel"/>
    <w:tmpl w:val="E92820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B84716"/>
    <w:multiLevelType w:val="hybridMultilevel"/>
    <w:tmpl w:val="57524826"/>
    <w:lvl w:ilvl="0" w:tplc="0C50C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BB"/>
    <w:rsid w:val="000A6A92"/>
    <w:rsid w:val="000C0E63"/>
    <w:rsid w:val="00126CBB"/>
    <w:rsid w:val="00152E34"/>
    <w:rsid w:val="001E14A4"/>
    <w:rsid w:val="00274D32"/>
    <w:rsid w:val="003E6FBE"/>
    <w:rsid w:val="004235F5"/>
    <w:rsid w:val="00545E27"/>
    <w:rsid w:val="005821BF"/>
    <w:rsid w:val="005A57D6"/>
    <w:rsid w:val="006A06FF"/>
    <w:rsid w:val="006F736C"/>
    <w:rsid w:val="00774C63"/>
    <w:rsid w:val="00960A35"/>
    <w:rsid w:val="00970F1C"/>
    <w:rsid w:val="00CA0193"/>
    <w:rsid w:val="00D64A4C"/>
    <w:rsid w:val="00E338CD"/>
    <w:rsid w:val="00E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0308"/>
  <w15:docId w15:val="{280ECE27-A642-489C-92B7-A3F73198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6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2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2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Roberts</dc:creator>
  <cp:lastModifiedBy>Shane Roberts</cp:lastModifiedBy>
  <cp:revision>12</cp:revision>
  <dcterms:created xsi:type="dcterms:W3CDTF">2018-01-31T10:13:00Z</dcterms:created>
  <dcterms:modified xsi:type="dcterms:W3CDTF">2018-03-12T13:54:00Z</dcterms:modified>
</cp:coreProperties>
</file>