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44E595" w14:textId="141C724A" w:rsidR="003804F8" w:rsidRDefault="00215295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 a whole lot has changed</w:t>
      </w:r>
      <w:r w:rsidR="00272A32">
        <w:rPr>
          <w:rFonts w:ascii="Garamond" w:hAnsi="Garamond"/>
          <w:sz w:val="24"/>
          <w:szCs w:val="24"/>
        </w:rPr>
        <w:t xml:space="preserve"> from what we said in the first quarter review.  </w:t>
      </w:r>
      <w:r w:rsidR="0036754C">
        <w:rPr>
          <w:rFonts w:ascii="Garamond" w:hAnsi="Garamond"/>
          <w:sz w:val="24"/>
          <w:szCs w:val="24"/>
        </w:rPr>
        <w:t xml:space="preserve"> The Fed increased rates by ¼% in May and chose to pause the ongoing interest rate increases in June</w:t>
      </w:r>
      <w:r w:rsidR="00C43EEB">
        <w:rPr>
          <w:rFonts w:ascii="Garamond" w:hAnsi="Garamond"/>
          <w:sz w:val="24"/>
          <w:szCs w:val="24"/>
        </w:rPr>
        <w:t xml:space="preserve"> and left the door open regarding upcoming interest rate increases.  Additional increases have not been ruled out as inflation is proving </w:t>
      </w:r>
      <w:r w:rsidR="007572BF">
        <w:rPr>
          <w:rFonts w:ascii="Garamond" w:hAnsi="Garamond"/>
          <w:sz w:val="24"/>
          <w:szCs w:val="24"/>
        </w:rPr>
        <w:t>very</w:t>
      </w:r>
      <w:r w:rsidR="00C43EEB">
        <w:rPr>
          <w:rFonts w:ascii="Garamond" w:hAnsi="Garamond"/>
          <w:sz w:val="24"/>
          <w:szCs w:val="24"/>
        </w:rPr>
        <w:t xml:space="preserve"> difficult to bring down to the target 2% level. </w:t>
      </w:r>
      <w:r w:rsidR="009B2DB6">
        <w:rPr>
          <w:rFonts w:ascii="Garamond" w:hAnsi="Garamond"/>
          <w:sz w:val="24"/>
          <w:szCs w:val="24"/>
        </w:rPr>
        <w:t xml:space="preserve">  On the other hand, the economy is starting to show some weakness</w:t>
      </w:r>
      <w:r w:rsidR="00C87202">
        <w:rPr>
          <w:rFonts w:ascii="Garamond" w:hAnsi="Garamond"/>
          <w:sz w:val="24"/>
          <w:szCs w:val="24"/>
        </w:rPr>
        <w:t xml:space="preserve"> </w:t>
      </w:r>
      <w:r w:rsidR="004C2E63">
        <w:rPr>
          <w:rFonts w:ascii="Garamond" w:hAnsi="Garamond"/>
          <w:sz w:val="24"/>
          <w:szCs w:val="24"/>
        </w:rPr>
        <w:t xml:space="preserve">which could call for </w:t>
      </w:r>
      <w:r w:rsidR="00F836EE">
        <w:rPr>
          <w:rFonts w:ascii="Garamond" w:hAnsi="Garamond"/>
          <w:sz w:val="24"/>
          <w:szCs w:val="24"/>
        </w:rPr>
        <w:t xml:space="preserve">lower rates.  </w:t>
      </w:r>
      <w:r w:rsidR="004D29D0">
        <w:rPr>
          <w:rFonts w:ascii="Garamond" w:hAnsi="Garamond"/>
          <w:sz w:val="24"/>
          <w:szCs w:val="24"/>
        </w:rPr>
        <w:t>As a result,</w:t>
      </w:r>
      <w:r w:rsidR="00F836EE">
        <w:rPr>
          <w:rFonts w:ascii="Garamond" w:hAnsi="Garamond"/>
          <w:sz w:val="24"/>
          <w:szCs w:val="24"/>
        </w:rPr>
        <w:t xml:space="preserve"> the Fed may have some difficult decisions to make:  </w:t>
      </w:r>
      <w:r w:rsidR="00510DD5">
        <w:rPr>
          <w:rFonts w:ascii="Garamond" w:hAnsi="Garamond"/>
          <w:sz w:val="24"/>
          <w:szCs w:val="24"/>
        </w:rPr>
        <w:t>higher rates</w:t>
      </w:r>
      <w:r w:rsidR="00F836EE">
        <w:rPr>
          <w:rFonts w:ascii="Garamond" w:hAnsi="Garamond"/>
          <w:sz w:val="24"/>
          <w:szCs w:val="24"/>
        </w:rPr>
        <w:t xml:space="preserve"> to tame inflation or lower rates to ward off recession.  </w:t>
      </w:r>
      <w:r w:rsidR="00C810BB">
        <w:rPr>
          <w:rFonts w:ascii="Garamond" w:hAnsi="Garamond"/>
          <w:sz w:val="24"/>
          <w:szCs w:val="24"/>
        </w:rPr>
        <w:t xml:space="preserve">(Of course, lower spending by the government would help on the inflation front: chances of that </w:t>
      </w:r>
      <w:r w:rsidR="001C0C33">
        <w:rPr>
          <w:rFonts w:ascii="Garamond" w:hAnsi="Garamond"/>
          <w:sz w:val="24"/>
          <w:szCs w:val="24"/>
        </w:rPr>
        <w:t>z</w:t>
      </w:r>
      <w:r w:rsidR="00C810BB">
        <w:rPr>
          <w:rFonts w:ascii="Garamond" w:hAnsi="Garamond"/>
          <w:sz w:val="24"/>
          <w:szCs w:val="24"/>
        </w:rPr>
        <w:t>ero!)</w:t>
      </w:r>
    </w:p>
    <w:p w14:paraId="78C33A22" w14:textId="77777777" w:rsidR="001C0C33" w:rsidRDefault="001C0C33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01E81279" w14:textId="70EA0AA7" w:rsidR="00750D6E" w:rsidRDefault="001C0C33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is some good news and potentially bad news.  The good news: The bank failure si</w:t>
      </w:r>
      <w:r w:rsidR="001D6C96">
        <w:rPr>
          <w:rFonts w:ascii="Garamond" w:hAnsi="Garamond"/>
          <w:sz w:val="24"/>
          <w:szCs w:val="24"/>
        </w:rPr>
        <w:t xml:space="preserve">tuation which surfaced in the first </w:t>
      </w:r>
      <w:r w:rsidR="00C34D44">
        <w:rPr>
          <w:rFonts w:ascii="Garamond" w:hAnsi="Garamond"/>
          <w:sz w:val="24"/>
          <w:szCs w:val="24"/>
        </w:rPr>
        <w:t>quarter</w:t>
      </w:r>
      <w:r w:rsidR="001D6C96">
        <w:rPr>
          <w:rFonts w:ascii="Garamond" w:hAnsi="Garamond"/>
          <w:sz w:val="24"/>
          <w:szCs w:val="24"/>
        </w:rPr>
        <w:t xml:space="preserve"> seems to have been contained.  In fact, the financial report card on the major banks is good! The bad news</w:t>
      </w:r>
      <w:r w:rsidR="0058582E">
        <w:rPr>
          <w:rFonts w:ascii="Garamond" w:hAnsi="Garamond"/>
          <w:sz w:val="24"/>
          <w:szCs w:val="24"/>
        </w:rPr>
        <w:t>:  smaller banks and “shadow banks</w:t>
      </w:r>
      <w:r w:rsidR="00923EA7">
        <w:rPr>
          <w:rFonts w:ascii="Garamond" w:hAnsi="Garamond"/>
          <w:sz w:val="24"/>
          <w:szCs w:val="24"/>
        </w:rPr>
        <w:t>”</w:t>
      </w:r>
      <w:r w:rsidR="0058582E">
        <w:rPr>
          <w:rFonts w:ascii="Garamond" w:hAnsi="Garamond"/>
          <w:sz w:val="24"/>
          <w:szCs w:val="24"/>
        </w:rPr>
        <w:t xml:space="preserve"> </w:t>
      </w:r>
      <w:r w:rsidR="00643F14">
        <w:rPr>
          <w:rFonts w:ascii="Garamond" w:hAnsi="Garamond"/>
          <w:sz w:val="24"/>
          <w:szCs w:val="24"/>
        </w:rPr>
        <w:t>–</w:t>
      </w:r>
      <w:r w:rsidR="0058582E">
        <w:rPr>
          <w:rFonts w:ascii="Garamond" w:hAnsi="Garamond"/>
          <w:sz w:val="24"/>
          <w:szCs w:val="24"/>
        </w:rPr>
        <w:t xml:space="preserve"> </w:t>
      </w:r>
      <w:r w:rsidR="00643F14">
        <w:rPr>
          <w:rFonts w:ascii="Garamond" w:hAnsi="Garamond"/>
          <w:sz w:val="24"/>
          <w:szCs w:val="24"/>
        </w:rPr>
        <w:t xml:space="preserve">private equity funds and investment banks among others – are not regulated </w:t>
      </w:r>
      <w:r w:rsidR="00750D6E">
        <w:rPr>
          <w:rFonts w:ascii="Garamond" w:hAnsi="Garamond"/>
          <w:sz w:val="24"/>
          <w:szCs w:val="24"/>
        </w:rPr>
        <w:t xml:space="preserve">yet do lend significant funds </w:t>
      </w:r>
      <w:r w:rsidR="00643F14">
        <w:rPr>
          <w:rFonts w:ascii="Garamond" w:hAnsi="Garamond"/>
          <w:sz w:val="24"/>
          <w:szCs w:val="24"/>
        </w:rPr>
        <w:t>and potentially can bring risk to the banking system if they experience a significant failure.</w:t>
      </w:r>
      <w:r w:rsidR="00662715">
        <w:rPr>
          <w:rFonts w:ascii="Garamond" w:hAnsi="Garamond"/>
          <w:sz w:val="24"/>
          <w:szCs w:val="24"/>
        </w:rPr>
        <w:t xml:space="preserve"> </w:t>
      </w:r>
      <w:r w:rsidR="002F760B">
        <w:rPr>
          <w:rFonts w:ascii="Garamond" w:hAnsi="Garamond"/>
          <w:sz w:val="24"/>
          <w:szCs w:val="24"/>
        </w:rPr>
        <w:t xml:space="preserve"> Additionally, the leading economic indicators continue to trend down and historically this has been an indicator of a recession ahead. </w:t>
      </w:r>
      <w:r w:rsidR="00EC17F0">
        <w:rPr>
          <w:rFonts w:ascii="Garamond" w:hAnsi="Garamond"/>
          <w:sz w:val="24"/>
          <w:szCs w:val="24"/>
        </w:rPr>
        <w:t xml:space="preserve"> </w:t>
      </w:r>
      <w:r w:rsidR="00750D6E">
        <w:rPr>
          <w:rFonts w:ascii="Garamond" w:hAnsi="Garamond"/>
          <w:sz w:val="24"/>
          <w:szCs w:val="24"/>
        </w:rPr>
        <w:t xml:space="preserve">Internationally, the news leans negative.  China’s economy is slowing even after lifting Covid restrictions.  </w:t>
      </w:r>
      <w:r w:rsidR="00C07AC6">
        <w:rPr>
          <w:rFonts w:ascii="Garamond" w:hAnsi="Garamond"/>
          <w:sz w:val="24"/>
          <w:szCs w:val="24"/>
        </w:rPr>
        <w:t xml:space="preserve">If this continues, it will put downward pressure on international </w:t>
      </w:r>
      <w:r w:rsidR="00C34D44">
        <w:rPr>
          <w:rFonts w:ascii="Garamond" w:hAnsi="Garamond"/>
          <w:sz w:val="24"/>
          <w:szCs w:val="24"/>
        </w:rPr>
        <w:t>trade.</w:t>
      </w:r>
    </w:p>
    <w:p w14:paraId="0AD4129E" w14:textId="77777777" w:rsidR="005D2612" w:rsidRDefault="005D2612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6014E6A7" w14:textId="55D28784" w:rsidR="005D2612" w:rsidRDefault="002F7E05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Although there is a lot of “iffy” economic and political stuff ahead, the second quarter </w:t>
      </w:r>
      <w:r w:rsidR="0022359B">
        <w:rPr>
          <w:rFonts w:ascii="Garamond" w:hAnsi="Garamond"/>
          <w:sz w:val="24"/>
          <w:szCs w:val="24"/>
        </w:rPr>
        <w:t xml:space="preserve">stock averages </w:t>
      </w:r>
      <w:r w:rsidR="004D29D0">
        <w:rPr>
          <w:rFonts w:ascii="Garamond" w:hAnsi="Garamond"/>
          <w:sz w:val="24"/>
          <w:szCs w:val="24"/>
        </w:rPr>
        <w:t>performed well.</w:t>
      </w:r>
      <w:r w:rsidR="0022359B">
        <w:rPr>
          <w:rFonts w:ascii="Garamond" w:hAnsi="Garamond"/>
          <w:sz w:val="24"/>
          <w:szCs w:val="24"/>
        </w:rPr>
        <w:t xml:space="preserve">  </w:t>
      </w:r>
      <w:r w:rsidR="000C0FBE">
        <w:rPr>
          <w:rFonts w:ascii="Garamond" w:hAnsi="Garamond"/>
          <w:sz w:val="24"/>
          <w:szCs w:val="24"/>
        </w:rPr>
        <w:t xml:space="preserve">For the quarter, the DJIA was up +4.0%, </w:t>
      </w:r>
      <w:r w:rsidR="00A57EDF">
        <w:rPr>
          <w:rFonts w:ascii="Garamond" w:hAnsi="Garamond"/>
          <w:sz w:val="24"/>
          <w:szCs w:val="24"/>
        </w:rPr>
        <w:t>the S&amp;P 500 was up +8.7%, NASDAQ was up a healthy +1</w:t>
      </w:r>
      <w:r w:rsidR="00102559">
        <w:rPr>
          <w:rFonts w:ascii="Garamond" w:hAnsi="Garamond"/>
          <w:sz w:val="24"/>
          <w:szCs w:val="24"/>
        </w:rPr>
        <w:t>2</w:t>
      </w:r>
      <w:r w:rsidR="00A57EDF">
        <w:rPr>
          <w:rFonts w:ascii="Garamond" w:hAnsi="Garamond"/>
          <w:sz w:val="24"/>
          <w:szCs w:val="24"/>
        </w:rPr>
        <w:t xml:space="preserve">.8% while the Bloomberg Aggregate Bond Index was </w:t>
      </w:r>
      <w:r w:rsidR="006A487B">
        <w:rPr>
          <w:rFonts w:ascii="Garamond" w:hAnsi="Garamond"/>
          <w:sz w:val="24"/>
          <w:szCs w:val="24"/>
        </w:rPr>
        <w:t>down -0.8%.  Growth stocks lead the way up +11%</w:t>
      </w:r>
      <w:r w:rsidR="00D030FE">
        <w:rPr>
          <w:rFonts w:ascii="Garamond" w:hAnsi="Garamond"/>
          <w:sz w:val="24"/>
          <w:szCs w:val="24"/>
        </w:rPr>
        <w:t>.  But all equity fund categories had positive results.  For bonds, long term government bonds dropped -2.2%</w:t>
      </w:r>
      <w:r w:rsidR="002F0046">
        <w:rPr>
          <w:rFonts w:ascii="Garamond" w:hAnsi="Garamond"/>
          <w:sz w:val="24"/>
          <w:szCs w:val="24"/>
        </w:rPr>
        <w:t xml:space="preserve">.  On the international front, all major areas except China and </w:t>
      </w:r>
      <w:r w:rsidR="006361E5">
        <w:rPr>
          <w:rFonts w:ascii="Garamond" w:hAnsi="Garamond"/>
          <w:sz w:val="24"/>
          <w:szCs w:val="24"/>
        </w:rPr>
        <w:t xml:space="preserve">Pacific ex Japan had good performance.  China bears watching, however.  It was down </w:t>
      </w:r>
      <w:r w:rsidR="006536D5">
        <w:rPr>
          <w:rFonts w:ascii="Garamond" w:hAnsi="Garamond"/>
          <w:sz w:val="24"/>
          <w:szCs w:val="24"/>
        </w:rPr>
        <w:t>-</w:t>
      </w:r>
      <w:r w:rsidR="006361E5">
        <w:rPr>
          <w:rFonts w:ascii="Garamond" w:hAnsi="Garamond"/>
          <w:sz w:val="24"/>
          <w:szCs w:val="24"/>
        </w:rPr>
        <w:t>9.8%</w:t>
      </w:r>
      <w:r w:rsidR="006536D5">
        <w:rPr>
          <w:rFonts w:ascii="Garamond" w:hAnsi="Garamond"/>
          <w:sz w:val="24"/>
          <w:szCs w:val="24"/>
        </w:rPr>
        <w:t xml:space="preserve"> and is the second largest economy so </w:t>
      </w:r>
      <w:proofErr w:type="spellStart"/>
      <w:r w:rsidR="006536D5">
        <w:rPr>
          <w:rFonts w:ascii="Garamond" w:hAnsi="Garamond"/>
          <w:sz w:val="24"/>
          <w:szCs w:val="24"/>
        </w:rPr>
        <w:t>its</w:t>
      </w:r>
      <w:proofErr w:type="spellEnd"/>
      <w:r w:rsidR="006536D5">
        <w:rPr>
          <w:rFonts w:ascii="Garamond" w:hAnsi="Garamond"/>
          <w:sz w:val="24"/>
          <w:szCs w:val="24"/>
        </w:rPr>
        <w:t>’ overall performance is very important.</w:t>
      </w:r>
    </w:p>
    <w:p w14:paraId="7EED1964" w14:textId="77777777" w:rsidR="00436076" w:rsidRDefault="00436076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744357BE" w14:textId="2738EE3F" w:rsidR="00436076" w:rsidRDefault="00523A44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Second</w:t>
      </w:r>
      <w:r w:rsidR="00436076" w:rsidRPr="008B28E2">
        <w:rPr>
          <w:rFonts w:ascii="Garamond" w:hAnsi="Garamond"/>
          <w:sz w:val="24"/>
          <w:szCs w:val="24"/>
        </w:rPr>
        <w:t xml:space="preserve"> quarter and full year results are detailed below.</w:t>
      </w:r>
    </w:p>
    <w:p w14:paraId="3E09D9A7" w14:textId="77777777" w:rsidR="00C34D44" w:rsidRDefault="00C34D44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tbl>
      <w:tblPr>
        <w:tblStyle w:val="3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710"/>
        <w:gridCol w:w="1800"/>
        <w:gridCol w:w="1890"/>
        <w:gridCol w:w="1980"/>
      </w:tblGrid>
      <w:tr w:rsidR="0052480B" w:rsidRPr="0034680B" w14:paraId="7C139993" w14:textId="77777777" w:rsidTr="00126C45">
        <w:tc>
          <w:tcPr>
            <w:tcW w:w="2790" w:type="dxa"/>
          </w:tcPr>
          <w:p w14:paraId="5EDF3649" w14:textId="77777777" w:rsidR="0052480B" w:rsidRPr="0034680B" w:rsidRDefault="0052480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28309" w14:textId="234C175C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QUARTER</w:t>
            </w:r>
            <w:r w:rsidR="00B47B0C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 </w:t>
            </w:r>
            <w:r w:rsidR="0073224F"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39621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73224F"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10D9B50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12 MONTHS Ending</w:t>
            </w:r>
          </w:p>
          <w:p w14:paraId="0B03AA30" w14:textId="537EC54E" w:rsidR="0052480B" w:rsidRPr="0034680B" w:rsidRDefault="0073224F" w:rsidP="006F40FD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26A4AD95" w14:textId="0EF38A1F" w:rsidR="0052480B" w:rsidRPr="0034680B" w:rsidRDefault="00951AB2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="001B21E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16A4052C" w14:textId="6179F3A0" w:rsidR="0052480B" w:rsidRPr="0034680B" w:rsidRDefault="00B47B0C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73224F"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86727E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73224F"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2D672CD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6A313037" w14:textId="752909DE" w:rsidR="0052480B" w:rsidRPr="0034680B" w:rsidRDefault="0073224F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</w:tr>
      <w:tr w:rsidR="0052480B" w:rsidRPr="0034680B" w14:paraId="0906A7BB" w14:textId="77777777" w:rsidTr="00126C45">
        <w:tc>
          <w:tcPr>
            <w:tcW w:w="2790" w:type="dxa"/>
          </w:tcPr>
          <w:p w14:paraId="16F79650" w14:textId="77777777" w:rsidR="0052480B" w:rsidRPr="0034680B" w:rsidRDefault="001B21E4">
            <w:pPr>
              <w:pStyle w:val="Heading2"/>
            </w:pPr>
            <w:r w:rsidRPr="0034680B">
              <w:rPr>
                <w:rFonts w:ascii="Garamond" w:eastAsia="Garamond" w:hAnsi="Garamond" w:cs="Garamond"/>
                <w:b/>
                <w:u w:val="none"/>
              </w:rPr>
              <w:t>DJIA</w:t>
            </w:r>
          </w:p>
        </w:tc>
        <w:tc>
          <w:tcPr>
            <w:tcW w:w="1710" w:type="dxa"/>
          </w:tcPr>
          <w:p w14:paraId="334E42EB" w14:textId="23B8FDE9" w:rsidR="0052480B" w:rsidRPr="0034680B" w:rsidRDefault="007D13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4.0</w:t>
            </w:r>
            <w:r w:rsidR="00017527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5C6A12A0" w14:textId="125528D9" w:rsidR="0052480B" w:rsidRPr="0034680B" w:rsidRDefault="00A518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14.2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6C597B7C" w14:textId="2EEC3C6A" w:rsidR="0052480B" w:rsidRPr="0034680B" w:rsidRDefault="00F905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495B96"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 w:rsidR="00150372">
              <w:rPr>
                <w:rFonts w:ascii="Garamond" w:eastAsia="Garamond" w:hAnsi="Garamond" w:cs="Garamond"/>
                <w:sz w:val="24"/>
                <w:szCs w:val="24"/>
              </w:rPr>
              <w:t>.3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3FE32B73" w14:textId="3AEEFEE1" w:rsidR="0052480B" w:rsidRPr="0034680B" w:rsidRDefault="00E325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9.</w:t>
            </w:r>
            <w:r w:rsidR="00495B96">
              <w:rPr>
                <w:rFonts w:ascii="Garamond" w:eastAsia="Garamond" w:hAnsi="Garamond" w:cs="Garamond"/>
                <w:sz w:val="24"/>
                <w:szCs w:val="24"/>
              </w:rPr>
              <w:t>6</w:t>
            </w:r>
            <w:r w:rsidR="009005AD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C5FF143" w14:textId="77777777" w:rsidTr="00126C45">
        <w:tc>
          <w:tcPr>
            <w:tcW w:w="2790" w:type="dxa"/>
          </w:tcPr>
          <w:p w14:paraId="5F5D7950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S &amp; P 500</w:t>
            </w:r>
          </w:p>
        </w:tc>
        <w:tc>
          <w:tcPr>
            <w:tcW w:w="1710" w:type="dxa"/>
          </w:tcPr>
          <w:p w14:paraId="2003DDBD" w14:textId="0C57FB5A" w:rsidR="0052480B" w:rsidRPr="0034680B" w:rsidRDefault="005C354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4F5E4FCF" w14:textId="29F1CD90" w:rsidR="0052480B" w:rsidRPr="0034680B" w:rsidRDefault="005C354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19.6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7028A238" w14:textId="777227FA" w:rsidR="0052480B" w:rsidRPr="0034680B" w:rsidRDefault="00E325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5C3546">
              <w:rPr>
                <w:rFonts w:ascii="Garamond" w:eastAsia="Garamond" w:hAnsi="Garamond" w:cs="Garamond"/>
                <w:sz w:val="24"/>
                <w:szCs w:val="24"/>
              </w:rPr>
              <w:t>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1E43F5E" w14:textId="64D75D2E" w:rsidR="0052480B" w:rsidRPr="0034680B" w:rsidRDefault="00E325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C4395A">
              <w:rPr>
                <w:rFonts w:ascii="Garamond" w:eastAsia="Garamond" w:hAnsi="Garamond" w:cs="Garamond"/>
                <w:sz w:val="24"/>
                <w:szCs w:val="24"/>
              </w:rPr>
              <w:t>2.3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32CC715B" w14:textId="77777777" w:rsidTr="00126C45">
        <w:tc>
          <w:tcPr>
            <w:tcW w:w="2790" w:type="dxa"/>
          </w:tcPr>
          <w:p w14:paraId="57B75155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NASDAQ Composite</w:t>
            </w:r>
          </w:p>
        </w:tc>
        <w:tc>
          <w:tcPr>
            <w:tcW w:w="1710" w:type="dxa"/>
          </w:tcPr>
          <w:p w14:paraId="2EB81A59" w14:textId="243D2130" w:rsidR="0052480B" w:rsidRPr="0034680B" w:rsidRDefault="00C4395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12.8</w:t>
            </w:r>
            <w:r w:rsidR="00C160CD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67D79475" w14:textId="56E3C6E4" w:rsidR="0052480B" w:rsidRPr="0034680B" w:rsidRDefault="00721C1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25.0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54673B52" w14:textId="7EF4D00B" w:rsidR="0052480B" w:rsidRPr="0034680B" w:rsidRDefault="008860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721C17">
              <w:rPr>
                <w:rFonts w:ascii="Garamond" w:eastAsia="Garamond" w:hAnsi="Garamond" w:cs="Garamond"/>
                <w:sz w:val="24"/>
                <w:szCs w:val="24"/>
              </w:rPr>
              <w:t>1.1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175BAB6F" w14:textId="1FE16180" w:rsidR="0052480B" w:rsidRPr="0034680B" w:rsidRDefault="004964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721C17">
              <w:rPr>
                <w:rFonts w:ascii="Garamond" w:eastAsia="Garamond" w:hAnsi="Garamond" w:cs="Garamond"/>
                <w:sz w:val="24"/>
                <w:szCs w:val="24"/>
              </w:rPr>
              <w:t>2.9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A044CF2" w14:textId="77777777" w:rsidTr="00126C45">
        <w:tc>
          <w:tcPr>
            <w:tcW w:w="2790" w:type="dxa"/>
            <w:tcBorders>
              <w:bottom w:val="single" w:sz="4" w:space="0" w:color="auto"/>
            </w:tcBorders>
          </w:tcPr>
          <w:p w14:paraId="68257417" w14:textId="0ECFC771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l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oo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mb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e</w:t>
            </w:r>
            <w:r w:rsidR="00ED3F22">
              <w:rPr>
                <w:rFonts w:ascii="Garamond" w:eastAsia="Garamond" w:hAnsi="Garamond" w:cs="Garamond"/>
                <w:b/>
                <w:sz w:val="24"/>
                <w:szCs w:val="24"/>
              </w:rPr>
              <w:t>r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g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Agg. </w:t>
            </w:r>
            <w:r w:rsidR="00A13790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ond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E393DB" w14:textId="10160AB6" w:rsidR="0052480B" w:rsidRPr="0034680B" w:rsidRDefault="00C779B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-0.8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AC4247" w14:textId="3E384F2F" w:rsidR="0052480B" w:rsidRPr="0034680B" w:rsidRDefault="00022438" w:rsidP="009005A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C779B5">
              <w:rPr>
                <w:rFonts w:ascii="Garamond" w:eastAsia="Garamond" w:hAnsi="Garamond" w:cs="Garamond"/>
                <w:sz w:val="24"/>
                <w:szCs w:val="24"/>
              </w:rPr>
              <w:t>0.9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77723C" w14:textId="1EEFFE84" w:rsidR="0052480B" w:rsidRPr="0034680B" w:rsidRDefault="00FE565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C779B5">
              <w:rPr>
                <w:rFonts w:ascii="Garamond" w:eastAsia="Garamond" w:hAnsi="Garamond" w:cs="Garamond"/>
                <w:sz w:val="24"/>
                <w:szCs w:val="24"/>
              </w:rPr>
              <w:t>4.0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8665CD5" w14:textId="44F7D56C" w:rsidR="0052480B" w:rsidRPr="004E78D2" w:rsidRDefault="00CC63BB" w:rsidP="004E78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0.</w:t>
            </w:r>
            <w:r w:rsidR="00C779B5">
              <w:rPr>
                <w:rFonts w:ascii="Garamond" w:eastAsia="Garamond" w:hAnsi="Garamond" w:cs="Garamond"/>
                <w:sz w:val="24"/>
                <w:szCs w:val="24"/>
              </w:rPr>
              <w:t>8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6D6E01" w:rsidRPr="0034680B" w14:paraId="08879F1A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1F9" w14:textId="77777777" w:rsidR="006D6E01" w:rsidRPr="0034680B" w:rsidRDefault="006D6E01" w:rsidP="00B464D2">
            <w:pPr>
              <w:rPr>
                <w:rFonts w:ascii="Garamond" w:eastAsia="Garamond" w:hAnsi="Garamond" w:cs="Garamond"/>
                <w:i/>
              </w:rPr>
            </w:pPr>
            <w:r w:rsidRPr="0034680B">
              <w:rPr>
                <w:rFonts w:ascii="Garamond" w:eastAsia="Garamond" w:hAnsi="Garamond" w:cs="Garamond"/>
                <w:i/>
              </w:rPr>
              <w:t>Mutual Funds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9E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2FB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E6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09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77D03299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30A" w14:textId="77777777" w:rsidR="006D6E01" w:rsidRPr="00A26706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Domestic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21E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0C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7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A6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2177E49A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0F8" w14:textId="77777777" w:rsidR="006D6E01" w:rsidRPr="0034680B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i/>
              </w:rPr>
              <w:t xml:space="preserve">     Large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77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AA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814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A3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F0333B" w:rsidRPr="0034680B" w14:paraId="2B47122E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C6" w14:textId="0256F781" w:rsidR="00F0333B" w:rsidRPr="0034680B" w:rsidRDefault="00F0333B" w:rsidP="00031BF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F97" w14:textId="6E069F76" w:rsidR="00F0333B" w:rsidRDefault="00CC3532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</w:t>
            </w:r>
            <w:r w:rsidR="008B1B86">
              <w:rPr>
                <w:rFonts w:ascii="Garamond" w:eastAsia="Garamond" w:hAnsi="Garamond" w:cs="Garamond"/>
              </w:rPr>
              <w:t>0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E84" w14:textId="58E2D30D" w:rsidR="00F0333B" w:rsidRDefault="008B1B86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22.9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5EA" w14:textId="4F15065D" w:rsidR="00F0333B" w:rsidRDefault="00410BB7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9.5</w:t>
            </w:r>
            <w:r w:rsidR="00603604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480" w14:textId="5816CE4A" w:rsidR="00F0333B" w:rsidRDefault="001A2069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410BB7">
              <w:rPr>
                <w:rFonts w:ascii="Garamond" w:eastAsia="Garamond" w:hAnsi="Garamond" w:cs="Garamond"/>
              </w:rPr>
              <w:t>1.4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3D119AF5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B20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52D" w14:textId="4345DB95" w:rsidR="00031BF8" w:rsidRPr="0034680B" w:rsidRDefault="00410BB7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3.6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9B6" w14:textId="295ADC84" w:rsidR="00031BF8" w:rsidRPr="0034680B" w:rsidRDefault="00410BB7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10.8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735" w14:textId="1E5E67CD" w:rsidR="00031BF8" w:rsidRPr="0034680B" w:rsidRDefault="007F3206" w:rsidP="00E4256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7847C6">
              <w:rPr>
                <w:rFonts w:ascii="Garamond" w:eastAsia="Garamond" w:hAnsi="Garamond" w:cs="Garamond"/>
              </w:rPr>
              <w:t>4.6</w:t>
            </w:r>
            <w:r w:rsidR="00C81AE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8CB" w14:textId="05661BD3" w:rsidR="00031BF8" w:rsidRPr="0034680B" w:rsidRDefault="007847C6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8.1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17466872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277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</w:t>
            </w:r>
            <w:r w:rsidRPr="0034680B">
              <w:rPr>
                <w:rFonts w:ascii="Garamond" w:eastAsia="Garamond" w:hAnsi="Garamond" w:cs="Garamond"/>
                <w:i/>
              </w:rPr>
              <w:t>Small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ACA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F04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8CE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433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31BF8" w:rsidRPr="0034680B" w14:paraId="42DD6A6B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E92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083" w14:textId="1EBCE494" w:rsidR="00031BF8" w:rsidRPr="0034680B" w:rsidRDefault="004E5B1A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5.3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148" w14:textId="18ACBE98" w:rsidR="00031BF8" w:rsidRPr="0034680B" w:rsidRDefault="007F3206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4E5B1A">
              <w:rPr>
                <w:rFonts w:ascii="Garamond" w:eastAsia="Garamond" w:hAnsi="Garamond" w:cs="Garamond"/>
              </w:rPr>
              <w:t>5.2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0C5" w14:textId="3F8C0A01" w:rsidR="00031BF8" w:rsidRPr="0034680B" w:rsidRDefault="003E056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7.5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8B2" w14:textId="12FDB5E4" w:rsidR="00031BF8" w:rsidRPr="0034680B" w:rsidRDefault="003E056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6.7</w:t>
            </w:r>
            <w:r w:rsidR="006A308C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6F4CEA" w14:paraId="67226B66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7F9" w14:textId="77777777" w:rsidR="00031BF8" w:rsidRPr="006F4CEA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C6" w14:textId="18BD37A3" w:rsidR="00031BF8" w:rsidRPr="006F4CEA" w:rsidRDefault="003E056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3.8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C5D" w14:textId="65456BB9" w:rsidR="00031BF8" w:rsidRPr="000E58F1" w:rsidRDefault="00D12006" w:rsidP="00031BF8">
            <w:pPr>
              <w:jc w:val="center"/>
              <w:rPr>
                <w:rFonts w:ascii="Garamond" w:eastAsia="Garamond" w:hAnsi="Garamond" w:cs="Garamond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11.6</w:t>
            </w:r>
            <w:r w:rsidR="00031BF8" w:rsidRPr="00942C6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0B0" w14:textId="63902F8F" w:rsidR="00031BF8" w:rsidRPr="006F4CEA" w:rsidRDefault="00D12006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18.8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8E" w14:textId="4157F7C8" w:rsidR="00031BF8" w:rsidRPr="006F4CEA" w:rsidRDefault="00627C04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5.</w:t>
            </w:r>
            <w:r w:rsidR="00D12006">
              <w:rPr>
                <w:rFonts w:ascii="Garamond" w:eastAsia="Garamond" w:hAnsi="Garamond" w:cs="Garamond"/>
              </w:rPr>
              <w:t>2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</w:tr>
    </w:tbl>
    <w:tbl>
      <w:tblPr>
        <w:tblStyle w:val="1"/>
        <w:tblW w:w="1017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710"/>
        <w:gridCol w:w="1800"/>
        <w:gridCol w:w="1890"/>
        <w:gridCol w:w="1980"/>
      </w:tblGrid>
      <w:tr w:rsidR="009E6B7D" w:rsidRPr="006F4CEA" w14:paraId="15BE94FF" w14:textId="77777777" w:rsidTr="00126C45">
        <w:tc>
          <w:tcPr>
            <w:tcW w:w="2790" w:type="dxa"/>
          </w:tcPr>
          <w:p w14:paraId="1BA4DA14" w14:textId="55E90971" w:rsidR="009E6B7D" w:rsidRPr="00A26706" w:rsidRDefault="00A26706" w:rsidP="004B7DA6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International</w:t>
            </w:r>
          </w:p>
        </w:tc>
        <w:tc>
          <w:tcPr>
            <w:tcW w:w="1710" w:type="dxa"/>
          </w:tcPr>
          <w:p w14:paraId="1E4EF53A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5622823E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90" w:type="dxa"/>
          </w:tcPr>
          <w:p w14:paraId="04EB6C01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569B0FEB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9E6B7D" w:rsidRPr="006F4CEA" w14:paraId="30821C7C" w14:textId="77777777" w:rsidTr="00126C45">
        <w:tc>
          <w:tcPr>
            <w:tcW w:w="2790" w:type="dxa"/>
          </w:tcPr>
          <w:p w14:paraId="6B0F6DB8" w14:textId="569226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Europe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49F12A9F" w14:textId="16F74E70" w:rsidR="009E6B7D" w:rsidRPr="000A5ADF" w:rsidRDefault="00D12006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2.6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43FCFC7D" w14:textId="1EA1A900" w:rsidR="009E6B7D" w:rsidRPr="000A5ADF" w:rsidRDefault="00942C75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20.0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5B6F225F" w14:textId="43E275EA" w:rsidR="009E6B7D" w:rsidRPr="000A5ADF" w:rsidRDefault="00942C75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9.8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18683FB" w14:textId="62B39C27" w:rsidR="009E6B7D" w:rsidRPr="000A5ADF" w:rsidRDefault="001E65BD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4.</w:t>
            </w:r>
            <w:r w:rsidR="00942C75">
              <w:rPr>
                <w:rFonts w:ascii="Garamond" w:eastAsia="Garamond" w:hAnsi="Garamond" w:cs="Garamond"/>
              </w:rPr>
              <w:t>8</w:t>
            </w:r>
            <w:r w:rsidR="00BD0DF3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6FAE24A4" w14:textId="77777777" w:rsidTr="00126C45">
        <w:tc>
          <w:tcPr>
            <w:tcW w:w="2790" w:type="dxa"/>
          </w:tcPr>
          <w:p w14:paraId="0A8B94E5" w14:textId="51543987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Latin Am</w:t>
            </w:r>
            <w:r w:rsidR="002B3B64">
              <w:rPr>
                <w:rFonts w:ascii="Garamond" w:eastAsia="Garamond" w:hAnsi="Garamond" w:cs="Garamond"/>
              </w:rPr>
              <w:t>erica</w:t>
            </w:r>
          </w:p>
        </w:tc>
        <w:tc>
          <w:tcPr>
            <w:tcW w:w="1710" w:type="dxa"/>
          </w:tcPr>
          <w:p w14:paraId="27DBD27C" w14:textId="235F6236" w:rsidR="009E6B7D" w:rsidRPr="006F4CEA" w:rsidRDefault="00F072FC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19.3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3726A8DA" w14:textId="76383722" w:rsidR="009E6B7D" w:rsidRPr="006F4CEA" w:rsidRDefault="00F072FC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29.7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612889D0" w14:textId="2EE6EDC9" w:rsidR="009E6B7D" w:rsidRPr="006A0F13" w:rsidRDefault="00F072FC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12.3</w:t>
            </w:r>
            <w:r w:rsidR="002E6C97" w:rsidRPr="006A0F1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B3BC980" w14:textId="1C0410CF" w:rsidR="009E6B7D" w:rsidRPr="006F4CEA" w:rsidRDefault="00335EBD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6.0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5E81B2D4" w14:textId="77777777" w:rsidTr="00126C45">
        <w:trPr>
          <w:trHeight w:val="58"/>
        </w:trPr>
        <w:tc>
          <w:tcPr>
            <w:tcW w:w="2790" w:type="dxa"/>
          </w:tcPr>
          <w:p w14:paraId="06C08C36" w14:textId="3076B45C" w:rsidR="009E6B7D" w:rsidRPr="006F4CEA" w:rsidRDefault="005A32CA" w:rsidP="004B7DA6">
            <w:pPr>
              <w:spacing w:after="0" w:line="240" w:lineRule="auto"/>
            </w:pPr>
            <w:r>
              <w:rPr>
                <w:rFonts w:ascii="Garamond" w:eastAsia="Garamond" w:hAnsi="Garamond" w:cs="Garamond"/>
              </w:rPr>
              <w:t xml:space="preserve">     </w:t>
            </w:r>
            <w:r w:rsidR="009E6B7D" w:rsidRPr="006F4CEA">
              <w:rPr>
                <w:rFonts w:ascii="Garamond" w:eastAsia="Garamond" w:hAnsi="Garamond" w:cs="Garamond"/>
              </w:rPr>
              <w:t>Japan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23CFA4FF" w14:textId="38C2B9EB" w:rsidR="009E6B7D" w:rsidRPr="00CC577E" w:rsidRDefault="007E030F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6.8</w:t>
            </w:r>
            <w:r w:rsidR="009B4BB5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6FF99902" w14:textId="16ABEE0E" w:rsidR="009E6B7D" w:rsidRPr="00CC577E" w:rsidRDefault="00335EBD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19.6</w:t>
            </w:r>
            <w:r w:rsidR="00CF21B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556FE1C7" w14:textId="6FBABD44" w:rsidR="009E6B7D" w:rsidRPr="00CC577E" w:rsidRDefault="00335EB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</w:t>
            </w:r>
            <w:r w:rsidR="004B71D3">
              <w:rPr>
                <w:rFonts w:ascii="Garamond" w:eastAsia="Garamond" w:hAnsi="Garamond" w:cs="Garamond"/>
              </w:rPr>
              <w:t>.8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0357977" w14:textId="7AE3BBA7" w:rsidR="009E6B7D" w:rsidRPr="00CC577E" w:rsidRDefault="002852F8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3.1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081C8C6F" w14:textId="77777777" w:rsidTr="00126C45">
        <w:tc>
          <w:tcPr>
            <w:tcW w:w="2790" w:type="dxa"/>
          </w:tcPr>
          <w:p w14:paraId="30B65EBC" w14:textId="169FC7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Pac</w:t>
            </w:r>
            <w:r w:rsidR="00A26706">
              <w:rPr>
                <w:rFonts w:ascii="Garamond" w:eastAsia="Garamond" w:hAnsi="Garamond" w:cs="Garamond"/>
              </w:rPr>
              <w:t>ific</w:t>
            </w:r>
            <w:r w:rsidRPr="006F4CEA">
              <w:rPr>
                <w:rFonts w:ascii="Garamond" w:eastAsia="Garamond" w:hAnsi="Garamond" w:cs="Garamond"/>
              </w:rPr>
              <w:t xml:space="preserve"> ex J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p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5F5D2577" w14:textId="3F7ACBAE" w:rsidR="009E6B7D" w:rsidRPr="000A5ADF" w:rsidRDefault="002852F8" w:rsidP="00687CD2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-1.5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137337E6" w14:textId="7CAEECE5" w:rsidR="009E6B7D" w:rsidRPr="000A5ADF" w:rsidRDefault="003010A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863D57">
              <w:rPr>
                <w:rFonts w:ascii="Garamond" w:eastAsia="Garamond" w:hAnsi="Garamond" w:cs="Garamond"/>
              </w:rPr>
              <w:t>0.8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46343B16" w14:textId="6631FBB5" w:rsidR="009E6B7D" w:rsidRPr="000A5ADF" w:rsidRDefault="00863D57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CCB8E3C" w14:textId="1815CBEC" w:rsidR="009E6B7D" w:rsidRPr="000A5ADF" w:rsidRDefault="00863D57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03ADB827" w14:textId="77777777" w:rsidTr="00126C45">
        <w:trPr>
          <w:trHeight w:val="296"/>
        </w:trPr>
        <w:tc>
          <w:tcPr>
            <w:tcW w:w="2790" w:type="dxa"/>
          </w:tcPr>
          <w:p w14:paraId="4A4442BC" w14:textId="66403EEC" w:rsidR="009E6B7D" w:rsidRPr="006F4CEA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China </w:t>
            </w:r>
          </w:p>
        </w:tc>
        <w:tc>
          <w:tcPr>
            <w:tcW w:w="1710" w:type="dxa"/>
          </w:tcPr>
          <w:p w14:paraId="37C0F9EB" w14:textId="5C7A332A" w:rsidR="009E6B7D" w:rsidRPr="000A5ADF" w:rsidRDefault="00863D57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-9.8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01407B20" w14:textId="43785F1F" w:rsidR="009E6B7D" w:rsidRPr="000A5ADF" w:rsidRDefault="00483403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863D57">
              <w:rPr>
                <w:rFonts w:ascii="Garamond" w:eastAsia="Garamond" w:hAnsi="Garamond" w:cs="Garamond"/>
              </w:rPr>
              <w:t>1</w:t>
            </w:r>
            <w:r w:rsidR="00806B9D">
              <w:rPr>
                <w:rFonts w:ascii="Garamond" w:eastAsia="Garamond" w:hAnsi="Garamond" w:cs="Garamond"/>
              </w:rPr>
              <w:t>8.</w:t>
            </w:r>
            <w:r w:rsidR="00863D57">
              <w:rPr>
                <w:rFonts w:ascii="Garamond" w:eastAsia="Garamond" w:hAnsi="Garamond" w:cs="Garamond"/>
              </w:rPr>
              <w:t>9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21C02A6E" w14:textId="52B0D9E7" w:rsidR="009E6B7D" w:rsidRPr="000A5ADF" w:rsidRDefault="00482D22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-5.6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4289374" w14:textId="6EA257CC" w:rsidR="009E6B7D" w:rsidRPr="000A5ADF" w:rsidRDefault="001012AF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107795">
              <w:rPr>
                <w:rFonts w:ascii="Garamond" w:eastAsia="Garamond" w:hAnsi="Garamond" w:cs="Garamond"/>
              </w:rPr>
              <w:t>1.</w:t>
            </w:r>
            <w:r w:rsidR="00482D22">
              <w:rPr>
                <w:rFonts w:ascii="Garamond" w:eastAsia="Garamond" w:hAnsi="Garamond" w:cs="Garamond"/>
              </w:rPr>
              <w:t>9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7ACDCD16" w14:textId="77777777" w:rsidTr="00126C45">
        <w:tc>
          <w:tcPr>
            <w:tcW w:w="2790" w:type="dxa"/>
          </w:tcPr>
          <w:p w14:paraId="3A7E5449" w14:textId="08E5D85B" w:rsidR="009E6B7D" w:rsidRPr="0034680B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India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1B743D21" w14:textId="0096E06A" w:rsidR="009E6B7D" w:rsidRPr="00A26706" w:rsidRDefault="00E81235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13.1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5559CED6" w14:textId="0F9374DE" w:rsidR="009E6B7D" w:rsidRPr="00A26706" w:rsidRDefault="00E81235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14.7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7160DC41" w14:textId="37B4A5E2" w:rsidR="009E6B7D" w:rsidRPr="00A26706" w:rsidRDefault="00E81235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18.7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2BEE94C3" w14:textId="7F4E7B5C" w:rsidR="009E6B7D" w:rsidRPr="00A26706" w:rsidRDefault="00E81235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6.4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</w:tr>
    </w:tbl>
    <w:p w14:paraId="34FD7575" w14:textId="752103FC" w:rsidR="00B72428" w:rsidRDefault="00B72428"/>
    <w:tbl>
      <w:tblPr>
        <w:tblStyle w:val="3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800"/>
        <w:gridCol w:w="1710"/>
        <w:gridCol w:w="1980"/>
        <w:gridCol w:w="1980"/>
      </w:tblGrid>
      <w:tr w:rsidR="002D6DE8" w:rsidRPr="0034680B" w14:paraId="397A8FD1" w14:textId="77777777" w:rsidTr="008D02CF">
        <w:trPr>
          <w:trHeight w:val="58"/>
        </w:trPr>
        <w:tc>
          <w:tcPr>
            <w:tcW w:w="2610" w:type="dxa"/>
            <w:tcBorders>
              <w:top w:val="single" w:sz="4" w:space="0" w:color="auto"/>
            </w:tcBorders>
          </w:tcPr>
          <w:p w14:paraId="6FA5BF92" w14:textId="77777777" w:rsidR="002D6DE8" w:rsidRPr="0034680B" w:rsidRDefault="002D6DE8" w:rsidP="0034680B">
            <w:pPr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D177DA" w14:textId="77777777" w:rsidR="0073224F" w:rsidRDefault="002D6DE8" w:rsidP="0034680B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QUARTER Ending 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  <w:p w14:paraId="44B3340F" w14:textId="78A4A7DA" w:rsidR="002D6DE8" w:rsidRPr="0073224F" w:rsidRDefault="0073224F" w:rsidP="0073224F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940589" w14:textId="05C8ABCC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C81AE6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2 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MONTHS Ending</w:t>
            </w:r>
          </w:p>
          <w:p w14:paraId="29E0EC35" w14:textId="53248572" w:rsidR="002D6DE8" w:rsidRPr="0034680B" w:rsidRDefault="0073224F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F632C1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424D1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E17346"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65D6564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34D26F0B" w14:textId="65629EE1" w:rsidR="002D6DE8" w:rsidRPr="0034680B" w:rsidRDefault="002D6DE8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E17346"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E17346"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F2F975E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07FABEE8" w14:textId="1E5857F2" w:rsidR="002D6DE8" w:rsidRPr="0034680B" w:rsidRDefault="00E17346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29446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</w:p>
        </w:tc>
      </w:tr>
    </w:tbl>
    <w:tbl>
      <w:tblPr>
        <w:tblStyle w:val="1"/>
        <w:tblW w:w="1008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10"/>
        <w:gridCol w:w="1980"/>
        <w:gridCol w:w="1980"/>
      </w:tblGrid>
      <w:tr w:rsidR="004E78D2" w:rsidRPr="0034680B" w14:paraId="3995C701" w14:textId="77777777" w:rsidTr="00421B21">
        <w:tc>
          <w:tcPr>
            <w:tcW w:w="2610" w:type="dxa"/>
          </w:tcPr>
          <w:p w14:paraId="2FB86464" w14:textId="77777777" w:rsidR="004E78D2" w:rsidRPr="0034680B" w:rsidRDefault="004E78D2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4FF01B2E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494F9F28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0E99AD82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8A1FDE3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0123ACE6" w14:textId="77777777" w:rsidTr="00421B21">
        <w:tc>
          <w:tcPr>
            <w:tcW w:w="2610" w:type="dxa"/>
          </w:tcPr>
          <w:p w14:paraId="571EF58D" w14:textId="77777777" w:rsidR="0034680B" w:rsidRPr="00A26706" w:rsidRDefault="0034680B" w:rsidP="0034680B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Corporate Bond</w:t>
            </w:r>
          </w:p>
        </w:tc>
        <w:tc>
          <w:tcPr>
            <w:tcW w:w="1800" w:type="dxa"/>
          </w:tcPr>
          <w:p w14:paraId="59BF06DA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1076B0D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46BD5B1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27F1C51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1439DD4F" w14:textId="77777777" w:rsidTr="00421B21">
        <w:tc>
          <w:tcPr>
            <w:tcW w:w="2610" w:type="dxa"/>
          </w:tcPr>
          <w:p w14:paraId="50ACB258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Long</w:t>
            </w:r>
          </w:p>
        </w:tc>
        <w:tc>
          <w:tcPr>
            <w:tcW w:w="1800" w:type="dxa"/>
          </w:tcPr>
          <w:p w14:paraId="0C42BC0E" w14:textId="0EEB5A48" w:rsidR="0034680B" w:rsidRPr="0034680B" w:rsidRDefault="00A1061F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-0.8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77351B1B" w14:textId="35DF90A8" w:rsidR="0034680B" w:rsidRPr="0034680B" w:rsidRDefault="00F94C47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A1061F">
              <w:rPr>
                <w:rFonts w:ascii="Garamond" w:eastAsia="Garamond" w:hAnsi="Garamond" w:cs="Garamond"/>
              </w:rPr>
              <w:t>0</w:t>
            </w:r>
            <w:r w:rsidR="009C5409">
              <w:rPr>
                <w:rFonts w:ascii="Garamond" w:eastAsia="Garamond" w:hAnsi="Garamond" w:cs="Garamond"/>
              </w:rPr>
              <w:t>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B5DD996" w14:textId="76F0350F" w:rsidR="0034680B" w:rsidRPr="0034680B" w:rsidRDefault="00675F7D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EA0CD2">
              <w:rPr>
                <w:rFonts w:ascii="Garamond" w:eastAsia="Garamond" w:hAnsi="Garamond" w:cs="Garamond"/>
              </w:rPr>
              <w:t>6.2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A713637" w14:textId="7534F5E6" w:rsidR="0034680B" w:rsidRPr="0034680B" w:rsidRDefault="009C5409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  <w:r w:rsidR="00EA0CD2">
              <w:rPr>
                <w:rFonts w:ascii="Garamond" w:eastAsia="Garamond" w:hAnsi="Garamond" w:cs="Garamond"/>
              </w:rPr>
              <w:t>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701FB27" w14:textId="77777777" w:rsidTr="00421B21">
        <w:tc>
          <w:tcPr>
            <w:tcW w:w="2610" w:type="dxa"/>
          </w:tcPr>
          <w:p w14:paraId="0AEBE6CF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7025524" w14:textId="468E3C03" w:rsidR="0034680B" w:rsidRPr="0034680B" w:rsidRDefault="00C81AE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EA0CD2">
              <w:rPr>
                <w:rFonts w:ascii="Garamond" w:eastAsia="Garamond" w:hAnsi="Garamond" w:cs="Garamond"/>
              </w:rPr>
              <w:t>-0.8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F88F38F" w14:textId="421EC3D2" w:rsidR="0034680B" w:rsidRPr="0034680B" w:rsidRDefault="00B43F8E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CC4A3C">
              <w:rPr>
                <w:rFonts w:ascii="Garamond" w:eastAsia="Garamond" w:hAnsi="Garamond" w:cs="Garamond"/>
              </w:rPr>
              <w:t>0.9</w:t>
            </w:r>
            <w:r w:rsidR="007504D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3F4989A" w14:textId="68CE5EE3" w:rsidR="0034680B" w:rsidRPr="0034680B" w:rsidRDefault="00043E58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CC4A3C">
              <w:rPr>
                <w:rFonts w:ascii="Garamond" w:eastAsia="Garamond" w:hAnsi="Garamond" w:cs="Garamond"/>
              </w:rPr>
              <w:t>3.8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98F3C1C" w14:textId="39D11B5E" w:rsidR="0034680B" w:rsidRPr="0034680B" w:rsidRDefault="007C245E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</w:t>
            </w:r>
            <w:r w:rsidR="00CC4A3C">
              <w:rPr>
                <w:rFonts w:ascii="Garamond" w:eastAsia="Garamond" w:hAnsi="Garamond" w:cs="Garamond"/>
              </w:rPr>
              <w:t>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251698FB" w14:textId="77777777" w:rsidTr="00421B21">
        <w:trPr>
          <w:trHeight w:val="197"/>
        </w:trPr>
        <w:tc>
          <w:tcPr>
            <w:tcW w:w="2610" w:type="dxa"/>
          </w:tcPr>
          <w:p w14:paraId="620CE01B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22FE5CF4" w14:textId="4E18BFF7" w:rsidR="0034680B" w:rsidRPr="0034680B" w:rsidRDefault="00F74DD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CC4A3C">
              <w:rPr>
                <w:rFonts w:ascii="Garamond" w:eastAsia="Garamond" w:hAnsi="Garamond" w:cs="Garamond"/>
              </w:rPr>
              <w:t>0.1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1340BAC2" w14:textId="26AAD3BE" w:rsidR="0034680B" w:rsidRPr="0034680B" w:rsidRDefault="00682110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5496E35" w14:textId="0D230BB8" w:rsidR="0034680B" w:rsidRPr="0034680B" w:rsidRDefault="00682110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-0.4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D15B6E7" w14:textId="221B367F" w:rsidR="0034680B" w:rsidRPr="0034680B" w:rsidRDefault="003502FD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6FB8ED5" w14:textId="77777777" w:rsidTr="00421B21">
        <w:tc>
          <w:tcPr>
            <w:tcW w:w="2610" w:type="dxa"/>
          </w:tcPr>
          <w:p w14:paraId="6EF79F96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Government Bond</w:t>
            </w:r>
          </w:p>
        </w:tc>
        <w:tc>
          <w:tcPr>
            <w:tcW w:w="1800" w:type="dxa"/>
          </w:tcPr>
          <w:p w14:paraId="2CB2257F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4955311C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6449CCF2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E484E94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41144C28" w14:textId="77777777" w:rsidTr="00421B21">
        <w:tc>
          <w:tcPr>
            <w:tcW w:w="2610" w:type="dxa"/>
          </w:tcPr>
          <w:p w14:paraId="6BA36003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75A73CBC" w14:textId="5DAC2771" w:rsidR="0034680B" w:rsidRPr="008847F9" w:rsidRDefault="00513276" w:rsidP="00274B2C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-2.2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BD1FCFF" w14:textId="5DCACB1F" w:rsidR="0034680B" w:rsidRPr="0034680B" w:rsidRDefault="00D52D60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3502FD">
              <w:rPr>
                <w:rFonts w:ascii="Garamond" w:eastAsia="Garamond" w:hAnsi="Garamond" w:cs="Garamond"/>
              </w:rPr>
              <w:t>7.</w:t>
            </w:r>
            <w:r w:rsidR="00513276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1E3907D" w14:textId="05125C6B" w:rsidR="0034680B" w:rsidRPr="0034680B" w:rsidRDefault="00A94FB5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3502FD">
              <w:rPr>
                <w:rFonts w:ascii="Garamond" w:eastAsia="Garamond" w:hAnsi="Garamond" w:cs="Garamond"/>
              </w:rPr>
              <w:t>1</w:t>
            </w:r>
            <w:r w:rsidR="00513276">
              <w:rPr>
                <w:rFonts w:ascii="Garamond" w:eastAsia="Garamond" w:hAnsi="Garamond" w:cs="Garamond"/>
              </w:rPr>
              <w:t>2.2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22ADAB0" w14:textId="23F2BA42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513276">
              <w:rPr>
                <w:rFonts w:ascii="Garamond" w:eastAsia="Garamond" w:hAnsi="Garamond" w:cs="Garamond"/>
              </w:rPr>
              <w:t>1.3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F73C3C8" w14:textId="77777777" w:rsidTr="00421B21">
        <w:tc>
          <w:tcPr>
            <w:tcW w:w="2610" w:type="dxa"/>
          </w:tcPr>
          <w:p w14:paraId="42BA798B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06D5A044" w14:textId="3F9828DD" w:rsidR="0034680B" w:rsidRPr="0034680B" w:rsidRDefault="00821A97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-1.0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C721137" w14:textId="3CDA9598" w:rsidR="0034680B" w:rsidRPr="0034680B" w:rsidRDefault="008F2202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821A97">
              <w:rPr>
                <w:rFonts w:ascii="Garamond" w:eastAsia="Garamond" w:hAnsi="Garamond" w:cs="Garamond"/>
              </w:rPr>
              <w:t>2.0</w:t>
            </w:r>
            <w:r w:rsidR="0034680B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F0B53E1" w14:textId="4A94CC50" w:rsidR="0034680B" w:rsidRPr="0034680B" w:rsidRDefault="0086205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821A97">
              <w:rPr>
                <w:rFonts w:ascii="Garamond" w:eastAsia="Garamond" w:hAnsi="Garamond" w:cs="Garamond"/>
              </w:rPr>
              <w:t>4.0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09DC3F8" w14:textId="56F63017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077472">
              <w:rPr>
                <w:rFonts w:ascii="Garamond" w:eastAsia="Garamond" w:hAnsi="Garamond" w:cs="Garamond"/>
              </w:rPr>
              <w:t>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18456151" w14:textId="77777777" w:rsidTr="00421B21">
        <w:tc>
          <w:tcPr>
            <w:tcW w:w="2610" w:type="dxa"/>
          </w:tcPr>
          <w:p w14:paraId="572A9C75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18C120C7" w14:textId="1C0340F2" w:rsidR="0034680B" w:rsidRPr="0034680B" w:rsidRDefault="00077472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41337D4" w14:textId="6670BC95" w:rsidR="0034680B" w:rsidRPr="0034680B" w:rsidRDefault="0097310B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A25C25">
              <w:rPr>
                <w:rFonts w:ascii="Garamond" w:eastAsia="Garamond" w:hAnsi="Garamond" w:cs="Garamond"/>
              </w:rPr>
              <w:t>0.</w:t>
            </w:r>
            <w:r w:rsidR="00077472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0518912" w14:textId="78EA912A" w:rsidR="0034680B" w:rsidRPr="0034680B" w:rsidRDefault="00337544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410FFC">
              <w:rPr>
                <w:rFonts w:ascii="Garamond" w:eastAsia="Garamond" w:hAnsi="Garamond" w:cs="Garamond"/>
              </w:rPr>
              <w:t>1.</w:t>
            </w:r>
            <w:r w:rsidR="00664325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3045533" w14:textId="1995A2F6" w:rsidR="0034680B" w:rsidRPr="0034680B" w:rsidRDefault="0097310B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664325">
              <w:rPr>
                <w:rFonts w:ascii="Garamond" w:eastAsia="Garamond" w:hAnsi="Garamond" w:cs="Garamond"/>
              </w:rPr>
              <w:t>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5C073C71" w14:textId="77777777" w:rsidTr="00421B21">
        <w:tc>
          <w:tcPr>
            <w:tcW w:w="2610" w:type="dxa"/>
          </w:tcPr>
          <w:p w14:paraId="38B32775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Municipal Bond</w:t>
            </w:r>
          </w:p>
        </w:tc>
        <w:tc>
          <w:tcPr>
            <w:tcW w:w="1800" w:type="dxa"/>
          </w:tcPr>
          <w:p w14:paraId="4BFD94D6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5A43ADB5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16BDC0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51E5129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591B90B1" w14:textId="77777777" w:rsidTr="00421B21">
        <w:tc>
          <w:tcPr>
            <w:tcW w:w="2610" w:type="dxa"/>
          </w:tcPr>
          <w:p w14:paraId="1CA6921F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3D406549" w14:textId="0CDD8F57" w:rsidR="0034680B" w:rsidRPr="0034680B" w:rsidRDefault="00664325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A7A79EF" w14:textId="76991B76" w:rsidR="0034680B" w:rsidRPr="0034680B" w:rsidRDefault="002949E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7A4AC8C" w14:textId="4CB6887E" w:rsidR="0034680B" w:rsidRPr="00AB2641" w:rsidRDefault="00EC481F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D934B5">
              <w:rPr>
                <w:rFonts w:ascii="Garamond" w:eastAsia="Garamond" w:hAnsi="Garamond" w:cs="Garamond"/>
              </w:rPr>
              <w:t>0.</w:t>
            </w:r>
            <w:r w:rsidR="002949ED">
              <w:rPr>
                <w:rFonts w:ascii="Garamond" w:eastAsia="Garamond" w:hAnsi="Garamond" w:cs="Garamond"/>
              </w:rPr>
              <w:t>8</w:t>
            </w:r>
            <w:r w:rsidR="00D3127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37C7831" w14:textId="2356967E" w:rsidR="0034680B" w:rsidRPr="0034680B" w:rsidRDefault="00D31273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2949ED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FF883DF" w14:textId="77777777" w:rsidTr="00421B21">
        <w:tc>
          <w:tcPr>
            <w:tcW w:w="2610" w:type="dxa"/>
          </w:tcPr>
          <w:p w14:paraId="118ACC8A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4D595BD" w14:textId="62FA0217" w:rsidR="0034680B" w:rsidRPr="0034680B" w:rsidRDefault="00423778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0DE31B3" w14:textId="6EE12DE9" w:rsidR="0034680B" w:rsidRPr="0034680B" w:rsidRDefault="00423778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7258927" w14:textId="053F2AA7" w:rsidR="0034680B" w:rsidRPr="00AB2641" w:rsidRDefault="00423778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AB2641" w:rsidRPr="00AB2641">
              <w:rPr>
                <w:rFonts w:ascii="Garamond" w:eastAsia="Garamond" w:hAnsi="Garamond" w:cs="Garamond"/>
              </w:rPr>
              <w:t>0.</w:t>
            </w:r>
            <w:r>
              <w:rPr>
                <w:rFonts w:ascii="Garamond" w:eastAsia="Garamond" w:hAnsi="Garamond" w:cs="Garamond"/>
              </w:rPr>
              <w:t>5</w:t>
            </w:r>
            <w:r w:rsidR="00892E7A" w:rsidRPr="00AB2641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60B70F1" w14:textId="7B42495A" w:rsidR="0034680B" w:rsidRPr="0034680B" w:rsidRDefault="00AB2641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334755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8F12800" w14:textId="77777777" w:rsidTr="00421B21">
        <w:tc>
          <w:tcPr>
            <w:tcW w:w="2610" w:type="dxa"/>
          </w:tcPr>
          <w:p w14:paraId="7BE7F64C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0CE0BE38" w14:textId="080516A1" w:rsidR="0034680B" w:rsidRPr="0034680B" w:rsidRDefault="00334755" w:rsidP="00705F1C">
            <w:pPr>
              <w:tabs>
                <w:tab w:val="left" w:pos="564"/>
                <w:tab w:val="center" w:pos="682"/>
              </w:tabs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4EE2085" w14:textId="65E4651E" w:rsidR="0034680B" w:rsidRPr="0034680B" w:rsidRDefault="002338F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334755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E624E4E" w14:textId="7ED1B92A" w:rsidR="0034680B" w:rsidRPr="0034680B" w:rsidRDefault="00E12BBD" w:rsidP="002338FD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334755">
              <w:rPr>
                <w:rFonts w:ascii="Garamond" w:eastAsia="Garamond" w:hAnsi="Garamond" w:cs="Garamond"/>
              </w:rPr>
              <w:t>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C62E4D1" w14:textId="19FC33C9" w:rsidR="0034680B" w:rsidRPr="002161DA" w:rsidRDefault="00E12BBD" w:rsidP="002161D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  <w:r w:rsidR="002975E3">
              <w:rPr>
                <w:rFonts w:ascii="Garamond" w:eastAsia="Garamond" w:hAnsi="Garamond" w:cs="Garamond"/>
              </w:rPr>
              <w:t>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</w:tbl>
    <w:p w14:paraId="63B4B7F5" w14:textId="77777777" w:rsidR="00A0422E" w:rsidRDefault="00A0422E" w:rsidP="00307775">
      <w:pPr>
        <w:spacing w:before="100" w:after="280" w:line="240" w:lineRule="auto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784F79F2" w14:textId="1F59604E" w:rsidR="004D1010" w:rsidRDefault="003915C5" w:rsidP="004D1010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  <w:r w:rsidRPr="00022208">
        <w:rPr>
          <w:rFonts w:ascii="Garamond" w:eastAsia="Garamond" w:hAnsi="Garamond" w:cs="Garamond"/>
          <w:b/>
          <w:sz w:val="28"/>
          <w:szCs w:val="28"/>
          <w:u w:val="single"/>
        </w:rPr>
        <w:t>Market Outlook</w:t>
      </w:r>
      <w:r w:rsidR="004D1010" w:rsidRPr="004D1010">
        <w:rPr>
          <w:rFonts w:ascii="Garamond" w:hAnsi="Garamond"/>
          <w:sz w:val="28"/>
          <w:szCs w:val="28"/>
        </w:rPr>
        <w:t xml:space="preserve"> </w:t>
      </w:r>
    </w:p>
    <w:p w14:paraId="3831372D" w14:textId="77777777" w:rsidR="002975E3" w:rsidRDefault="002975E3" w:rsidP="004D1010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</w:p>
    <w:p w14:paraId="29947089" w14:textId="794460F4" w:rsidR="002975E3" w:rsidRPr="00EC17F0" w:rsidRDefault="00510DD5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EC17F0">
        <w:rPr>
          <w:rFonts w:ascii="Garamond" w:hAnsi="Garamond"/>
          <w:sz w:val="24"/>
          <w:szCs w:val="24"/>
        </w:rPr>
        <w:t xml:space="preserve">As noted last </w:t>
      </w:r>
      <w:r w:rsidR="0037095C" w:rsidRPr="00EC17F0">
        <w:rPr>
          <w:rFonts w:ascii="Garamond" w:hAnsi="Garamond"/>
          <w:sz w:val="24"/>
          <w:szCs w:val="24"/>
        </w:rPr>
        <w:t>quarter</w:t>
      </w:r>
      <w:r w:rsidRPr="00EC17F0">
        <w:rPr>
          <w:rFonts w:ascii="Garamond" w:hAnsi="Garamond"/>
          <w:sz w:val="24"/>
          <w:szCs w:val="24"/>
        </w:rPr>
        <w:t>, we remain c</w:t>
      </w:r>
      <w:r w:rsidR="00134497" w:rsidRPr="00EC17F0">
        <w:rPr>
          <w:rFonts w:ascii="Garamond" w:hAnsi="Garamond"/>
          <w:sz w:val="24"/>
          <w:szCs w:val="24"/>
        </w:rPr>
        <w:t xml:space="preserve">autious.  The risk of inflation and recession are still around.  </w:t>
      </w:r>
      <w:r w:rsidR="002F760B" w:rsidRPr="00EC17F0">
        <w:rPr>
          <w:rFonts w:ascii="Garamond" w:hAnsi="Garamond"/>
          <w:sz w:val="24"/>
          <w:szCs w:val="24"/>
        </w:rPr>
        <w:t>Additionally,</w:t>
      </w:r>
      <w:r w:rsidR="00134497" w:rsidRPr="00EC17F0">
        <w:rPr>
          <w:rFonts w:ascii="Garamond" w:hAnsi="Garamond"/>
          <w:sz w:val="24"/>
          <w:szCs w:val="24"/>
        </w:rPr>
        <w:t xml:space="preserve">  </w:t>
      </w:r>
      <w:r w:rsidR="002F760B" w:rsidRPr="00EC17F0">
        <w:rPr>
          <w:rFonts w:ascii="Garamond" w:hAnsi="Garamond"/>
          <w:sz w:val="24"/>
          <w:szCs w:val="24"/>
        </w:rPr>
        <w:t>w</w:t>
      </w:r>
      <w:r w:rsidR="00134497" w:rsidRPr="00EC17F0">
        <w:rPr>
          <w:rFonts w:ascii="Garamond" w:hAnsi="Garamond"/>
          <w:sz w:val="24"/>
          <w:szCs w:val="24"/>
        </w:rPr>
        <w:t>ith the 2024 presidential election nearing,</w:t>
      </w:r>
      <w:r w:rsidR="002F760B" w:rsidRPr="00EC17F0">
        <w:rPr>
          <w:rFonts w:ascii="Garamond" w:hAnsi="Garamond"/>
          <w:sz w:val="24"/>
          <w:szCs w:val="24"/>
        </w:rPr>
        <w:t xml:space="preserve"> it is unlikely that the government will exercise fiscal restraint which will contribute to inflationary pressures and offset the Fed’s efforts</w:t>
      </w:r>
      <w:r w:rsidR="00662715" w:rsidRPr="00EC17F0">
        <w:rPr>
          <w:rFonts w:ascii="Garamond" w:hAnsi="Garamond"/>
          <w:sz w:val="24"/>
          <w:szCs w:val="24"/>
        </w:rPr>
        <w:t>.</w:t>
      </w:r>
    </w:p>
    <w:p w14:paraId="673C9488" w14:textId="77777777" w:rsidR="001219F6" w:rsidRPr="00EC17F0" w:rsidRDefault="001219F6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1C1D3EC3" w14:textId="667201CB" w:rsidR="001219F6" w:rsidRPr="00EC17F0" w:rsidRDefault="001219F6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EC17F0">
        <w:rPr>
          <w:rFonts w:ascii="Garamond" w:hAnsi="Garamond"/>
          <w:sz w:val="24"/>
          <w:szCs w:val="24"/>
        </w:rPr>
        <w:t>Like last quarter, we recommend no new equity investments now.  Any new investment funds or reinvestment funds should go into short or possibly intermediate term fixed income instruments</w:t>
      </w:r>
      <w:r w:rsidR="0037095C" w:rsidRPr="00EC17F0">
        <w:rPr>
          <w:rFonts w:ascii="Garamond" w:hAnsi="Garamond"/>
          <w:sz w:val="24"/>
          <w:szCs w:val="24"/>
        </w:rPr>
        <w:t>, 9 – 12 month CDs carry attractive annualized yield</w:t>
      </w:r>
      <w:r w:rsidR="002F760B" w:rsidRPr="00EC17F0">
        <w:rPr>
          <w:rFonts w:ascii="Garamond" w:hAnsi="Garamond"/>
          <w:sz w:val="24"/>
          <w:szCs w:val="24"/>
        </w:rPr>
        <w:t>s ranging between 5.0% and 5.3%</w:t>
      </w:r>
      <w:r w:rsidR="0037095C" w:rsidRPr="00EC17F0">
        <w:rPr>
          <w:rFonts w:ascii="Garamond" w:hAnsi="Garamond"/>
          <w:sz w:val="24"/>
          <w:szCs w:val="24"/>
        </w:rPr>
        <w:t>.</w:t>
      </w:r>
    </w:p>
    <w:p w14:paraId="42D05D70" w14:textId="659C3402" w:rsidR="00B00359" w:rsidRPr="00EC17F0" w:rsidRDefault="00B00359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520D3063" w14:textId="5F062426" w:rsidR="0007783A" w:rsidRPr="00105EC3" w:rsidRDefault="0007783A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3D9BC11A" w14:textId="07E7D81C" w:rsidR="00344D97" w:rsidRPr="00105EC3" w:rsidRDefault="00344D97" w:rsidP="00307775">
      <w:pPr>
        <w:spacing w:before="100" w:after="280" w:line="240" w:lineRule="auto"/>
        <w:contextualSpacing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645A5DF2" w14:textId="77777777" w:rsidR="00344D97" w:rsidRDefault="00344D97" w:rsidP="00307775">
      <w:pPr>
        <w:spacing w:before="100" w:after="280" w:line="240" w:lineRule="auto"/>
        <w:contextualSpacing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11272CB4" w14:textId="7DE6E712" w:rsidR="009D638B" w:rsidRPr="00DA5208" w:rsidRDefault="001B21E4" w:rsidP="009D638B">
      <w:pPr>
        <w:spacing w:after="0" w:line="240" w:lineRule="auto"/>
        <w:jc w:val="right"/>
        <w:rPr>
          <w:b/>
          <w:sz w:val="24"/>
          <w:szCs w:val="24"/>
        </w:rPr>
      </w:pPr>
      <w:r w:rsidRPr="00DA5208">
        <w:rPr>
          <w:rFonts w:ascii="Garamond" w:eastAsia="Garamond" w:hAnsi="Garamond" w:cs="Garamond"/>
          <w:b/>
          <w:sz w:val="24"/>
          <w:szCs w:val="24"/>
        </w:rPr>
        <w:t>MSM FINANCIAL STRATEGIES</w:t>
      </w:r>
    </w:p>
    <w:p w14:paraId="26EAA319" w14:textId="1CBA5395" w:rsidR="0090706C" w:rsidRPr="00DA5208" w:rsidRDefault="002975E3" w:rsidP="00FF300B">
      <w:pPr>
        <w:spacing w:after="0" w:line="240" w:lineRule="auto"/>
        <w:ind w:left="79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July 10</w:t>
      </w:r>
      <w:r w:rsidR="00FF300B">
        <w:rPr>
          <w:rFonts w:ascii="Garamond" w:eastAsia="Garamond" w:hAnsi="Garamond" w:cs="Garamond"/>
          <w:b/>
          <w:sz w:val="24"/>
          <w:szCs w:val="24"/>
        </w:rPr>
        <w:t xml:space="preserve">, </w:t>
      </w:r>
      <w:r w:rsidR="003915C5" w:rsidRPr="00DA5208">
        <w:rPr>
          <w:rFonts w:ascii="Garamond" w:eastAsia="Garamond" w:hAnsi="Garamond" w:cs="Garamond"/>
          <w:b/>
          <w:sz w:val="24"/>
          <w:szCs w:val="24"/>
        </w:rPr>
        <w:t>20</w:t>
      </w:r>
      <w:r w:rsidR="00C97BF1" w:rsidRPr="00DA5208">
        <w:rPr>
          <w:rFonts w:ascii="Garamond" w:eastAsia="Garamond" w:hAnsi="Garamond" w:cs="Garamond"/>
          <w:b/>
          <w:sz w:val="24"/>
          <w:szCs w:val="24"/>
        </w:rPr>
        <w:t>2</w:t>
      </w:r>
      <w:r w:rsidR="005A680D">
        <w:rPr>
          <w:rFonts w:ascii="Garamond" w:eastAsia="Garamond" w:hAnsi="Garamond" w:cs="Garamond"/>
          <w:b/>
          <w:sz w:val="24"/>
          <w:szCs w:val="24"/>
        </w:rPr>
        <w:t>3</w:t>
      </w:r>
    </w:p>
    <w:p w14:paraId="127FC848" w14:textId="1E294047" w:rsidR="0052480B" w:rsidRPr="0092215C" w:rsidRDefault="003915C5">
      <w:pPr>
        <w:spacing w:line="240" w:lineRule="auto"/>
        <w:jc w:val="both"/>
        <w:rPr>
          <w:i/>
          <w:sz w:val="16"/>
          <w:szCs w:val="16"/>
        </w:rPr>
      </w:pPr>
      <w:r w:rsidRPr="0092215C">
        <w:rPr>
          <w:rFonts w:ascii="Garamond" w:eastAsia="Garamond" w:hAnsi="Garamond" w:cs="Garamond"/>
          <w:i/>
          <w:sz w:val="16"/>
          <w:szCs w:val="16"/>
        </w:rPr>
        <w:t>@Copyright 20</w:t>
      </w:r>
      <w:r w:rsidR="00C97BF1">
        <w:rPr>
          <w:rFonts w:ascii="Garamond" w:eastAsia="Garamond" w:hAnsi="Garamond" w:cs="Garamond"/>
          <w:i/>
          <w:sz w:val="16"/>
          <w:szCs w:val="16"/>
        </w:rPr>
        <w:t>2</w:t>
      </w:r>
      <w:r w:rsidR="000A1A28">
        <w:rPr>
          <w:rFonts w:ascii="Garamond" w:eastAsia="Garamond" w:hAnsi="Garamond" w:cs="Garamond"/>
          <w:i/>
          <w:sz w:val="16"/>
          <w:szCs w:val="16"/>
        </w:rPr>
        <w:t>3</w:t>
      </w:r>
      <w:r w:rsidR="001B21E4" w:rsidRPr="0092215C">
        <w:rPr>
          <w:rFonts w:ascii="Garamond" w:eastAsia="Garamond" w:hAnsi="Garamond" w:cs="Garamond"/>
          <w:i/>
          <w:sz w:val="16"/>
          <w:szCs w:val="16"/>
        </w:rPr>
        <w:t xml:space="preserve"> MSM Financial Strategies</w:t>
      </w:r>
    </w:p>
    <w:sectPr w:rsidR="0052480B" w:rsidRPr="0092215C" w:rsidSect="00AD6F97">
      <w:headerReference w:type="default" r:id="rId10"/>
      <w:pgSz w:w="12240" w:h="15840" w:code="1"/>
      <w:pgMar w:top="864" w:right="1440" w:bottom="864" w:left="144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E8D6" w14:textId="77777777" w:rsidR="00A71B9B" w:rsidRDefault="00A71B9B">
      <w:pPr>
        <w:spacing w:after="0" w:line="240" w:lineRule="auto"/>
      </w:pPr>
      <w:r>
        <w:separator/>
      </w:r>
    </w:p>
  </w:endnote>
  <w:endnote w:type="continuationSeparator" w:id="0">
    <w:p w14:paraId="1699197E" w14:textId="77777777" w:rsidR="00A71B9B" w:rsidRDefault="00A7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B331" w14:textId="77777777" w:rsidR="00A71B9B" w:rsidRDefault="00A71B9B">
      <w:pPr>
        <w:spacing w:after="0" w:line="240" w:lineRule="auto"/>
      </w:pPr>
      <w:r>
        <w:separator/>
      </w:r>
    </w:p>
  </w:footnote>
  <w:footnote w:type="continuationSeparator" w:id="0">
    <w:p w14:paraId="7499460B" w14:textId="77777777" w:rsidR="00A71B9B" w:rsidRDefault="00A7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01D" w14:textId="397CAE64" w:rsidR="003F4568" w:rsidRPr="00E0186C" w:rsidRDefault="003F4568" w:rsidP="00E0186C">
    <w:pPr>
      <w:pStyle w:val="Title"/>
      <w:rPr>
        <w:rFonts w:ascii="Garamond" w:eastAsia="Garamond" w:hAnsi="Garamond" w:cs="Garamond"/>
        <w:sz w:val="32"/>
        <w:szCs w:val="32"/>
      </w:rPr>
    </w:pPr>
    <w:r>
      <w:rPr>
        <w:rFonts w:ascii="Garamond" w:eastAsia="Garamond" w:hAnsi="Garamond" w:cs="Garamond"/>
        <w:sz w:val="32"/>
        <w:szCs w:val="32"/>
      </w:rPr>
      <w:t>S</w:t>
    </w:r>
    <w:r w:rsidR="0073224F">
      <w:rPr>
        <w:rFonts w:ascii="Garamond" w:eastAsia="Garamond" w:hAnsi="Garamond" w:cs="Garamond"/>
        <w:sz w:val="32"/>
        <w:szCs w:val="32"/>
      </w:rPr>
      <w:t xml:space="preserve">econd </w:t>
    </w:r>
    <w:r w:rsidR="00E854D4" w:rsidRPr="00022208">
      <w:rPr>
        <w:rFonts w:ascii="Garamond" w:eastAsia="Garamond" w:hAnsi="Garamond" w:cs="Garamond"/>
        <w:sz w:val="32"/>
        <w:szCs w:val="32"/>
      </w:rPr>
      <w:t>Quarter 20</w:t>
    </w:r>
    <w:r w:rsidR="00EC1D61">
      <w:rPr>
        <w:rFonts w:ascii="Garamond" w:eastAsia="Garamond" w:hAnsi="Garamond" w:cs="Garamond"/>
        <w:sz w:val="32"/>
        <w:szCs w:val="32"/>
      </w:rPr>
      <w:t>2</w:t>
    </w:r>
    <w:r w:rsidR="0029446C">
      <w:rPr>
        <w:rFonts w:ascii="Garamond" w:eastAsia="Garamond" w:hAnsi="Garamond" w:cs="Garamond"/>
        <w:sz w:val="32"/>
        <w:szCs w:val="32"/>
      </w:rPr>
      <w:t>3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Review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and Outlook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B"/>
    <w:rsid w:val="00000931"/>
    <w:rsid w:val="00004577"/>
    <w:rsid w:val="000048A3"/>
    <w:rsid w:val="00005C3D"/>
    <w:rsid w:val="00011C7D"/>
    <w:rsid w:val="00011D57"/>
    <w:rsid w:val="0001224C"/>
    <w:rsid w:val="00012400"/>
    <w:rsid w:val="00012D31"/>
    <w:rsid w:val="00013036"/>
    <w:rsid w:val="00014F60"/>
    <w:rsid w:val="00016F97"/>
    <w:rsid w:val="00017527"/>
    <w:rsid w:val="000208E7"/>
    <w:rsid w:val="00021818"/>
    <w:rsid w:val="00022208"/>
    <w:rsid w:val="00022438"/>
    <w:rsid w:val="00022C99"/>
    <w:rsid w:val="00023E4A"/>
    <w:rsid w:val="00025BC2"/>
    <w:rsid w:val="00031490"/>
    <w:rsid w:val="00031BF8"/>
    <w:rsid w:val="000355F5"/>
    <w:rsid w:val="00036F29"/>
    <w:rsid w:val="00040BDA"/>
    <w:rsid w:val="00041997"/>
    <w:rsid w:val="000435EB"/>
    <w:rsid w:val="00043E58"/>
    <w:rsid w:val="00044A48"/>
    <w:rsid w:val="00044CBF"/>
    <w:rsid w:val="00046110"/>
    <w:rsid w:val="0005098A"/>
    <w:rsid w:val="00050BF4"/>
    <w:rsid w:val="000516FE"/>
    <w:rsid w:val="000522AE"/>
    <w:rsid w:val="00053987"/>
    <w:rsid w:val="00056425"/>
    <w:rsid w:val="00056AC9"/>
    <w:rsid w:val="0005746D"/>
    <w:rsid w:val="00061A2D"/>
    <w:rsid w:val="000624CC"/>
    <w:rsid w:val="00063352"/>
    <w:rsid w:val="00065D27"/>
    <w:rsid w:val="000666ED"/>
    <w:rsid w:val="0007008F"/>
    <w:rsid w:val="00071DEF"/>
    <w:rsid w:val="000722E5"/>
    <w:rsid w:val="00077472"/>
    <w:rsid w:val="0007783A"/>
    <w:rsid w:val="00080F39"/>
    <w:rsid w:val="00085B57"/>
    <w:rsid w:val="00087BFD"/>
    <w:rsid w:val="0009064D"/>
    <w:rsid w:val="0009286C"/>
    <w:rsid w:val="000934DF"/>
    <w:rsid w:val="000948A6"/>
    <w:rsid w:val="000955FA"/>
    <w:rsid w:val="00096061"/>
    <w:rsid w:val="000969C3"/>
    <w:rsid w:val="000A0E2F"/>
    <w:rsid w:val="000A193F"/>
    <w:rsid w:val="000A1A28"/>
    <w:rsid w:val="000A5ADF"/>
    <w:rsid w:val="000A60AA"/>
    <w:rsid w:val="000A722D"/>
    <w:rsid w:val="000B0276"/>
    <w:rsid w:val="000B1B9E"/>
    <w:rsid w:val="000B2B7F"/>
    <w:rsid w:val="000B2E0F"/>
    <w:rsid w:val="000B47C2"/>
    <w:rsid w:val="000B5A30"/>
    <w:rsid w:val="000B755C"/>
    <w:rsid w:val="000C0307"/>
    <w:rsid w:val="000C06CF"/>
    <w:rsid w:val="000C0C2B"/>
    <w:rsid w:val="000C0FBE"/>
    <w:rsid w:val="000C1DAC"/>
    <w:rsid w:val="000C2F16"/>
    <w:rsid w:val="000C333E"/>
    <w:rsid w:val="000C5431"/>
    <w:rsid w:val="000C6FA4"/>
    <w:rsid w:val="000D3031"/>
    <w:rsid w:val="000D3317"/>
    <w:rsid w:val="000D40E6"/>
    <w:rsid w:val="000D6EA0"/>
    <w:rsid w:val="000E0274"/>
    <w:rsid w:val="000E1BC1"/>
    <w:rsid w:val="000E39CA"/>
    <w:rsid w:val="000E3A53"/>
    <w:rsid w:val="000E56AF"/>
    <w:rsid w:val="000E58F1"/>
    <w:rsid w:val="000E5DB9"/>
    <w:rsid w:val="000E7EE5"/>
    <w:rsid w:val="000F4246"/>
    <w:rsid w:val="000F4AA9"/>
    <w:rsid w:val="000F5D82"/>
    <w:rsid w:val="000F6AB2"/>
    <w:rsid w:val="000F781C"/>
    <w:rsid w:val="001012AF"/>
    <w:rsid w:val="00102559"/>
    <w:rsid w:val="00103138"/>
    <w:rsid w:val="0010480C"/>
    <w:rsid w:val="00105EC3"/>
    <w:rsid w:val="00107795"/>
    <w:rsid w:val="001078CD"/>
    <w:rsid w:val="00114AE4"/>
    <w:rsid w:val="00116EC0"/>
    <w:rsid w:val="00120A92"/>
    <w:rsid w:val="001219F6"/>
    <w:rsid w:val="001221DB"/>
    <w:rsid w:val="00124D05"/>
    <w:rsid w:val="00124F15"/>
    <w:rsid w:val="00125B51"/>
    <w:rsid w:val="00125DDB"/>
    <w:rsid w:val="00125ED4"/>
    <w:rsid w:val="00126C45"/>
    <w:rsid w:val="0013042A"/>
    <w:rsid w:val="00130558"/>
    <w:rsid w:val="001320C4"/>
    <w:rsid w:val="00132C8A"/>
    <w:rsid w:val="00133447"/>
    <w:rsid w:val="00134497"/>
    <w:rsid w:val="00134CB9"/>
    <w:rsid w:val="001408CE"/>
    <w:rsid w:val="001424F0"/>
    <w:rsid w:val="00142DF1"/>
    <w:rsid w:val="00145019"/>
    <w:rsid w:val="00147632"/>
    <w:rsid w:val="00147F43"/>
    <w:rsid w:val="00150372"/>
    <w:rsid w:val="0015094E"/>
    <w:rsid w:val="001524E9"/>
    <w:rsid w:val="001533F5"/>
    <w:rsid w:val="001535A1"/>
    <w:rsid w:val="00155806"/>
    <w:rsid w:val="0015635D"/>
    <w:rsid w:val="00163097"/>
    <w:rsid w:val="00163F6C"/>
    <w:rsid w:val="001665E1"/>
    <w:rsid w:val="00170F51"/>
    <w:rsid w:val="00172593"/>
    <w:rsid w:val="0017598C"/>
    <w:rsid w:val="0017624C"/>
    <w:rsid w:val="00176984"/>
    <w:rsid w:val="001828D8"/>
    <w:rsid w:val="00184231"/>
    <w:rsid w:val="001851D8"/>
    <w:rsid w:val="00186E47"/>
    <w:rsid w:val="00187EB7"/>
    <w:rsid w:val="00190358"/>
    <w:rsid w:val="00191C19"/>
    <w:rsid w:val="00195402"/>
    <w:rsid w:val="001A01EF"/>
    <w:rsid w:val="001A1D6F"/>
    <w:rsid w:val="001A2069"/>
    <w:rsid w:val="001A4366"/>
    <w:rsid w:val="001A5FDC"/>
    <w:rsid w:val="001A6AB6"/>
    <w:rsid w:val="001A7647"/>
    <w:rsid w:val="001B21E4"/>
    <w:rsid w:val="001B2913"/>
    <w:rsid w:val="001B3F20"/>
    <w:rsid w:val="001B5228"/>
    <w:rsid w:val="001B710C"/>
    <w:rsid w:val="001C0C33"/>
    <w:rsid w:val="001C29C6"/>
    <w:rsid w:val="001C3093"/>
    <w:rsid w:val="001C43E4"/>
    <w:rsid w:val="001C5DC2"/>
    <w:rsid w:val="001C73A3"/>
    <w:rsid w:val="001D1D8D"/>
    <w:rsid w:val="001D2C58"/>
    <w:rsid w:val="001D2F06"/>
    <w:rsid w:val="001D5348"/>
    <w:rsid w:val="001D57FD"/>
    <w:rsid w:val="001D5F76"/>
    <w:rsid w:val="001D6C96"/>
    <w:rsid w:val="001D6E15"/>
    <w:rsid w:val="001E24C0"/>
    <w:rsid w:val="001E40BF"/>
    <w:rsid w:val="001E4125"/>
    <w:rsid w:val="001E45EE"/>
    <w:rsid w:val="001E5A6A"/>
    <w:rsid w:val="001E632D"/>
    <w:rsid w:val="001E65BD"/>
    <w:rsid w:val="001F22D5"/>
    <w:rsid w:val="001F47A0"/>
    <w:rsid w:val="001F4CAC"/>
    <w:rsid w:val="001F64F2"/>
    <w:rsid w:val="001F6A82"/>
    <w:rsid w:val="001F6F06"/>
    <w:rsid w:val="001F77BF"/>
    <w:rsid w:val="00200487"/>
    <w:rsid w:val="00203DF5"/>
    <w:rsid w:val="0020441A"/>
    <w:rsid w:val="00204950"/>
    <w:rsid w:val="002059DC"/>
    <w:rsid w:val="00205F8B"/>
    <w:rsid w:val="00207C56"/>
    <w:rsid w:val="00210494"/>
    <w:rsid w:val="00210F96"/>
    <w:rsid w:val="00210FCC"/>
    <w:rsid w:val="002132C6"/>
    <w:rsid w:val="00213E7E"/>
    <w:rsid w:val="002147B4"/>
    <w:rsid w:val="00215295"/>
    <w:rsid w:val="00215D2B"/>
    <w:rsid w:val="002161DA"/>
    <w:rsid w:val="00221176"/>
    <w:rsid w:val="00221365"/>
    <w:rsid w:val="00221888"/>
    <w:rsid w:val="00223190"/>
    <w:rsid w:val="0022359B"/>
    <w:rsid w:val="002301ED"/>
    <w:rsid w:val="0023249D"/>
    <w:rsid w:val="002338FD"/>
    <w:rsid w:val="00234900"/>
    <w:rsid w:val="00236763"/>
    <w:rsid w:val="002369CF"/>
    <w:rsid w:val="00237BCD"/>
    <w:rsid w:val="00240066"/>
    <w:rsid w:val="0024236A"/>
    <w:rsid w:val="0024336A"/>
    <w:rsid w:val="0024364A"/>
    <w:rsid w:val="00243C84"/>
    <w:rsid w:val="0025038E"/>
    <w:rsid w:val="00252A22"/>
    <w:rsid w:val="00256AC6"/>
    <w:rsid w:val="00261112"/>
    <w:rsid w:val="00261830"/>
    <w:rsid w:val="002621C7"/>
    <w:rsid w:val="00262DE4"/>
    <w:rsid w:val="00272A32"/>
    <w:rsid w:val="00272D0E"/>
    <w:rsid w:val="00273154"/>
    <w:rsid w:val="00273F30"/>
    <w:rsid w:val="00274B2C"/>
    <w:rsid w:val="00280CEF"/>
    <w:rsid w:val="002852F8"/>
    <w:rsid w:val="0028603C"/>
    <w:rsid w:val="002862BF"/>
    <w:rsid w:val="0029090B"/>
    <w:rsid w:val="00291212"/>
    <w:rsid w:val="0029446C"/>
    <w:rsid w:val="002949ED"/>
    <w:rsid w:val="00294DD8"/>
    <w:rsid w:val="0029501D"/>
    <w:rsid w:val="00296A66"/>
    <w:rsid w:val="002972CE"/>
    <w:rsid w:val="002975E3"/>
    <w:rsid w:val="002A002C"/>
    <w:rsid w:val="002A003A"/>
    <w:rsid w:val="002A0277"/>
    <w:rsid w:val="002A202E"/>
    <w:rsid w:val="002A6C3D"/>
    <w:rsid w:val="002B25CF"/>
    <w:rsid w:val="002B2A62"/>
    <w:rsid w:val="002B3B64"/>
    <w:rsid w:val="002B4A90"/>
    <w:rsid w:val="002B4B28"/>
    <w:rsid w:val="002B6B1D"/>
    <w:rsid w:val="002C0726"/>
    <w:rsid w:val="002C2DE8"/>
    <w:rsid w:val="002C512D"/>
    <w:rsid w:val="002C65E4"/>
    <w:rsid w:val="002D17BE"/>
    <w:rsid w:val="002D26EB"/>
    <w:rsid w:val="002D302A"/>
    <w:rsid w:val="002D48AF"/>
    <w:rsid w:val="002D538A"/>
    <w:rsid w:val="002D6711"/>
    <w:rsid w:val="002D67DC"/>
    <w:rsid w:val="002D6DE8"/>
    <w:rsid w:val="002E0280"/>
    <w:rsid w:val="002E198A"/>
    <w:rsid w:val="002E39F6"/>
    <w:rsid w:val="002E6A28"/>
    <w:rsid w:val="002E6C97"/>
    <w:rsid w:val="002F0046"/>
    <w:rsid w:val="002F196F"/>
    <w:rsid w:val="002F4CF6"/>
    <w:rsid w:val="002F68DA"/>
    <w:rsid w:val="002F760B"/>
    <w:rsid w:val="002F7E05"/>
    <w:rsid w:val="003010A0"/>
    <w:rsid w:val="00302ACC"/>
    <w:rsid w:val="00303A2D"/>
    <w:rsid w:val="00304AB8"/>
    <w:rsid w:val="00305448"/>
    <w:rsid w:val="00305FAC"/>
    <w:rsid w:val="003073E9"/>
    <w:rsid w:val="00307775"/>
    <w:rsid w:val="00307A6A"/>
    <w:rsid w:val="00307C1F"/>
    <w:rsid w:val="00311041"/>
    <w:rsid w:val="00311E21"/>
    <w:rsid w:val="00315C56"/>
    <w:rsid w:val="00315F56"/>
    <w:rsid w:val="003169D0"/>
    <w:rsid w:val="00317BA9"/>
    <w:rsid w:val="00317FE1"/>
    <w:rsid w:val="003223FE"/>
    <w:rsid w:val="003278E9"/>
    <w:rsid w:val="0033110B"/>
    <w:rsid w:val="00331DE9"/>
    <w:rsid w:val="00334755"/>
    <w:rsid w:val="00335EBD"/>
    <w:rsid w:val="00335EFA"/>
    <w:rsid w:val="00337544"/>
    <w:rsid w:val="00337855"/>
    <w:rsid w:val="00337DAB"/>
    <w:rsid w:val="00341110"/>
    <w:rsid w:val="003437F9"/>
    <w:rsid w:val="003448B9"/>
    <w:rsid w:val="00344948"/>
    <w:rsid w:val="00344D97"/>
    <w:rsid w:val="003453F8"/>
    <w:rsid w:val="003464AF"/>
    <w:rsid w:val="0034680B"/>
    <w:rsid w:val="003502FD"/>
    <w:rsid w:val="0035205D"/>
    <w:rsid w:val="00352C30"/>
    <w:rsid w:val="003566D2"/>
    <w:rsid w:val="00356CB2"/>
    <w:rsid w:val="00360E9A"/>
    <w:rsid w:val="00365C8C"/>
    <w:rsid w:val="00367344"/>
    <w:rsid w:val="0036754C"/>
    <w:rsid w:val="0037061B"/>
    <w:rsid w:val="0037095C"/>
    <w:rsid w:val="003718AB"/>
    <w:rsid w:val="003737A4"/>
    <w:rsid w:val="00375249"/>
    <w:rsid w:val="00375924"/>
    <w:rsid w:val="00375981"/>
    <w:rsid w:val="0037654D"/>
    <w:rsid w:val="00377856"/>
    <w:rsid w:val="003804F8"/>
    <w:rsid w:val="00381CC1"/>
    <w:rsid w:val="0038408D"/>
    <w:rsid w:val="00384963"/>
    <w:rsid w:val="0038597A"/>
    <w:rsid w:val="003863CB"/>
    <w:rsid w:val="00387CD0"/>
    <w:rsid w:val="003915C5"/>
    <w:rsid w:val="00393280"/>
    <w:rsid w:val="0039439A"/>
    <w:rsid w:val="00394833"/>
    <w:rsid w:val="00396214"/>
    <w:rsid w:val="003A0380"/>
    <w:rsid w:val="003A0DC3"/>
    <w:rsid w:val="003A5DEC"/>
    <w:rsid w:val="003A765A"/>
    <w:rsid w:val="003A76DD"/>
    <w:rsid w:val="003B6D55"/>
    <w:rsid w:val="003B7BD4"/>
    <w:rsid w:val="003B7F70"/>
    <w:rsid w:val="003C0BA7"/>
    <w:rsid w:val="003C0D8B"/>
    <w:rsid w:val="003C166D"/>
    <w:rsid w:val="003C1C7A"/>
    <w:rsid w:val="003C2B10"/>
    <w:rsid w:val="003C2E65"/>
    <w:rsid w:val="003C4434"/>
    <w:rsid w:val="003D2531"/>
    <w:rsid w:val="003D29D2"/>
    <w:rsid w:val="003E056F"/>
    <w:rsid w:val="003E138E"/>
    <w:rsid w:val="003E2A44"/>
    <w:rsid w:val="003E64D8"/>
    <w:rsid w:val="003F17B8"/>
    <w:rsid w:val="003F2CAA"/>
    <w:rsid w:val="003F3965"/>
    <w:rsid w:val="003F4568"/>
    <w:rsid w:val="003F4B46"/>
    <w:rsid w:val="00402452"/>
    <w:rsid w:val="00403CF4"/>
    <w:rsid w:val="004043A4"/>
    <w:rsid w:val="00404EB8"/>
    <w:rsid w:val="00407BA7"/>
    <w:rsid w:val="00410BB7"/>
    <w:rsid w:val="00410FFC"/>
    <w:rsid w:val="00411396"/>
    <w:rsid w:val="00411DBA"/>
    <w:rsid w:val="00413991"/>
    <w:rsid w:val="00413D7D"/>
    <w:rsid w:val="0041420B"/>
    <w:rsid w:val="00416EF8"/>
    <w:rsid w:val="0041715F"/>
    <w:rsid w:val="004174EC"/>
    <w:rsid w:val="00420022"/>
    <w:rsid w:val="00420923"/>
    <w:rsid w:val="0042186D"/>
    <w:rsid w:val="00421B21"/>
    <w:rsid w:val="00421F4D"/>
    <w:rsid w:val="00423778"/>
    <w:rsid w:val="00424CC9"/>
    <w:rsid w:val="00424D1C"/>
    <w:rsid w:val="00425259"/>
    <w:rsid w:val="00425851"/>
    <w:rsid w:val="00426D93"/>
    <w:rsid w:val="0043405F"/>
    <w:rsid w:val="00434A3A"/>
    <w:rsid w:val="0043563C"/>
    <w:rsid w:val="00436076"/>
    <w:rsid w:val="00437BAB"/>
    <w:rsid w:val="004415D7"/>
    <w:rsid w:val="0044401B"/>
    <w:rsid w:val="00446CD6"/>
    <w:rsid w:val="0044786D"/>
    <w:rsid w:val="0045017A"/>
    <w:rsid w:val="0045199A"/>
    <w:rsid w:val="00451A8C"/>
    <w:rsid w:val="00451B6E"/>
    <w:rsid w:val="00451FA7"/>
    <w:rsid w:val="00452ACD"/>
    <w:rsid w:val="004541BD"/>
    <w:rsid w:val="00456356"/>
    <w:rsid w:val="00456ED7"/>
    <w:rsid w:val="00456FEC"/>
    <w:rsid w:val="00457FD7"/>
    <w:rsid w:val="004602A6"/>
    <w:rsid w:val="004605BE"/>
    <w:rsid w:val="0046219F"/>
    <w:rsid w:val="00463E69"/>
    <w:rsid w:val="004654F9"/>
    <w:rsid w:val="004714B3"/>
    <w:rsid w:val="0047184C"/>
    <w:rsid w:val="004718EF"/>
    <w:rsid w:val="00472F63"/>
    <w:rsid w:val="00481084"/>
    <w:rsid w:val="004814D2"/>
    <w:rsid w:val="0048224B"/>
    <w:rsid w:val="0048290A"/>
    <w:rsid w:val="00482AE2"/>
    <w:rsid w:val="00482D22"/>
    <w:rsid w:val="00483403"/>
    <w:rsid w:val="0049134F"/>
    <w:rsid w:val="004935C5"/>
    <w:rsid w:val="00495876"/>
    <w:rsid w:val="00495B96"/>
    <w:rsid w:val="004961F9"/>
    <w:rsid w:val="00496435"/>
    <w:rsid w:val="004965DD"/>
    <w:rsid w:val="004A05C2"/>
    <w:rsid w:val="004A0D06"/>
    <w:rsid w:val="004A4223"/>
    <w:rsid w:val="004A53A7"/>
    <w:rsid w:val="004A73AF"/>
    <w:rsid w:val="004B0B65"/>
    <w:rsid w:val="004B28F8"/>
    <w:rsid w:val="004B37CA"/>
    <w:rsid w:val="004B453C"/>
    <w:rsid w:val="004B5E57"/>
    <w:rsid w:val="004B71D3"/>
    <w:rsid w:val="004B7629"/>
    <w:rsid w:val="004C1A46"/>
    <w:rsid w:val="004C2E63"/>
    <w:rsid w:val="004C3C5D"/>
    <w:rsid w:val="004C4200"/>
    <w:rsid w:val="004C53AA"/>
    <w:rsid w:val="004C6A13"/>
    <w:rsid w:val="004D0D29"/>
    <w:rsid w:val="004D1010"/>
    <w:rsid w:val="004D296D"/>
    <w:rsid w:val="004D29D0"/>
    <w:rsid w:val="004D3CE1"/>
    <w:rsid w:val="004D4D25"/>
    <w:rsid w:val="004D5C1B"/>
    <w:rsid w:val="004E08FA"/>
    <w:rsid w:val="004E3145"/>
    <w:rsid w:val="004E5B1A"/>
    <w:rsid w:val="004E5C89"/>
    <w:rsid w:val="004E673B"/>
    <w:rsid w:val="004E6765"/>
    <w:rsid w:val="004E680F"/>
    <w:rsid w:val="004E7637"/>
    <w:rsid w:val="004E78D2"/>
    <w:rsid w:val="004F3538"/>
    <w:rsid w:val="004F38CD"/>
    <w:rsid w:val="004F6F75"/>
    <w:rsid w:val="00500370"/>
    <w:rsid w:val="005012EB"/>
    <w:rsid w:val="0050646C"/>
    <w:rsid w:val="00507759"/>
    <w:rsid w:val="00510673"/>
    <w:rsid w:val="00510DD5"/>
    <w:rsid w:val="00511044"/>
    <w:rsid w:val="00512153"/>
    <w:rsid w:val="00513276"/>
    <w:rsid w:val="00514A1F"/>
    <w:rsid w:val="00516D28"/>
    <w:rsid w:val="00522502"/>
    <w:rsid w:val="00523A44"/>
    <w:rsid w:val="0052480B"/>
    <w:rsid w:val="00526E83"/>
    <w:rsid w:val="00527825"/>
    <w:rsid w:val="005321C5"/>
    <w:rsid w:val="005329C2"/>
    <w:rsid w:val="005353E1"/>
    <w:rsid w:val="00536717"/>
    <w:rsid w:val="0054082F"/>
    <w:rsid w:val="005409DF"/>
    <w:rsid w:val="005410EC"/>
    <w:rsid w:val="00543DBF"/>
    <w:rsid w:val="00543F7E"/>
    <w:rsid w:val="00551170"/>
    <w:rsid w:val="0055210D"/>
    <w:rsid w:val="005528E7"/>
    <w:rsid w:val="00554024"/>
    <w:rsid w:val="00554349"/>
    <w:rsid w:val="00555DAC"/>
    <w:rsid w:val="00556D39"/>
    <w:rsid w:val="00561F67"/>
    <w:rsid w:val="005623DD"/>
    <w:rsid w:val="00564CC6"/>
    <w:rsid w:val="00564F4B"/>
    <w:rsid w:val="00567E1A"/>
    <w:rsid w:val="00570CA2"/>
    <w:rsid w:val="0057143F"/>
    <w:rsid w:val="005728D6"/>
    <w:rsid w:val="005729DA"/>
    <w:rsid w:val="00573217"/>
    <w:rsid w:val="00573227"/>
    <w:rsid w:val="00574241"/>
    <w:rsid w:val="00574864"/>
    <w:rsid w:val="005758B5"/>
    <w:rsid w:val="00576D0D"/>
    <w:rsid w:val="00576E6C"/>
    <w:rsid w:val="00577446"/>
    <w:rsid w:val="00577888"/>
    <w:rsid w:val="0058175D"/>
    <w:rsid w:val="0058354D"/>
    <w:rsid w:val="005839A5"/>
    <w:rsid w:val="00584234"/>
    <w:rsid w:val="0058582E"/>
    <w:rsid w:val="005858EB"/>
    <w:rsid w:val="00587813"/>
    <w:rsid w:val="0059045E"/>
    <w:rsid w:val="00592C29"/>
    <w:rsid w:val="0059601B"/>
    <w:rsid w:val="005976F3"/>
    <w:rsid w:val="005A1143"/>
    <w:rsid w:val="005A233D"/>
    <w:rsid w:val="005A32CA"/>
    <w:rsid w:val="005A46FB"/>
    <w:rsid w:val="005A5E34"/>
    <w:rsid w:val="005A680D"/>
    <w:rsid w:val="005A6A4E"/>
    <w:rsid w:val="005A7753"/>
    <w:rsid w:val="005B34BD"/>
    <w:rsid w:val="005B4CD9"/>
    <w:rsid w:val="005B522F"/>
    <w:rsid w:val="005B7B08"/>
    <w:rsid w:val="005C22FF"/>
    <w:rsid w:val="005C2BC5"/>
    <w:rsid w:val="005C3546"/>
    <w:rsid w:val="005C48CE"/>
    <w:rsid w:val="005C4AEB"/>
    <w:rsid w:val="005C5221"/>
    <w:rsid w:val="005C596D"/>
    <w:rsid w:val="005C7C6E"/>
    <w:rsid w:val="005D09BC"/>
    <w:rsid w:val="005D168F"/>
    <w:rsid w:val="005D2612"/>
    <w:rsid w:val="005D3086"/>
    <w:rsid w:val="005D3811"/>
    <w:rsid w:val="005D49D4"/>
    <w:rsid w:val="005D58DC"/>
    <w:rsid w:val="005E016B"/>
    <w:rsid w:val="005E1332"/>
    <w:rsid w:val="005E1F93"/>
    <w:rsid w:val="005E30EE"/>
    <w:rsid w:val="005E4C9C"/>
    <w:rsid w:val="005E4D4E"/>
    <w:rsid w:val="005E5CD8"/>
    <w:rsid w:val="005E6B41"/>
    <w:rsid w:val="005F0D95"/>
    <w:rsid w:val="005F3537"/>
    <w:rsid w:val="005F35B4"/>
    <w:rsid w:val="005F39F7"/>
    <w:rsid w:val="005F3A37"/>
    <w:rsid w:val="005F4105"/>
    <w:rsid w:val="005F4842"/>
    <w:rsid w:val="005F5374"/>
    <w:rsid w:val="005F6FFA"/>
    <w:rsid w:val="0060191E"/>
    <w:rsid w:val="00603604"/>
    <w:rsid w:val="006041BF"/>
    <w:rsid w:val="00605629"/>
    <w:rsid w:val="006073E3"/>
    <w:rsid w:val="00615B65"/>
    <w:rsid w:val="0062340C"/>
    <w:rsid w:val="006253AD"/>
    <w:rsid w:val="00625901"/>
    <w:rsid w:val="00626C46"/>
    <w:rsid w:val="00627C04"/>
    <w:rsid w:val="00635B7C"/>
    <w:rsid w:val="00635F56"/>
    <w:rsid w:val="006361E5"/>
    <w:rsid w:val="006411D6"/>
    <w:rsid w:val="00641635"/>
    <w:rsid w:val="00642654"/>
    <w:rsid w:val="006429AA"/>
    <w:rsid w:val="00643F14"/>
    <w:rsid w:val="00644402"/>
    <w:rsid w:val="00644B2E"/>
    <w:rsid w:val="006456FC"/>
    <w:rsid w:val="0064617E"/>
    <w:rsid w:val="00647000"/>
    <w:rsid w:val="006520A4"/>
    <w:rsid w:val="006536D5"/>
    <w:rsid w:val="006538AC"/>
    <w:rsid w:val="006557C1"/>
    <w:rsid w:val="00657667"/>
    <w:rsid w:val="00660293"/>
    <w:rsid w:val="006612F5"/>
    <w:rsid w:val="006614AD"/>
    <w:rsid w:val="00662715"/>
    <w:rsid w:val="00664325"/>
    <w:rsid w:val="006646AD"/>
    <w:rsid w:val="006648DC"/>
    <w:rsid w:val="00664905"/>
    <w:rsid w:val="006678DB"/>
    <w:rsid w:val="00674D7E"/>
    <w:rsid w:val="006750E7"/>
    <w:rsid w:val="006756A2"/>
    <w:rsid w:val="00675F7D"/>
    <w:rsid w:val="00675FFA"/>
    <w:rsid w:val="00677517"/>
    <w:rsid w:val="00677694"/>
    <w:rsid w:val="006815EE"/>
    <w:rsid w:val="006818A5"/>
    <w:rsid w:val="00681DB4"/>
    <w:rsid w:val="00682110"/>
    <w:rsid w:val="00683B35"/>
    <w:rsid w:val="00684450"/>
    <w:rsid w:val="00685469"/>
    <w:rsid w:val="006855D1"/>
    <w:rsid w:val="0068648D"/>
    <w:rsid w:val="00686C12"/>
    <w:rsid w:val="00687131"/>
    <w:rsid w:val="0068728D"/>
    <w:rsid w:val="00687CD2"/>
    <w:rsid w:val="00690288"/>
    <w:rsid w:val="00690AF4"/>
    <w:rsid w:val="006916E2"/>
    <w:rsid w:val="006924A7"/>
    <w:rsid w:val="00692C25"/>
    <w:rsid w:val="00692CBE"/>
    <w:rsid w:val="006930B9"/>
    <w:rsid w:val="0069314F"/>
    <w:rsid w:val="00696D24"/>
    <w:rsid w:val="006A0F13"/>
    <w:rsid w:val="006A274A"/>
    <w:rsid w:val="006A2CC5"/>
    <w:rsid w:val="006A2E90"/>
    <w:rsid w:val="006A308C"/>
    <w:rsid w:val="006A3621"/>
    <w:rsid w:val="006A487B"/>
    <w:rsid w:val="006A6F86"/>
    <w:rsid w:val="006A7F62"/>
    <w:rsid w:val="006B268C"/>
    <w:rsid w:val="006B48F2"/>
    <w:rsid w:val="006B545B"/>
    <w:rsid w:val="006B5DB4"/>
    <w:rsid w:val="006B643B"/>
    <w:rsid w:val="006B6BE6"/>
    <w:rsid w:val="006B78FD"/>
    <w:rsid w:val="006C12B1"/>
    <w:rsid w:val="006C2931"/>
    <w:rsid w:val="006C29D1"/>
    <w:rsid w:val="006C54C2"/>
    <w:rsid w:val="006D0DD5"/>
    <w:rsid w:val="006D24A9"/>
    <w:rsid w:val="006D4219"/>
    <w:rsid w:val="006D580B"/>
    <w:rsid w:val="006D6E01"/>
    <w:rsid w:val="006D78FB"/>
    <w:rsid w:val="006E0932"/>
    <w:rsid w:val="006E0C7E"/>
    <w:rsid w:val="006E27C3"/>
    <w:rsid w:val="006E27FF"/>
    <w:rsid w:val="006E32AF"/>
    <w:rsid w:val="006E551C"/>
    <w:rsid w:val="006E629E"/>
    <w:rsid w:val="006F0F6D"/>
    <w:rsid w:val="006F21C6"/>
    <w:rsid w:val="006F40FD"/>
    <w:rsid w:val="006F4CEA"/>
    <w:rsid w:val="006F599B"/>
    <w:rsid w:val="00700A35"/>
    <w:rsid w:val="00701F88"/>
    <w:rsid w:val="00703127"/>
    <w:rsid w:val="007045FE"/>
    <w:rsid w:val="00705A27"/>
    <w:rsid w:val="00705CA2"/>
    <w:rsid w:val="00705F1C"/>
    <w:rsid w:val="00706418"/>
    <w:rsid w:val="00706843"/>
    <w:rsid w:val="0071134C"/>
    <w:rsid w:val="00713EF4"/>
    <w:rsid w:val="007145BD"/>
    <w:rsid w:val="00714AB6"/>
    <w:rsid w:val="0071611C"/>
    <w:rsid w:val="00717AA7"/>
    <w:rsid w:val="00721C17"/>
    <w:rsid w:val="00721F0A"/>
    <w:rsid w:val="007242C6"/>
    <w:rsid w:val="00726469"/>
    <w:rsid w:val="00726E57"/>
    <w:rsid w:val="007270E4"/>
    <w:rsid w:val="007301DF"/>
    <w:rsid w:val="007307F7"/>
    <w:rsid w:val="0073201A"/>
    <w:rsid w:val="0073224F"/>
    <w:rsid w:val="00732359"/>
    <w:rsid w:val="00733781"/>
    <w:rsid w:val="007341DA"/>
    <w:rsid w:val="00735EA3"/>
    <w:rsid w:val="00736926"/>
    <w:rsid w:val="00737282"/>
    <w:rsid w:val="00743657"/>
    <w:rsid w:val="00743BD0"/>
    <w:rsid w:val="007468D1"/>
    <w:rsid w:val="00746C29"/>
    <w:rsid w:val="007504DA"/>
    <w:rsid w:val="007509A5"/>
    <w:rsid w:val="00750D6E"/>
    <w:rsid w:val="00751E2A"/>
    <w:rsid w:val="007572BF"/>
    <w:rsid w:val="00757658"/>
    <w:rsid w:val="00760979"/>
    <w:rsid w:val="0076167B"/>
    <w:rsid w:val="00762579"/>
    <w:rsid w:val="00763DBD"/>
    <w:rsid w:val="0076564B"/>
    <w:rsid w:val="0076627E"/>
    <w:rsid w:val="00766C79"/>
    <w:rsid w:val="00774F25"/>
    <w:rsid w:val="0077621D"/>
    <w:rsid w:val="00776740"/>
    <w:rsid w:val="00777614"/>
    <w:rsid w:val="0078160C"/>
    <w:rsid w:val="00781EBE"/>
    <w:rsid w:val="00783023"/>
    <w:rsid w:val="00783F4D"/>
    <w:rsid w:val="007847C6"/>
    <w:rsid w:val="00785544"/>
    <w:rsid w:val="007877F7"/>
    <w:rsid w:val="00787D1B"/>
    <w:rsid w:val="00790230"/>
    <w:rsid w:val="00791247"/>
    <w:rsid w:val="00791A1F"/>
    <w:rsid w:val="007957E8"/>
    <w:rsid w:val="00795802"/>
    <w:rsid w:val="007A0122"/>
    <w:rsid w:val="007A214E"/>
    <w:rsid w:val="007A5B2B"/>
    <w:rsid w:val="007A72F5"/>
    <w:rsid w:val="007A73AE"/>
    <w:rsid w:val="007B01F4"/>
    <w:rsid w:val="007B5A65"/>
    <w:rsid w:val="007B5B8D"/>
    <w:rsid w:val="007B780C"/>
    <w:rsid w:val="007C245E"/>
    <w:rsid w:val="007C30A2"/>
    <w:rsid w:val="007C43EE"/>
    <w:rsid w:val="007C7717"/>
    <w:rsid w:val="007C7B8B"/>
    <w:rsid w:val="007D139E"/>
    <w:rsid w:val="007D30E1"/>
    <w:rsid w:val="007D336F"/>
    <w:rsid w:val="007D6013"/>
    <w:rsid w:val="007D6A38"/>
    <w:rsid w:val="007D7DC3"/>
    <w:rsid w:val="007E030F"/>
    <w:rsid w:val="007E2418"/>
    <w:rsid w:val="007E578A"/>
    <w:rsid w:val="007E642E"/>
    <w:rsid w:val="007E79A9"/>
    <w:rsid w:val="007F07F2"/>
    <w:rsid w:val="007F0E29"/>
    <w:rsid w:val="007F0FAB"/>
    <w:rsid w:val="007F1FE4"/>
    <w:rsid w:val="007F296E"/>
    <w:rsid w:val="007F3206"/>
    <w:rsid w:val="007F3FAC"/>
    <w:rsid w:val="007F47DB"/>
    <w:rsid w:val="007F4EA4"/>
    <w:rsid w:val="007F5319"/>
    <w:rsid w:val="007F5CBC"/>
    <w:rsid w:val="007F618C"/>
    <w:rsid w:val="007F78B2"/>
    <w:rsid w:val="00801A22"/>
    <w:rsid w:val="008041B1"/>
    <w:rsid w:val="008048CC"/>
    <w:rsid w:val="00806B9D"/>
    <w:rsid w:val="00810A96"/>
    <w:rsid w:val="00810EB7"/>
    <w:rsid w:val="008138B9"/>
    <w:rsid w:val="0081522B"/>
    <w:rsid w:val="008152B7"/>
    <w:rsid w:val="0081776A"/>
    <w:rsid w:val="0082168C"/>
    <w:rsid w:val="00821A97"/>
    <w:rsid w:val="00823DCF"/>
    <w:rsid w:val="00824635"/>
    <w:rsid w:val="00824747"/>
    <w:rsid w:val="00825312"/>
    <w:rsid w:val="008253CE"/>
    <w:rsid w:val="00825946"/>
    <w:rsid w:val="00826C4F"/>
    <w:rsid w:val="008314A6"/>
    <w:rsid w:val="00834257"/>
    <w:rsid w:val="00845471"/>
    <w:rsid w:val="0084783C"/>
    <w:rsid w:val="00853F4C"/>
    <w:rsid w:val="008603B2"/>
    <w:rsid w:val="00860FAF"/>
    <w:rsid w:val="0086205D"/>
    <w:rsid w:val="00863C0D"/>
    <w:rsid w:val="00863D57"/>
    <w:rsid w:val="00864A6F"/>
    <w:rsid w:val="00865F34"/>
    <w:rsid w:val="0086727E"/>
    <w:rsid w:val="00867E0D"/>
    <w:rsid w:val="00867FB7"/>
    <w:rsid w:val="0087011C"/>
    <w:rsid w:val="0087510E"/>
    <w:rsid w:val="008757E1"/>
    <w:rsid w:val="008762E5"/>
    <w:rsid w:val="00876581"/>
    <w:rsid w:val="0087700E"/>
    <w:rsid w:val="00880763"/>
    <w:rsid w:val="008807F4"/>
    <w:rsid w:val="00881217"/>
    <w:rsid w:val="00881252"/>
    <w:rsid w:val="00881437"/>
    <w:rsid w:val="00881D94"/>
    <w:rsid w:val="00882135"/>
    <w:rsid w:val="008847F9"/>
    <w:rsid w:val="0088484C"/>
    <w:rsid w:val="008852F0"/>
    <w:rsid w:val="00886096"/>
    <w:rsid w:val="00887360"/>
    <w:rsid w:val="008903F5"/>
    <w:rsid w:val="00892E7A"/>
    <w:rsid w:val="008947BA"/>
    <w:rsid w:val="008954AC"/>
    <w:rsid w:val="00895EC7"/>
    <w:rsid w:val="00896FF1"/>
    <w:rsid w:val="008A0AFA"/>
    <w:rsid w:val="008A0EB5"/>
    <w:rsid w:val="008A2A8A"/>
    <w:rsid w:val="008A3771"/>
    <w:rsid w:val="008A7912"/>
    <w:rsid w:val="008B1B86"/>
    <w:rsid w:val="008B28E2"/>
    <w:rsid w:val="008B2F1F"/>
    <w:rsid w:val="008B405F"/>
    <w:rsid w:val="008B7499"/>
    <w:rsid w:val="008C0B69"/>
    <w:rsid w:val="008C3B7B"/>
    <w:rsid w:val="008C46F8"/>
    <w:rsid w:val="008C502D"/>
    <w:rsid w:val="008C79AE"/>
    <w:rsid w:val="008D02CF"/>
    <w:rsid w:val="008D37F3"/>
    <w:rsid w:val="008D45E9"/>
    <w:rsid w:val="008E549C"/>
    <w:rsid w:val="008F06B3"/>
    <w:rsid w:val="008F0E46"/>
    <w:rsid w:val="008F2202"/>
    <w:rsid w:val="008F38BC"/>
    <w:rsid w:val="008F5A92"/>
    <w:rsid w:val="009005AD"/>
    <w:rsid w:val="009018C0"/>
    <w:rsid w:val="00902593"/>
    <w:rsid w:val="0090338A"/>
    <w:rsid w:val="00905AB4"/>
    <w:rsid w:val="0090706C"/>
    <w:rsid w:val="009115DA"/>
    <w:rsid w:val="00911D69"/>
    <w:rsid w:val="009170C3"/>
    <w:rsid w:val="00917E56"/>
    <w:rsid w:val="00920263"/>
    <w:rsid w:val="00920E58"/>
    <w:rsid w:val="0092215C"/>
    <w:rsid w:val="00923EA7"/>
    <w:rsid w:val="00932722"/>
    <w:rsid w:val="00932988"/>
    <w:rsid w:val="00936A10"/>
    <w:rsid w:val="009405F3"/>
    <w:rsid w:val="0094127B"/>
    <w:rsid w:val="009417DE"/>
    <w:rsid w:val="00942776"/>
    <w:rsid w:val="00942C6E"/>
    <w:rsid w:val="00942C75"/>
    <w:rsid w:val="00944294"/>
    <w:rsid w:val="00944E72"/>
    <w:rsid w:val="00946C4E"/>
    <w:rsid w:val="0094767E"/>
    <w:rsid w:val="009506AC"/>
    <w:rsid w:val="00950C9C"/>
    <w:rsid w:val="00951AB2"/>
    <w:rsid w:val="00951EB3"/>
    <w:rsid w:val="00952030"/>
    <w:rsid w:val="0095497A"/>
    <w:rsid w:val="0095728A"/>
    <w:rsid w:val="0096040F"/>
    <w:rsid w:val="009605A7"/>
    <w:rsid w:val="00962177"/>
    <w:rsid w:val="00962C37"/>
    <w:rsid w:val="00963DC5"/>
    <w:rsid w:val="0097310B"/>
    <w:rsid w:val="00976001"/>
    <w:rsid w:val="009760B8"/>
    <w:rsid w:val="00977BC6"/>
    <w:rsid w:val="00980F3F"/>
    <w:rsid w:val="009819AF"/>
    <w:rsid w:val="00984EC3"/>
    <w:rsid w:val="00991A12"/>
    <w:rsid w:val="00993BEB"/>
    <w:rsid w:val="00996F6D"/>
    <w:rsid w:val="00997174"/>
    <w:rsid w:val="00997CD2"/>
    <w:rsid w:val="009A0329"/>
    <w:rsid w:val="009A1BF1"/>
    <w:rsid w:val="009A23C0"/>
    <w:rsid w:val="009A28E3"/>
    <w:rsid w:val="009A40F3"/>
    <w:rsid w:val="009A621E"/>
    <w:rsid w:val="009A7687"/>
    <w:rsid w:val="009A7A16"/>
    <w:rsid w:val="009B07E3"/>
    <w:rsid w:val="009B2128"/>
    <w:rsid w:val="009B2C7B"/>
    <w:rsid w:val="009B2DB6"/>
    <w:rsid w:val="009B43A4"/>
    <w:rsid w:val="009B4A43"/>
    <w:rsid w:val="009B4BB5"/>
    <w:rsid w:val="009B63D5"/>
    <w:rsid w:val="009C293C"/>
    <w:rsid w:val="009C2FB7"/>
    <w:rsid w:val="009C5409"/>
    <w:rsid w:val="009D29FC"/>
    <w:rsid w:val="009D5E11"/>
    <w:rsid w:val="009D5F62"/>
    <w:rsid w:val="009D638B"/>
    <w:rsid w:val="009E0914"/>
    <w:rsid w:val="009E4C3E"/>
    <w:rsid w:val="009E4CF6"/>
    <w:rsid w:val="009E6B7D"/>
    <w:rsid w:val="009F09B9"/>
    <w:rsid w:val="009F13BF"/>
    <w:rsid w:val="009F29CE"/>
    <w:rsid w:val="009F2DAE"/>
    <w:rsid w:val="009F2F8B"/>
    <w:rsid w:val="009F3262"/>
    <w:rsid w:val="009F640D"/>
    <w:rsid w:val="00A00E95"/>
    <w:rsid w:val="00A02875"/>
    <w:rsid w:val="00A028F7"/>
    <w:rsid w:val="00A0422E"/>
    <w:rsid w:val="00A0577E"/>
    <w:rsid w:val="00A06797"/>
    <w:rsid w:val="00A0777A"/>
    <w:rsid w:val="00A1061F"/>
    <w:rsid w:val="00A127E7"/>
    <w:rsid w:val="00A13731"/>
    <w:rsid w:val="00A13790"/>
    <w:rsid w:val="00A14D5B"/>
    <w:rsid w:val="00A16695"/>
    <w:rsid w:val="00A1682C"/>
    <w:rsid w:val="00A2137B"/>
    <w:rsid w:val="00A2157F"/>
    <w:rsid w:val="00A21CF9"/>
    <w:rsid w:val="00A25C25"/>
    <w:rsid w:val="00A265B3"/>
    <w:rsid w:val="00A26706"/>
    <w:rsid w:val="00A301C4"/>
    <w:rsid w:val="00A3046C"/>
    <w:rsid w:val="00A35129"/>
    <w:rsid w:val="00A35BD1"/>
    <w:rsid w:val="00A37F98"/>
    <w:rsid w:val="00A45F17"/>
    <w:rsid w:val="00A51342"/>
    <w:rsid w:val="00A51812"/>
    <w:rsid w:val="00A52357"/>
    <w:rsid w:val="00A52573"/>
    <w:rsid w:val="00A52E20"/>
    <w:rsid w:val="00A53C81"/>
    <w:rsid w:val="00A547D0"/>
    <w:rsid w:val="00A5543B"/>
    <w:rsid w:val="00A5605A"/>
    <w:rsid w:val="00A56FBA"/>
    <w:rsid w:val="00A57EDF"/>
    <w:rsid w:val="00A639E4"/>
    <w:rsid w:val="00A650D8"/>
    <w:rsid w:val="00A66013"/>
    <w:rsid w:val="00A66039"/>
    <w:rsid w:val="00A6607B"/>
    <w:rsid w:val="00A660C4"/>
    <w:rsid w:val="00A71B9B"/>
    <w:rsid w:val="00A733CC"/>
    <w:rsid w:val="00A812F1"/>
    <w:rsid w:val="00A82A74"/>
    <w:rsid w:val="00A84AD8"/>
    <w:rsid w:val="00A8505C"/>
    <w:rsid w:val="00A87228"/>
    <w:rsid w:val="00A90136"/>
    <w:rsid w:val="00A94143"/>
    <w:rsid w:val="00A94B73"/>
    <w:rsid w:val="00A94FB5"/>
    <w:rsid w:val="00AA052D"/>
    <w:rsid w:val="00AA13AD"/>
    <w:rsid w:val="00AA1D31"/>
    <w:rsid w:val="00AA2843"/>
    <w:rsid w:val="00AA3C5B"/>
    <w:rsid w:val="00AA5A63"/>
    <w:rsid w:val="00AB007B"/>
    <w:rsid w:val="00AB1BAC"/>
    <w:rsid w:val="00AB2641"/>
    <w:rsid w:val="00AB2944"/>
    <w:rsid w:val="00AC18CB"/>
    <w:rsid w:val="00AC475D"/>
    <w:rsid w:val="00AC55BC"/>
    <w:rsid w:val="00AC5F86"/>
    <w:rsid w:val="00AD054B"/>
    <w:rsid w:val="00AD22D9"/>
    <w:rsid w:val="00AD60AA"/>
    <w:rsid w:val="00AD6F97"/>
    <w:rsid w:val="00AE1782"/>
    <w:rsid w:val="00AF0B33"/>
    <w:rsid w:val="00AF1210"/>
    <w:rsid w:val="00AF13D1"/>
    <w:rsid w:val="00AF239E"/>
    <w:rsid w:val="00AF2BA1"/>
    <w:rsid w:val="00B00313"/>
    <w:rsid w:val="00B00359"/>
    <w:rsid w:val="00B005B0"/>
    <w:rsid w:val="00B0162B"/>
    <w:rsid w:val="00B02404"/>
    <w:rsid w:val="00B05DFC"/>
    <w:rsid w:val="00B06361"/>
    <w:rsid w:val="00B10912"/>
    <w:rsid w:val="00B11695"/>
    <w:rsid w:val="00B12109"/>
    <w:rsid w:val="00B12866"/>
    <w:rsid w:val="00B12F5C"/>
    <w:rsid w:val="00B1498A"/>
    <w:rsid w:val="00B16336"/>
    <w:rsid w:val="00B21E1B"/>
    <w:rsid w:val="00B2418D"/>
    <w:rsid w:val="00B2754A"/>
    <w:rsid w:val="00B31E7C"/>
    <w:rsid w:val="00B3382E"/>
    <w:rsid w:val="00B408C6"/>
    <w:rsid w:val="00B4346F"/>
    <w:rsid w:val="00B43F8E"/>
    <w:rsid w:val="00B43FAB"/>
    <w:rsid w:val="00B45933"/>
    <w:rsid w:val="00B4665B"/>
    <w:rsid w:val="00B46837"/>
    <w:rsid w:val="00B46F1A"/>
    <w:rsid w:val="00B474F7"/>
    <w:rsid w:val="00B47B0C"/>
    <w:rsid w:val="00B51EFA"/>
    <w:rsid w:val="00B549FA"/>
    <w:rsid w:val="00B56085"/>
    <w:rsid w:val="00B6313B"/>
    <w:rsid w:val="00B662BE"/>
    <w:rsid w:val="00B72428"/>
    <w:rsid w:val="00B72626"/>
    <w:rsid w:val="00B737F8"/>
    <w:rsid w:val="00B83202"/>
    <w:rsid w:val="00B874D9"/>
    <w:rsid w:val="00B87861"/>
    <w:rsid w:val="00B879AD"/>
    <w:rsid w:val="00B9107F"/>
    <w:rsid w:val="00B91364"/>
    <w:rsid w:val="00B95174"/>
    <w:rsid w:val="00B97100"/>
    <w:rsid w:val="00BA0B82"/>
    <w:rsid w:val="00BA1B38"/>
    <w:rsid w:val="00BA293A"/>
    <w:rsid w:val="00BA3A37"/>
    <w:rsid w:val="00BA5494"/>
    <w:rsid w:val="00BA73FE"/>
    <w:rsid w:val="00BA74BC"/>
    <w:rsid w:val="00BB2336"/>
    <w:rsid w:val="00BB3B72"/>
    <w:rsid w:val="00BB5B9A"/>
    <w:rsid w:val="00BB61A4"/>
    <w:rsid w:val="00BB7365"/>
    <w:rsid w:val="00BB7992"/>
    <w:rsid w:val="00BC1D9D"/>
    <w:rsid w:val="00BC2C9F"/>
    <w:rsid w:val="00BC6CF7"/>
    <w:rsid w:val="00BD0DF3"/>
    <w:rsid w:val="00BD177E"/>
    <w:rsid w:val="00BD2AF5"/>
    <w:rsid w:val="00BD3221"/>
    <w:rsid w:val="00BD32CC"/>
    <w:rsid w:val="00BD4B22"/>
    <w:rsid w:val="00BD6A7D"/>
    <w:rsid w:val="00BD6C21"/>
    <w:rsid w:val="00BD6E20"/>
    <w:rsid w:val="00BD7AFB"/>
    <w:rsid w:val="00BE1381"/>
    <w:rsid w:val="00BE1503"/>
    <w:rsid w:val="00BE22AE"/>
    <w:rsid w:val="00BE4A31"/>
    <w:rsid w:val="00BE506A"/>
    <w:rsid w:val="00BE5779"/>
    <w:rsid w:val="00BE7FD4"/>
    <w:rsid w:val="00BF1158"/>
    <w:rsid w:val="00BF1BD9"/>
    <w:rsid w:val="00BF26D6"/>
    <w:rsid w:val="00BF4C95"/>
    <w:rsid w:val="00BF5544"/>
    <w:rsid w:val="00BF55E6"/>
    <w:rsid w:val="00BF5E08"/>
    <w:rsid w:val="00BF6EE3"/>
    <w:rsid w:val="00C01476"/>
    <w:rsid w:val="00C0535C"/>
    <w:rsid w:val="00C05872"/>
    <w:rsid w:val="00C06E85"/>
    <w:rsid w:val="00C07AC6"/>
    <w:rsid w:val="00C1271E"/>
    <w:rsid w:val="00C13061"/>
    <w:rsid w:val="00C13F66"/>
    <w:rsid w:val="00C160CD"/>
    <w:rsid w:val="00C17445"/>
    <w:rsid w:val="00C20FF5"/>
    <w:rsid w:val="00C230DE"/>
    <w:rsid w:val="00C23301"/>
    <w:rsid w:val="00C26945"/>
    <w:rsid w:val="00C27477"/>
    <w:rsid w:val="00C309F6"/>
    <w:rsid w:val="00C3363A"/>
    <w:rsid w:val="00C339F8"/>
    <w:rsid w:val="00C33B97"/>
    <w:rsid w:val="00C3445D"/>
    <w:rsid w:val="00C34A80"/>
    <w:rsid w:val="00C34D44"/>
    <w:rsid w:val="00C3608E"/>
    <w:rsid w:val="00C42CCF"/>
    <w:rsid w:val="00C4395A"/>
    <w:rsid w:val="00C43EEB"/>
    <w:rsid w:val="00C4483B"/>
    <w:rsid w:val="00C4507A"/>
    <w:rsid w:val="00C45544"/>
    <w:rsid w:val="00C4580C"/>
    <w:rsid w:val="00C45B0A"/>
    <w:rsid w:val="00C46662"/>
    <w:rsid w:val="00C47550"/>
    <w:rsid w:val="00C47FD0"/>
    <w:rsid w:val="00C64890"/>
    <w:rsid w:val="00C67072"/>
    <w:rsid w:val="00C70021"/>
    <w:rsid w:val="00C712A1"/>
    <w:rsid w:val="00C713B9"/>
    <w:rsid w:val="00C7523A"/>
    <w:rsid w:val="00C76F92"/>
    <w:rsid w:val="00C770AB"/>
    <w:rsid w:val="00C7746C"/>
    <w:rsid w:val="00C779B5"/>
    <w:rsid w:val="00C80153"/>
    <w:rsid w:val="00C810BB"/>
    <w:rsid w:val="00C81AE6"/>
    <w:rsid w:val="00C83B18"/>
    <w:rsid w:val="00C853A3"/>
    <w:rsid w:val="00C85CD5"/>
    <w:rsid w:val="00C87202"/>
    <w:rsid w:val="00C875D2"/>
    <w:rsid w:val="00C90BC0"/>
    <w:rsid w:val="00C90F0B"/>
    <w:rsid w:val="00C923E8"/>
    <w:rsid w:val="00C92C43"/>
    <w:rsid w:val="00C939D7"/>
    <w:rsid w:val="00C95687"/>
    <w:rsid w:val="00C95FCF"/>
    <w:rsid w:val="00C96E45"/>
    <w:rsid w:val="00C96E70"/>
    <w:rsid w:val="00C97350"/>
    <w:rsid w:val="00C97A3D"/>
    <w:rsid w:val="00C97B2C"/>
    <w:rsid w:val="00C97BF1"/>
    <w:rsid w:val="00C97F9B"/>
    <w:rsid w:val="00CA0EB4"/>
    <w:rsid w:val="00CA2372"/>
    <w:rsid w:val="00CA25C5"/>
    <w:rsid w:val="00CA459F"/>
    <w:rsid w:val="00CA4936"/>
    <w:rsid w:val="00CA5FED"/>
    <w:rsid w:val="00CA690E"/>
    <w:rsid w:val="00CA7180"/>
    <w:rsid w:val="00CB43D8"/>
    <w:rsid w:val="00CB494D"/>
    <w:rsid w:val="00CC2824"/>
    <w:rsid w:val="00CC2FA0"/>
    <w:rsid w:val="00CC3404"/>
    <w:rsid w:val="00CC3532"/>
    <w:rsid w:val="00CC37CD"/>
    <w:rsid w:val="00CC4539"/>
    <w:rsid w:val="00CC46DB"/>
    <w:rsid w:val="00CC4A3C"/>
    <w:rsid w:val="00CC577E"/>
    <w:rsid w:val="00CC63BB"/>
    <w:rsid w:val="00CD0598"/>
    <w:rsid w:val="00CD3913"/>
    <w:rsid w:val="00CD3DB2"/>
    <w:rsid w:val="00CD4D66"/>
    <w:rsid w:val="00CE123B"/>
    <w:rsid w:val="00CE1DD1"/>
    <w:rsid w:val="00CE2092"/>
    <w:rsid w:val="00CE6B3F"/>
    <w:rsid w:val="00CF21BA"/>
    <w:rsid w:val="00CF5877"/>
    <w:rsid w:val="00CF5919"/>
    <w:rsid w:val="00CF621D"/>
    <w:rsid w:val="00CF725C"/>
    <w:rsid w:val="00D01824"/>
    <w:rsid w:val="00D030FE"/>
    <w:rsid w:val="00D0597F"/>
    <w:rsid w:val="00D111D7"/>
    <w:rsid w:val="00D12006"/>
    <w:rsid w:val="00D1280D"/>
    <w:rsid w:val="00D12D11"/>
    <w:rsid w:val="00D14601"/>
    <w:rsid w:val="00D15C67"/>
    <w:rsid w:val="00D21E60"/>
    <w:rsid w:val="00D22244"/>
    <w:rsid w:val="00D22FB3"/>
    <w:rsid w:val="00D23640"/>
    <w:rsid w:val="00D26348"/>
    <w:rsid w:val="00D270AF"/>
    <w:rsid w:val="00D27DA1"/>
    <w:rsid w:val="00D311C7"/>
    <w:rsid w:val="00D31273"/>
    <w:rsid w:val="00D31825"/>
    <w:rsid w:val="00D33C83"/>
    <w:rsid w:val="00D33EA0"/>
    <w:rsid w:val="00D37126"/>
    <w:rsid w:val="00D41304"/>
    <w:rsid w:val="00D4131A"/>
    <w:rsid w:val="00D50BB5"/>
    <w:rsid w:val="00D518FD"/>
    <w:rsid w:val="00D52D60"/>
    <w:rsid w:val="00D546E2"/>
    <w:rsid w:val="00D549FC"/>
    <w:rsid w:val="00D55935"/>
    <w:rsid w:val="00D56310"/>
    <w:rsid w:val="00D61281"/>
    <w:rsid w:val="00D62699"/>
    <w:rsid w:val="00D6293B"/>
    <w:rsid w:val="00D638D4"/>
    <w:rsid w:val="00D64361"/>
    <w:rsid w:val="00D65CD6"/>
    <w:rsid w:val="00D67D63"/>
    <w:rsid w:val="00D7307D"/>
    <w:rsid w:val="00D75427"/>
    <w:rsid w:val="00D75503"/>
    <w:rsid w:val="00D76171"/>
    <w:rsid w:val="00D765D5"/>
    <w:rsid w:val="00D767B6"/>
    <w:rsid w:val="00D808CF"/>
    <w:rsid w:val="00D80A52"/>
    <w:rsid w:val="00D81C0A"/>
    <w:rsid w:val="00D83A83"/>
    <w:rsid w:val="00D8671E"/>
    <w:rsid w:val="00D90410"/>
    <w:rsid w:val="00D90B3B"/>
    <w:rsid w:val="00D9208D"/>
    <w:rsid w:val="00D934B5"/>
    <w:rsid w:val="00D93AE9"/>
    <w:rsid w:val="00D956DC"/>
    <w:rsid w:val="00D95BAA"/>
    <w:rsid w:val="00D95CF8"/>
    <w:rsid w:val="00D96F6D"/>
    <w:rsid w:val="00DA096B"/>
    <w:rsid w:val="00DA375C"/>
    <w:rsid w:val="00DA476E"/>
    <w:rsid w:val="00DA4D9C"/>
    <w:rsid w:val="00DA5208"/>
    <w:rsid w:val="00DA54E3"/>
    <w:rsid w:val="00DA586D"/>
    <w:rsid w:val="00DA6A53"/>
    <w:rsid w:val="00DB075D"/>
    <w:rsid w:val="00DB15CC"/>
    <w:rsid w:val="00DB1A09"/>
    <w:rsid w:val="00DB4DEA"/>
    <w:rsid w:val="00DB6DA2"/>
    <w:rsid w:val="00DC0793"/>
    <w:rsid w:val="00DC1761"/>
    <w:rsid w:val="00DC1FCC"/>
    <w:rsid w:val="00DC2D37"/>
    <w:rsid w:val="00DC5F39"/>
    <w:rsid w:val="00DC678B"/>
    <w:rsid w:val="00DD31A0"/>
    <w:rsid w:val="00DD38A4"/>
    <w:rsid w:val="00DD4158"/>
    <w:rsid w:val="00DD4FD2"/>
    <w:rsid w:val="00DD6EE3"/>
    <w:rsid w:val="00DD7E65"/>
    <w:rsid w:val="00DE067E"/>
    <w:rsid w:val="00DE0C32"/>
    <w:rsid w:val="00DE1968"/>
    <w:rsid w:val="00DE1C19"/>
    <w:rsid w:val="00DE2E60"/>
    <w:rsid w:val="00DE3A8C"/>
    <w:rsid w:val="00DE5209"/>
    <w:rsid w:val="00DE5AAE"/>
    <w:rsid w:val="00DF08D1"/>
    <w:rsid w:val="00DF38EC"/>
    <w:rsid w:val="00DF4662"/>
    <w:rsid w:val="00DF5DF0"/>
    <w:rsid w:val="00E0186C"/>
    <w:rsid w:val="00E01DD4"/>
    <w:rsid w:val="00E0307B"/>
    <w:rsid w:val="00E035C5"/>
    <w:rsid w:val="00E04F46"/>
    <w:rsid w:val="00E05E66"/>
    <w:rsid w:val="00E108A3"/>
    <w:rsid w:val="00E113CD"/>
    <w:rsid w:val="00E118A6"/>
    <w:rsid w:val="00E11B93"/>
    <w:rsid w:val="00E1248C"/>
    <w:rsid w:val="00E12BBD"/>
    <w:rsid w:val="00E15971"/>
    <w:rsid w:val="00E1651A"/>
    <w:rsid w:val="00E17346"/>
    <w:rsid w:val="00E21415"/>
    <w:rsid w:val="00E21EB7"/>
    <w:rsid w:val="00E24225"/>
    <w:rsid w:val="00E3250E"/>
    <w:rsid w:val="00E41C08"/>
    <w:rsid w:val="00E42563"/>
    <w:rsid w:val="00E43A93"/>
    <w:rsid w:val="00E4495F"/>
    <w:rsid w:val="00E473C9"/>
    <w:rsid w:val="00E543DD"/>
    <w:rsid w:val="00E545CB"/>
    <w:rsid w:val="00E54E24"/>
    <w:rsid w:val="00E5679A"/>
    <w:rsid w:val="00E568BE"/>
    <w:rsid w:val="00E6080B"/>
    <w:rsid w:val="00E6169B"/>
    <w:rsid w:val="00E6487F"/>
    <w:rsid w:val="00E64C24"/>
    <w:rsid w:val="00E67642"/>
    <w:rsid w:val="00E70283"/>
    <w:rsid w:val="00E71742"/>
    <w:rsid w:val="00E7279D"/>
    <w:rsid w:val="00E7345C"/>
    <w:rsid w:val="00E73EB6"/>
    <w:rsid w:val="00E7406E"/>
    <w:rsid w:val="00E747A7"/>
    <w:rsid w:val="00E75339"/>
    <w:rsid w:val="00E76DAF"/>
    <w:rsid w:val="00E7769C"/>
    <w:rsid w:val="00E805AD"/>
    <w:rsid w:val="00E80E2D"/>
    <w:rsid w:val="00E81235"/>
    <w:rsid w:val="00E83B84"/>
    <w:rsid w:val="00E83E2E"/>
    <w:rsid w:val="00E854D4"/>
    <w:rsid w:val="00E8778A"/>
    <w:rsid w:val="00E920E5"/>
    <w:rsid w:val="00E926BF"/>
    <w:rsid w:val="00E9386E"/>
    <w:rsid w:val="00E959BC"/>
    <w:rsid w:val="00E96859"/>
    <w:rsid w:val="00EA0CD2"/>
    <w:rsid w:val="00EA3D7B"/>
    <w:rsid w:val="00EA459E"/>
    <w:rsid w:val="00EA52B1"/>
    <w:rsid w:val="00EA61A1"/>
    <w:rsid w:val="00EA6CDB"/>
    <w:rsid w:val="00EA79A0"/>
    <w:rsid w:val="00EB2C91"/>
    <w:rsid w:val="00EB5D88"/>
    <w:rsid w:val="00EB5EC8"/>
    <w:rsid w:val="00EB5FDE"/>
    <w:rsid w:val="00EB6299"/>
    <w:rsid w:val="00EC0E01"/>
    <w:rsid w:val="00EC167E"/>
    <w:rsid w:val="00EC17F0"/>
    <w:rsid w:val="00EC1A72"/>
    <w:rsid w:val="00EC1D61"/>
    <w:rsid w:val="00EC23DF"/>
    <w:rsid w:val="00EC481F"/>
    <w:rsid w:val="00EC63AB"/>
    <w:rsid w:val="00EC69DC"/>
    <w:rsid w:val="00ED0344"/>
    <w:rsid w:val="00ED14A8"/>
    <w:rsid w:val="00ED2E92"/>
    <w:rsid w:val="00ED3F22"/>
    <w:rsid w:val="00ED4B96"/>
    <w:rsid w:val="00ED5823"/>
    <w:rsid w:val="00ED5AE3"/>
    <w:rsid w:val="00EE1D66"/>
    <w:rsid w:val="00EF042C"/>
    <w:rsid w:val="00EF1379"/>
    <w:rsid w:val="00EF2943"/>
    <w:rsid w:val="00EF2D3E"/>
    <w:rsid w:val="00EF43F1"/>
    <w:rsid w:val="00EF61AA"/>
    <w:rsid w:val="00F0333B"/>
    <w:rsid w:val="00F03956"/>
    <w:rsid w:val="00F072FC"/>
    <w:rsid w:val="00F07A7D"/>
    <w:rsid w:val="00F100D1"/>
    <w:rsid w:val="00F1493F"/>
    <w:rsid w:val="00F16972"/>
    <w:rsid w:val="00F16D00"/>
    <w:rsid w:val="00F172F1"/>
    <w:rsid w:val="00F20762"/>
    <w:rsid w:val="00F20CF8"/>
    <w:rsid w:val="00F20F0E"/>
    <w:rsid w:val="00F254C0"/>
    <w:rsid w:val="00F30241"/>
    <w:rsid w:val="00F331CD"/>
    <w:rsid w:val="00F33405"/>
    <w:rsid w:val="00F3374C"/>
    <w:rsid w:val="00F3751D"/>
    <w:rsid w:val="00F409D9"/>
    <w:rsid w:val="00F413DA"/>
    <w:rsid w:val="00F43B79"/>
    <w:rsid w:val="00F4403A"/>
    <w:rsid w:val="00F44C0E"/>
    <w:rsid w:val="00F51754"/>
    <w:rsid w:val="00F52DD7"/>
    <w:rsid w:val="00F56058"/>
    <w:rsid w:val="00F57BF5"/>
    <w:rsid w:val="00F61109"/>
    <w:rsid w:val="00F61916"/>
    <w:rsid w:val="00F61DC7"/>
    <w:rsid w:val="00F632C1"/>
    <w:rsid w:val="00F7160F"/>
    <w:rsid w:val="00F74DD6"/>
    <w:rsid w:val="00F77E9A"/>
    <w:rsid w:val="00F825E7"/>
    <w:rsid w:val="00F8267A"/>
    <w:rsid w:val="00F831A9"/>
    <w:rsid w:val="00F836EE"/>
    <w:rsid w:val="00F84FE9"/>
    <w:rsid w:val="00F85FE7"/>
    <w:rsid w:val="00F867EC"/>
    <w:rsid w:val="00F86AD4"/>
    <w:rsid w:val="00F8776A"/>
    <w:rsid w:val="00F90240"/>
    <w:rsid w:val="00F905E8"/>
    <w:rsid w:val="00F920B5"/>
    <w:rsid w:val="00F94C47"/>
    <w:rsid w:val="00F94EBF"/>
    <w:rsid w:val="00F951B2"/>
    <w:rsid w:val="00F9527B"/>
    <w:rsid w:val="00F95A61"/>
    <w:rsid w:val="00F968A6"/>
    <w:rsid w:val="00F96B33"/>
    <w:rsid w:val="00F97DF8"/>
    <w:rsid w:val="00FA05EB"/>
    <w:rsid w:val="00FA31D1"/>
    <w:rsid w:val="00FA5651"/>
    <w:rsid w:val="00FA7011"/>
    <w:rsid w:val="00FA75AD"/>
    <w:rsid w:val="00FA7A17"/>
    <w:rsid w:val="00FB042D"/>
    <w:rsid w:val="00FB0866"/>
    <w:rsid w:val="00FB1FBF"/>
    <w:rsid w:val="00FB66FD"/>
    <w:rsid w:val="00FC2C4E"/>
    <w:rsid w:val="00FC4CBB"/>
    <w:rsid w:val="00FD1A21"/>
    <w:rsid w:val="00FD1AE7"/>
    <w:rsid w:val="00FD1F43"/>
    <w:rsid w:val="00FD2549"/>
    <w:rsid w:val="00FD2AE8"/>
    <w:rsid w:val="00FD3469"/>
    <w:rsid w:val="00FD3B15"/>
    <w:rsid w:val="00FD4515"/>
    <w:rsid w:val="00FD4CFF"/>
    <w:rsid w:val="00FD7B77"/>
    <w:rsid w:val="00FE0A58"/>
    <w:rsid w:val="00FE2186"/>
    <w:rsid w:val="00FE28A6"/>
    <w:rsid w:val="00FE313E"/>
    <w:rsid w:val="00FE565B"/>
    <w:rsid w:val="00FE56BB"/>
    <w:rsid w:val="00FE5801"/>
    <w:rsid w:val="00FE5A0C"/>
    <w:rsid w:val="00FE62F7"/>
    <w:rsid w:val="00FE6AA9"/>
    <w:rsid w:val="00FE774A"/>
    <w:rsid w:val="00FE7CB9"/>
    <w:rsid w:val="00FF0275"/>
    <w:rsid w:val="00FF1BD1"/>
    <w:rsid w:val="00FF300B"/>
    <w:rsid w:val="00FF5A62"/>
    <w:rsid w:val="00FF6BF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FD86"/>
  <w15:docId w15:val="{3AE21912-3E8D-40D8-8180-43B2374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6B7D"/>
  </w:style>
  <w:style w:type="paragraph" w:styleId="Heading1">
    <w:name w:val="heading 1"/>
    <w:basedOn w:val="Normal"/>
    <w:next w:val="Normal"/>
    <w:rsid w:val="00BD6E2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D6E20"/>
    <w:pPr>
      <w:keepNext/>
      <w:keepLines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rsid w:val="00BD6E2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6E2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6E2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D6E20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6E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rsid w:val="00BD6E2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BD6E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0C"/>
  </w:style>
  <w:style w:type="paragraph" w:styleId="Footer">
    <w:name w:val="footer"/>
    <w:basedOn w:val="Normal"/>
    <w:link w:val="Foot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0C"/>
  </w:style>
  <w:style w:type="character" w:styleId="CommentReference">
    <w:name w:val="annotation reference"/>
    <w:basedOn w:val="DefaultParagraphFont"/>
    <w:uiPriority w:val="99"/>
    <w:semiHidden/>
    <w:unhideWhenUsed/>
    <w:rsid w:val="0095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B2"/>
    <w:rPr>
      <w:b/>
      <w:bCs/>
      <w:sz w:val="20"/>
      <w:szCs w:val="20"/>
    </w:rPr>
  </w:style>
  <w:style w:type="paragraph" w:styleId="NoSpacing">
    <w:name w:val="No Spacing"/>
    <w:uiPriority w:val="1"/>
    <w:qFormat/>
    <w:rsid w:val="00E60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8E9B2B75EE47A37094EB0DDD326B" ma:contentTypeVersion="14" ma:contentTypeDescription="Create a new document." ma:contentTypeScope="" ma:versionID="2b8779521746d7ef34f18c46d59758ed">
  <xsd:schema xmlns:xsd="http://www.w3.org/2001/XMLSchema" xmlns:xs="http://www.w3.org/2001/XMLSchema" xmlns:p="http://schemas.microsoft.com/office/2006/metadata/properties" xmlns:ns3="3a42bfe0-eaf4-4a53-bd23-101af9684bc7" xmlns:ns4="13cf06ad-dfd7-46c0-a304-5f5a126f6cdd" targetNamespace="http://schemas.microsoft.com/office/2006/metadata/properties" ma:root="true" ma:fieldsID="bba13a4b63bdb865511803ad15c20c78" ns3:_="" ns4:_="">
    <xsd:import namespace="3a42bfe0-eaf4-4a53-bd23-101af9684bc7"/>
    <xsd:import namespace="13cf06ad-dfd7-46c0-a304-5f5a126f6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bfe0-eaf4-4a53-bd23-101af9684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06ad-dfd7-46c0-a304-5f5a126f6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8A95B-0D5D-4066-96F7-01C5D37BA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1E4DC-974E-457E-8806-7430C827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bfe0-eaf4-4a53-bd23-101af9684bc7"/>
    <ds:schemaRef ds:uri="13cf06ad-dfd7-46c0-a304-5f5a126f6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47EDC-C59F-4804-B3A9-F79CF901F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3B80B-09E4-4998-AF9D-15FCA9697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Scott</dc:creator>
  <cp:keywords/>
  <dc:description/>
  <cp:lastModifiedBy>Patricia C. Scott</cp:lastModifiedBy>
  <cp:revision>2</cp:revision>
  <cp:lastPrinted>2023-07-12T12:54:00Z</cp:lastPrinted>
  <dcterms:created xsi:type="dcterms:W3CDTF">2023-07-13T21:36:00Z</dcterms:created>
  <dcterms:modified xsi:type="dcterms:W3CDTF">2023-07-13T21:36:00Z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0x0101008B8C8E9B2B75EE47A37094EB0DDD326B</vt:lpwstr>
  </property>
</Properties>
</file>