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1583" w:rsidRPr="0011239F" w:rsidRDefault="00FD7A66">
      <w:pPr>
        <w:rPr>
          <w:rFonts w:asciiTheme="majorHAnsi" w:hAnsiTheme="majorHAnsi" w:cstheme="majorHAnsi"/>
          <w:b/>
        </w:rPr>
      </w:pPr>
      <w:r w:rsidRPr="0011239F">
        <w:rPr>
          <w:rFonts w:asciiTheme="majorHAnsi" w:hAnsiTheme="majorHAnsi" w:cstheme="majorHAnsi"/>
          <w:b/>
        </w:rPr>
        <w:t>ATTENTION COMMUNITY WATER SUPPLIERS</w:t>
      </w:r>
    </w:p>
    <w:p w:rsidR="00FD7A66" w:rsidRDefault="00FD7A66" w:rsidP="00FD7A66">
      <w:pPr>
        <w:spacing w:after="0"/>
        <w:rPr>
          <w:rFonts w:asciiTheme="majorHAnsi" w:hAnsiTheme="majorHAnsi" w:cstheme="majorHAnsi"/>
        </w:rPr>
      </w:pPr>
      <w:r w:rsidRPr="00FD7A66">
        <w:rPr>
          <w:rFonts w:asciiTheme="majorHAnsi" w:hAnsiTheme="majorHAnsi" w:cstheme="majorHAnsi"/>
        </w:rPr>
        <w:t xml:space="preserve">If you serve a population of more than 3,300, based on the state drinking water inventory and reported to EPA, then you are subject to the </w:t>
      </w:r>
      <w:r w:rsidRPr="0011239F">
        <w:rPr>
          <w:rFonts w:asciiTheme="majorHAnsi" w:hAnsiTheme="majorHAnsi" w:cstheme="majorHAnsi"/>
          <w:b/>
        </w:rPr>
        <w:t>2018 America’s Water Infrastructure Act</w:t>
      </w:r>
      <w:r w:rsidRPr="00FD7A66">
        <w:rPr>
          <w:rFonts w:asciiTheme="majorHAnsi" w:hAnsiTheme="majorHAnsi" w:cstheme="majorHAnsi"/>
        </w:rPr>
        <w:t xml:space="preserve">.  This Act requires risk </w:t>
      </w:r>
      <w:r w:rsidR="00013CE3">
        <w:rPr>
          <w:rFonts w:asciiTheme="majorHAnsi" w:hAnsiTheme="majorHAnsi" w:cstheme="majorHAnsi"/>
        </w:rPr>
        <w:t xml:space="preserve">and resilience </w:t>
      </w:r>
      <w:r w:rsidRPr="00FD7A66">
        <w:rPr>
          <w:rFonts w:asciiTheme="majorHAnsi" w:hAnsiTheme="majorHAnsi" w:cstheme="majorHAnsi"/>
        </w:rPr>
        <w:t>assessments and updated emergency response plans every 5 years.  Certification of completion of each will be required to be sent to EPA.</w:t>
      </w:r>
      <w:r w:rsidR="0011239F">
        <w:rPr>
          <w:rFonts w:asciiTheme="majorHAnsi" w:hAnsiTheme="majorHAnsi" w:cstheme="majorHAnsi"/>
        </w:rPr>
        <w:t xml:space="preserve">  Please do not submit documents, only the certifications.</w:t>
      </w:r>
      <w:r w:rsidR="004550AF">
        <w:rPr>
          <w:rFonts w:asciiTheme="majorHAnsi" w:hAnsiTheme="majorHAnsi" w:cstheme="majorHAnsi"/>
        </w:rPr>
        <w:t xml:space="preserve">  EPA will be providing further information on how to submit these certifications.</w:t>
      </w:r>
    </w:p>
    <w:p w:rsidR="00FD7A66" w:rsidRDefault="00FD7A66" w:rsidP="00FD7A66">
      <w:pPr>
        <w:spacing w:after="0"/>
        <w:rPr>
          <w:rFonts w:asciiTheme="majorHAnsi" w:hAnsiTheme="majorHAnsi" w:cstheme="majorHAnsi"/>
        </w:rPr>
      </w:pPr>
    </w:p>
    <w:p w:rsidR="00FD7A66" w:rsidRDefault="00FD7A66" w:rsidP="00FD7A66">
      <w:pPr>
        <w:spacing w:after="0"/>
        <w:rPr>
          <w:rFonts w:asciiTheme="majorHAnsi" w:hAnsiTheme="majorHAnsi" w:cstheme="majorHAnsi"/>
        </w:rPr>
      </w:pPr>
      <w:r>
        <w:rPr>
          <w:rFonts w:asciiTheme="majorHAnsi" w:hAnsiTheme="majorHAnsi" w:cstheme="majorHAnsi"/>
        </w:rPr>
        <w:t xml:space="preserve">Certification Deadlines </w:t>
      </w:r>
      <w:r w:rsidR="004550AF">
        <w:rPr>
          <w:rFonts w:asciiTheme="majorHAnsi" w:hAnsiTheme="majorHAnsi" w:cstheme="majorHAnsi"/>
        </w:rPr>
        <w:t>for</w:t>
      </w:r>
      <w:r>
        <w:rPr>
          <w:rFonts w:asciiTheme="majorHAnsi" w:hAnsiTheme="majorHAnsi" w:cstheme="majorHAnsi"/>
        </w:rPr>
        <w:t xml:space="preserve"> completion of the Risk Assessment are</w:t>
      </w:r>
      <w:r w:rsidR="004550AF">
        <w:rPr>
          <w:rFonts w:asciiTheme="majorHAnsi" w:hAnsiTheme="majorHAnsi" w:cstheme="majorHAnsi"/>
        </w:rPr>
        <w:t xml:space="preserve"> phased in by size</w:t>
      </w:r>
      <w:r>
        <w:rPr>
          <w:rFonts w:asciiTheme="majorHAnsi" w:hAnsiTheme="majorHAnsi" w:cstheme="majorHAnsi"/>
        </w:rPr>
        <w:t>:</w:t>
      </w:r>
    </w:p>
    <w:p w:rsidR="00FD7A66" w:rsidRDefault="00FD7A66" w:rsidP="00FD7A66">
      <w:pPr>
        <w:spacing w:after="0"/>
        <w:rPr>
          <w:rFonts w:asciiTheme="majorHAnsi" w:hAnsiTheme="majorHAnsi" w:cstheme="majorHAnsi"/>
        </w:rPr>
      </w:pPr>
    </w:p>
    <w:tbl>
      <w:tblPr>
        <w:tblStyle w:val="TableGrid"/>
        <w:tblW w:w="0" w:type="auto"/>
        <w:tblInd w:w="1735" w:type="dxa"/>
        <w:tblLook w:val="04A0" w:firstRow="1" w:lastRow="0" w:firstColumn="1" w:lastColumn="0" w:noHBand="0" w:noVBand="1"/>
      </w:tblPr>
      <w:tblGrid>
        <w:gridCol w:w="2490"/>
        <w:gridCol w:w="2610"/>
      </w:tblGrid>
      <w:tr w:rsidR="00FD7A66" w:rsidRPr="00FD7A66" w:rsidTr="00FD7A66">
        <w:tc>
          <w:tcPr>
            <w:tcW w:w="2490" w:type="dxa"/>
            <w:vAlign w:val="center"/>
          </w:tcPr>
          <w:p w:rsidR="00FD7A66" w:rsidRPr="00FD7A66" w:rsidRDefault="00FD7A66" w:rsidP="00FD7A66">
            <w:pPr>
              <w:jc w:val="center"/>
              <w:rPr>
                <w:rFonts w:asciiTheme="majorHAnsi" w:hAnsiTheme="majorHAnsi" w:cstheme="majorHAnsi"/>
                <w:b/>
                <w:sz w:val="28"/>
              </w:rPr>
            </w:pPr>
            <w:r w:rsidRPr="00FD7A66">
              <w:rPr>
                <w:rFonts w:asciiTheme="majorHAnsi" w:hAnsiTheme="majorHAnsi" w:cstheme="majorHAnsi"/>
                <w:b/>
                <w:sz w:val="28"/>
              </w:rPr>
              <w:t>Population Served</w:t>
            </w:r>
          </w:p>
        </w:tc>
        <w:tc>
          <w:tcPr>
            <w:tcW w:w="2610" w:type="dxa"/>
            <w:vAlign w:val="center"/>
          </w:tcPr>
          <w:p w:rsidR="00FD7A66" w:rsidRPr="00FD7A66" w:rsidRDefault="00FD7A66" w:rsidP="00FD7A66">
            <w:pPr>
              <w:jc w:val="center"/>
              <w:rPr>
                <w:rFonts w:asciiTheme="majorHAnsi" w:hAnsiTheme="majorHAnsi" w:cstheme="majorHAnsi"/>
                <w:b/>
                <w:sz w:val="28"/>
              </w:rPr>
            </w:pPr>
            <w:r w:rsidRPr="00FD7A66">
              <w:rPr>
                <w:rFonts w:asciiTheme="majorHAnsi" w:hAnsiTheme="majorHAnsi" w:cstheme="majorHAnsi"/>
                <w:b/>
                <w:sz w:val="28"/>
              </w:rPr>
              <w:t>Deadlines</w:t>
            </w:r>
          </w:p>
        </w:tc>
      </w:tr>
      <w:tr w:rsidR="00FD7A66" w:rsidRPr="00FD7A66" w:rsidTr="00FD7A66">
        <w:tc>
          <w:tcPr>
            <w:tcW w:w="2490" w:type="dxa"/>
          </w:tcPr>
          <w:p w:rsidR="00FD7A66" w:rsidRPr="00FD7A66" w:rsidRDefault="00FD7A66" w:rsidP="006E3918">
            <w:pPr>
              <w:rPr>
                <w:rFonts w:asciiTheme="majorHAnsi" w:hAnsiTheme="majorHAnsi" w:cstheme="majorHAnsi"/>
                <w:sz w:val="28"/>
              </w:rPr>
            </w:pPr>
            <w:r w:rsidRPr="00FD7A66">
              <w:rPr>
                <w:rFonts w:asciiTheme="majorHAnsi" w:hAnsiTheme="majorHAnsi" w:cstheme="majorHAnsi"/>
                <w:b/>
                <w:sz w:val="28"/>
                <w:u w:val="single"/>
              </w:rPr>
              <w:t>&gt;</w:t>
            </w:r>
            <w:r w:rsidRPr="00FD7A66">
              <w:rPr>
                <w:rFonts w:asciiTheme="majorHAnsi" w:hAnsiTheme="majorHAnsi" w:cstheme="majorHAnsi"/>
                <w:sz w:val="28"/>
              </w:rPr>
              <w:t>100,000</w:t>
            </w:r>
          </w:p>
        </w:tc>
        <w:tc>
          <w:tcPr>
            <w:tcW w:w="2610" w:type="dxa"/>
          </w:tcPr>
          <w:p w:rsidR="00FD7A66" w:rsidRPr="00FD7A66" w:rsidRDefault="00FD7A66" w:rsidP="006E3918">
            <w:pPr>
              <w:rPr>
                <w:rFonts w:asciiTheme="majorHAnsi" w:hAnsiTheme="majorHAnsi" w:cstheme="majorHAnsi"/>
                <w:sz w:val="28"/>
              </w:rPr>
            </w:pPr>
            <w:r w:rsidRPr="00FD7A66">
              <w:rPr>
                <w:rFonts w:asciiTheme="majorHAnsi" w:hAnsiTheme="majorHAnsi" w:cstheme="majorHAnsi"/>
                <w:sz w:val="28"/>
              </w:rPr>
              <w:t>March 31, 2020</w:t>
            </w:r>
          </w:p>
        </w:tc>
      </w:tr>
      <w:tr w:rsidR="00FD7A66" w:rsidRPr="00FD7A66" w:rsidTr="00FD7A66">
        <w:tc>
          <w:tcPr>
            <w:tcW w:w="2490" w:type="dxa"/>
          </w:tcPr>
          <w:p w:rsidR="00FD7A66" w:rsidRPr="00FD7A66" w:rsidRDefault="00FD7A66" w:rsidP="006E3918">
            <w:pPr>
              <w:rPr>
                <w:rFonts w:asciiTheme="majorHAnsi" w:hAnsiTheme="majorHAnsi" w:cstheme="majorHAnsi"/>
                <w:sz w:val="28"/>
              </w:rPr>
            </w:pPr>
            <w:r w:rsidRPr="00FD7A66">
              <w:rPr>
                <w:rFonts w:asciiTheme="majorHAnsi" w:hAnsiTheme="majorHAnsi" w:cstheme="majorHAnsi"/>
                <w:sz w:val="28"/>
              </w:rPr>
              <w:t>50,000 – 99,999</w:t>
            </w:r>
          </w:p>
        </w:tc>
        <w:tc>
          <w:tcPr>
            <w:tcW w:w="2610" w:type="dxa"/>
          </w:tcPr>
          <w:p w:rsidR="00FD7A66" w:rsidRPr="00FD7A66" w:rsidRDefault="00FD7A66" w:rsidP="006E3918">
            <w:pPr>
              <w:rPr>
                <w:rFonts w:asciiTheme="majorHAnsi" w:hAnsiTheme="majorHAnsi" w:cstheme="majorHAnsi"/>
                <w:sz w:val="28"/>
              </w:rPr>
            </w:pPr>
            <w:r w:rsidRPr="00FD7A66">
              <w:rPr>
                <w:rFonts w:asciiTheme="majorHAnsi" w:hAnsiTheme="majorHAnsi" w:cstheme="majorHAnsi"/>
                <w:sz w:val="28"/>
              </w:rPr>
              <w:t>December 31, 2020</w:t>
            </w:r>
          </w:p>
        </w:tc>
      </w:tr>
      <w:tr w:rsidR="00FD7A66" w:rsidRPr="00FD7A66" w:rsidTr="00FD7A66">
        <w:tc>
          <w:tcPr>
            <w:tcW w:w="2490" w:type="dxa"/>
          </w:tcPr>
          <w:p w:rsidR="00FD7A66" w:rsidRPr="00FD7A66" w:rsidRDefault="00FD7A66" w:rsidP="006E3918">
            <w:pPr>
              <w:rPr>
                <w:rFonts w:asciiTheme="majorHAnsi" w:hAnsiTheme="majorHAnsi" w:cstheme="majorHAnsi"/>
                <w:sz w:val="28"/>
              </w:rPr>
            </w:pPr>
            <w:r w:rsidRPr="00FD7A66">
              <w:rPr>
                <w:rFonts w:asciiTheme="majorHAnsi" w:hAnsiTheme="majorHAnsi" w:cstheme="majorHAnsi"/>
                <w:sz w:val="28"/>
              </w:rPr>
              <w:t>3,301 – 49,999</w:t>
            </w:r>
          </w:p>
        </w:tc>
        <w:tc>
          <w:tcPr>
            <w:tcW w:w="2610" w:type="dxa"/>
          </w:tcPr>
          <w:p w:rsidR="00FD7A66" w:rsidRPr="00FD7A66" w:rsidRDefault="00FD7A66" w:rsidP="006E3918">
            <w:pPr>
              <w:rPr>
                <w:rFonts w:asciiTheme="majorHAnsi" w:hAnsiTheme="majorHAnsi" w:cstheme="majorHAnsi"/>
                <w:sz w:val="28"/>
              </w:rPr>
            </w:pPr>
            <w:r w:rsidRPr="00FD7A66">
              <w:rPr>
                <w:rFonts w:asciiTheme="majorHAnsi" w:hAnsiTheme="majorHAnsi" w:cstheme="majorHAnsi"/>
                <w:sz w:val="28"/>
              </w:rPr>
              <w:t>June 30, 2021</w:t>
            </w:r>
          </w:p>
        </w:tc>
      </w:tr>
    </w:tbl>
    <w:p w:rsidR="00FD7A66" w:rsidRDefault="00FD7A66" w:rsidP="00FD7A66">
      <w:pPr>
        <w:spacing w:after="0"/>
        <w:rPr>
          <w:rFonts w:asciiTheme="majorHAnsi" w:hAnsiTheme="majorHAnsi" w:cstheme="majorHAnsi"/>
        </w:rPr>
      </w:pPr>
    </w:p>
    <w:p w:rsidR="00FD7A66" w:rsidRDefault="00FD7A66" w:rsidP="00FD7A66">
      <w:pPr>
        <w:spacing w:after="0"/>
        <w:rPr>
          <w:rFonts w:asciiTheme="majorHAnsi" w:hAnsiTheme="majorHAnsi" w:cstheme="majorHAnsi"/>
        </w:rPr>
      </w:pPr>
    </w:p>
    <w:p w:rsidR="00FD7A66" w:rsidRDefault="00FD7A66" w:rsidP="00FD7A66">
      <w:pPr>
        <w:spacing w:after="0"/>
        <w:rPr>
          <w:rFonts w:asciiTheme="majorHAnsi" w:hAnsiTheme="majorHAnsi" w:cstheme="majorHAnsi"/>
        </w:rPr>
      </w:pPr>
      <w:r>
        <w:rPr>
          <w:rFonts w:asciiTheme="majorHAnsi" w:hAnsiTheme="majorHAnsi" w:cstheme="majorHAnsi"/>
        </w:rPr>
        <w:t xml:space="preserve">Emergency Response Plan certifications are due </w:t>
      </w:r>
      <w:r w:rsidRPr="00013CE3">
        <w:rPr>
          <w:rFonts w:asciiTheme="majorHAnsi" w:hAnsiTheme="majorHAnsi" w:cstheme="majorHAnsi"/>
          <w:b/>
        </w:rPr>
        <w:t>six months</w:t>
      </w:r>
      <w:r>
        <w:rPr>
          <w:rFonts w:asciiTheme="majorHAnsi" w:hAnsiTheme="majorHAnsi" w:cstheme="majorHAnsi"/>
        </w:rPr>
        <w:t xml:space="preserve"> from the date of </w:t>
      </w:r>
      <w:r w:rsidR="004550AF">
        <w:rPr>
          <w:rFonts w:asciiTheme="majorHAnsi" w:hAnsiTheme="majorHAnsi" w:cstheme="majorHAnsi"/>
        </w:rPr>
        <w:t xml:space="preserve">submission of </w:t>
      </w:r>
      <w:r>
        <w:rPr>
          <w:rFonts w:asciiTheme="majorHAnsi" w:hAnsiTheme="majorHAnsi" w:cstheme="majorHAnsi"/>
        </w:rPr>
        <w:t>the risk assessment certification.</w:t>
      </w:r>
      <w:r w:rsidR="0011239F">
        <w:rPr>
          <w:rFonts w:asciiTheme="majorHAnsi" w:hAnsiTheme="majorHAnsi" w:cstheme="majorHAnsi"/>
        </w:rPr>
        <w:t xml:space="preserve">  Again, submit certifications only, not documents.</w:t>
      </w:r>
    </w:p>
    <w:p w:rsidR="00A2645B" w:rsidRDefault="00A2645B" w:rsidP="00FD7A66">
      <w:pPr>
        <w:spacing w:after="0"/>
        <w:rPr>
          <w:rFonts w:asciiTheme="majorHAnsi" w:hAnsiTheme="majorHAnsi" w:cstheme="majorHAnsi"/>
        </w:rPr>
      </w:pPr>
    </w:p>
    <w:p w:rsidR="00A2645B" w:rsidRDefault="00A2645B" w:rsidP="00FD7A66">
      <w:pPr>
        <w:spacing w:after="0"/>
        <w:rPr>
          <w:rFonts w:asciiTheme="majorHAnsi" w:hAnsiTheme="majorHAnsi" w:cstheme="majorHAnsi"/>
        </w:rPr>
      </w:pPr>
      <w:r>
        <w:rPr>
          <w:rFonts w:asciiTheme="majorHAnsi" w:hAnsiTheme="majorHAnsi" w:cstheme="majorHAnsi"/>
        </w:rPr>
        <w:t>These requirements repeat every 5 years with community water suppliers reviewing the risk and resilience assessment to determine if it should be revised.  Also, if necessary, water suppliers must update emergency response plan to incorporate any revisions to the risk and resilience assessment.  Upon completion of each step, certifications must be submitted to EPA.</w:t>
      </w:r>
    </w:p>
    <w:p w:rsidR="00FD7A66" w:rsidRDefault="00FD7A66" w:rsidP="00FD7A66">
      <w:pPr>
        <w:spacing w:after="0"/>
        <w:rPr>
          <w:rFonts w:asciiTheme="majorHAnsi" w:hAnsiTheme="majorHAnsi" w:cstheme="majorHAnsi"/>
        </w:rPr>
      </w:pPr>
    </w:p>
    <w:p w:rsidR="00FD7A66" w:rsidRDefault="00FD7A66" w:rsidP="00FD7A66">
      <w:pPr>
        <w:spacing w:after="0"/>
        <w:rPr>
          <w:rFonts w:asciiTheme="majorHAnsi" w:hAnsiTheme="majorHAnsi" w:cstheme="majorHAnsi"/>
        </w:rPr>
      </w:pPr>
      <w:r>
        <w:rPr>
          <w:rFonts w:asciiTheme="majorHAnsi" w:hAnsiTheme="majorHAnsi" w:cstheme="majorHAnsi"/>
        </w:rPr>
        <w:t>EPA has released a Federal Register Notice of the requirements and created a web page for providing additional information.  EPA is developing factsheets, training, and other materials to assist the community water systems with meeting these requirements.</w:t>
      </w:r>
      <w:r w:rsidR="0011239F">
        <w:rPr>
          <w:rFonts w:asciiTheme="majorHAnsi" w:hAnsiTheme="majorHAnsi" w:cstheme="majorHAnsi"/>
        </w:rPr>
        <w:t xml:space="preserve">  All materials will be posted on the webpage at </w:t>
      </w:r>
      <w:hyperlink r:id="rId4" w:history="1">
        <w:r w:rsidR="00547E76" w:rsidRPr="00153A89">
          <w:rPr>
            <w:rStyle w:val="Hyperlink"/>
            <w:rFonts w:asciiTheme="majorHAnsi" w:hAnsiTheme="majorHAnsi" w:cstheme="majorHAnsi"/>
          </w:rPr>
          <w:t>https://www.epa.gov/waterresilience/americas-water-infrastructure-act-2018-risk-assessments-and-emergency-response-plans</w:t>
        </w:r>
      </w:hyperlink>
      <w:r w:rsidR="00547E76">
        <w:rPr>
          <w:rFonts w:asciiTheme="majorHAnsi" w:hAnsiTheme="majorHAnsi" w:cstheme="majorHAnsi"/>
        </w:rPr>
        <w:t xml:space="preserve">.  You may also find it easiest to Google EPA+AWIA. </w:t>
      </w:r>
    </w:p>
    <w:p w:rsidR="00A2645B" w:rsidRDefault="00A2645B" w:rsidP="00FD7A66">
      <w:pPr>
        <w:spacing w:after="0"/>
        <w:rPr>
          <w:rFonts w:asciiTheme="majorHAnsi" w:hAnsiTheme="majorHAnsi" w:cstheme="majorHAnsi"/>
        </w:rPr>
      </w:pPr>
    </w:p>
    <w:p w:rsidR="00A2645B" w:rsidRDefault="00A2645B" w:rsidP="00FD7A66">
      <w:pPr>
        <w:spacing w:after="0"/>
        <w:rPr>
          <w:rFonts w:asciiTheme="majorHAnsi" w:hAnsiTheme="majorHAnsi" w:cstheme="majorHAnsi"/>
          <w:b/>
          <w:sz w:val="28"/>
        </w:rPr>
      </w:pPr>
      <w:r w:rsidRPr="00237321">
        <w:rPr>
          <w:rFonts w:asciiTheme="majorHAnsi" w:hAnsiTheme="majorHAnsi" w:cstheme="majorHAnsi"/>
          <w:b/>
          <w:sz w:val="28"/>
        </w:rPr>
        <w:t xml:space="preserve">EPA is highly recommending that water suppliers wait until </w:t>
      </w:r>
      <w:r w:rsidR="00237321" w:rsidRPr="00237321">
        <w:rPr>
          <w:rFonts w:asciiTheme="majorHAnsi" w:hAnsiTheme="majorHAnsi" w:cstheme="majorHAnsi"/>
          <w:b/>
          <w:sz w:val="28"/>
        </w:rPr>
        <w:t>further guidance is released before submitting any certifications to EPA.</w:t>
      </w:r>
      <w:r w:rsidR="009C1F69">
        <w:rPr>
          <w:rFonts w:asciiTheme="majorHAnsi" w:hAnsiTheme="majorHAnsi" w:cstheme="majorHAnsi"/>
          <w:b/>
          <w:sz w:val="28"/>
        </w:rPr>
        <w:t xml:space="preserve">  This will ensure all requirements are met and submitted properly.</w:t>
      </w:r>
    </w:p>
    <w:p w:rsidR="00FD7A66" w:rsidRDefault="00FD7A66" w:rsidP="00FD7A66">
      <w:pPr>
        <w:spacing w:after="0"/>
        <w:rPr>
          <w:rFonts w:asciiTheme="majorHAnsi" w:hAnsiTheme="majorHAnsi" w:cstheme="majorHAnsi"/>
        </w:rPr>
      </w:pPr>
    </w:p>
    <w:p w:rsidR="00FD7A66" w:rsidRDefault="009C1F69" w:rsidP="00FD7A66">
      <w:pPr>
        <w:spacing w:after="0"/>
        <w:rPr>
          <w:rFonts w:asciiTheme="majorHAnsi" w:hAnsiTheme="majorHAnsi" w:cstheme="majorHAnsi"/>
        </w:rPr>
      </w:pPr>
      <w:r>
        <w:rPr>
          <w:rFonts w:asciiTheme="majorHAnsi" w:hAnsiTheme="majorHAnsi" w:cstheme="majorHAnsi"/>
        </w:rPr>
        <w:t>Did you know? You may o</w:t>
      </w:r>
      <w:r w:rsidR="004D399C">
        <w:rPr>
          <w:rFonts w:asciiTheme="majorHAnsi" w:hAnsiTheme="majorHAnsi" w:cstheme="majorHAnsi"/>
        </w:rPr>
        <w:t>btain</w:t>
      </w:r>
      <w:r>
        <w:rPr>
          <w:rFonts w:asciiTheme="majorHAnsi" w:hAnsiTheme="majorHAnsi" w:cstheme="majorHAnsi"/>
        </w:rPr>
        <w:t xml:space="preserve"> your</w:t>
      </w:r>
      <w:r w:rsidR="004D399C">
        <w:rPr>
          <w:rFonts w:asciiTheme="majorHAnsi" w:hAnsiTheme="majorHAnsi" w:cstheme="majorHAnsi"/>
        </w:rPr>
        <w:t xml:space="preserve"> 2002 Bioterrorism Act Vulnerability Assessment</w:t>
      </w:r>
    </w:p>
    <w:p w:rsidR="004D399C" w:rsidRDefault="004D399C" w:rsidP="00FD7A66">
      <w:pPr>
        <w:spacing w:after="0"/>
        <w:rPr>
          <w:rFonts w:asciiTheme="majorHAnsi" w:hAnsiTheme="majorHAnsi" w:cstheme="majorHAnsi"/>
        </w:rPr>
      </w:pPr>
      <w:r>
        <w:rPr>
          <w:rFonts w:asciiTheme="majorHAnsi" w:hAnsiTheme="majorHAnsi" w:cstheme="majorHAnsi"/>
        </w:rPr>
        <w:t xml:space="preserve">Community water systems can request that these documents be returned rather than destroyed by EPA.  You must send a request letter on utility letterhead by email to </w:t>
      </w:r>
      <w:hyperlink r:id="rId5" w:history="1">
        <w:r w:rsidRPr="00153A89">
          <w:rPr>
            <w:rStyle w:val="Hyperlink"/>
            <w:rFonts w:asciiTheme="majorHAnsi" w:hAnsiTheme="majorHAnsi" w:cstheme="majorHAnsi"/>
          </w:rPr>
          <w:t>WSD-Outreach@epa.gov</w:t>
        </w:r>
      </w:hyperlink>
      <w:r>
        <w:rPr>
          <w:rFonts w:asciiTheme="majorHAnsi" w:hAnsiTheme="majorHAnsi" w:cstheme="majorHAnsi"/>
        </w:rPr>
        <w:t>.  Pertinent information to include in the request letter:  utility name, PWSID#, address and point of contact information for the individual who will be responsible for receiving the document.</w:t>
      </w:r>
    </w:p>
    <w:p w:rsidR="009C1F69" w:rsidRDefault="009C1F69" w:rsidP="00FD7A66">
      <w:pPr>
        <w:spacing w:after="0"/>
        <w:rPr>
          <w:rFonts w:asciiTheme="majorHAnsi" w:hAnsiTheme="majorHAnsi" w:cstheme="majorHAnsi"/>
        </w:rPr>
      </w:pPr>
    </w:p>
    <w:p w:rsidR="002A5001" w:rsidRDefault="002A5001" w:rsidP="00FD7A66">
      <w:pPr>
        <w:spacing w:after="0"/>
        <w:rPr>
          <w:rFonts w:asciiTheme="majorHAnsi" w:hAnsiTheme="majorHAnsi" w:cstheme="majorHAnsi"/>
        </w:rPr>
      </w:pPr>
      <w:bookmarkStart w:id="0" w:name="_GoBack"/>
      <w:bookmarkEnd w:id="0"/>
    </w:p>
    <w:p w:rsidR="009C1F69" w:rsidRPr="00FD7A66" w:rsidRDefault="009C1F69" w:rsidP="00FD7A66">
      <w:pPr>
        <w:spacing w:after="0"/>
        <w:rPr>
          <w:rFonts w:asciiTheme="majorHAnsi" w:hAnsiTheme="majorHAnsi" w:cstheme="majorHAnsi"/>
        </w:rPr>
      </w:pPr>
      <w:r w:rsidRPr="009C1F69">
        <w:rPr>
          <w:rFonts w:asciiTheme="majorHAnsi" w:hAnsiTheme="majorHAnsi" w:cstheme="majorHAnsi"/>
          <w:b/>
        </w:rPr>
        <w:t>Contact</w:t>
      </w:r>
      <w:r>
        <w:rPr>
          <w:rFonts w:asciiTheme="majorHAnsi" w:hAnsiTheme="majorHAnsi" w:cstheme="majorHAnsi"/>
        </w:rPr>
        <w:t>:</w:t>
      </w:r>
      <w:r w:rsidRPr="009C1F69">
        <w:rPr>
          <w:rFonts w:asciiTheme="majorHAnsi" w:hAnsiTheme="majorHAnsi" w:cstheme="majorHAnsi"/>
        </w:rPr>
        <w:t xml:space="preserve"> </w:t>
      </w:r>
      <w:r>
        <w:rPr>
          <w:rFonts w:asciiTheme="majorHAnsi" w:hAnsiTheme="majorHAnsi" w:cstheme="majorHAnsi"/>
        </w:rPr>
        <w:t xml:space="preserve">Patti Kay Wisniewski at EPA: 215-814-5668 or </w:t>
      </w:r>
      <w:hyperlink r:id="rId6" w:history="1">
        <w:r w:rsidRPr="00153A89">
          <w:rPr>
            <w:rStyle w:val="Hyperlink"/>
            <w:rFonts w:asciiTheme="majorHAnsi" w:hAnsiTheme="majorHAnsi" w:cstheme="majorHAnsi"/>
          </w:rPr>
          <w:t>Wisniewski.patti-kay@epa.gov</w:t>
        </w:r>
      </w:hyperlink>
      <w:r>
        <w:rPr>
          <w:rFonts w:asciiTheme="majorHAnsi" w:hAnsiTheme="majorHAnsi" w:cstheme="majorHAnsi"/>
        </w:rPr>
        <w:t xml:space="preserve"> </w:t>
      </w:r>
    </w:p>
    <w:sectPr w:rsidR="009C1F69" w:rsidRPr="00FD7A66" w:rsidSect="009C1F69">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A66"/>
    <w:rsid w:val="00013CE3"/>
    <w:rsid w:val="00031E17"/>
    <w:rsid w:val="0011239F"/>
    <w:rsid w:val="00237321"/>
    <w:rsid w:val="002A5001"/>
    <w:rsid w:val="00412DE4"/>
    <w:rsid w:val="00431583"/>
    <w:rsid w:val="004550AF"/>
    <w:rsid w:val="004812D7"/>
    <w:rsid w:val="004D399C"/>
    <w:rsid w:val="00547E76"/>
    <w:rsid w:val="006E0DB2"/>
    <w:rsid w:val="009C1F69"/>
    <w:rsid w:val="00A2645B"/>
    <w:rsid w:val="00F03011"/>
    <w:rsid w:val="00FD7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7D5A2"/>
  <w15:chartTrackingRefBased/>
  <w15:docId w15:val="{26FF99B0-9F8D-4961-91A6-7F0B7BCB7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2D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7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399C"/>
    <w:rPr>
      <w:color w:val="0563C1" w:themeColor="hyperlink"/>
      <w:u w:val="single"/>
    </w:rPr>
  </w:style>
  <w:style w:type="character" w:styleId="UnresolvedMention">
    <w:name w:val="Unresolved Mention"/>
    <w:basedOn w:val="DefaultParagraphFont"/>
    <w:uiPriority w:val="99"/>
    <w:semiHidden/>
    <w:unhideWhenUsed/>
    <w:rsid w:val="004D39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isniewski.patti-kay@epa.gov" TargetMode="External"/><Relationship Id="rId5" Type="http://schemas.openxmlformats.org/officeDocument/2006/relationships/hyperlink" Target="mailto:WSD-Outreach@epa.gov" TargetMode="External"/><Relationship Id="rId4" Type="http://schemas.openxmlformats.org/officeDocument/2006/relationships/hyperlink" Target="https://www.epa.gov/waterresilience/americas-water-infrastructure-act-2018-risk-assessments-and-emergency-response-pl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Wisniewski, Patti-Kay</dc:creator>
  <cp:keywords/>
  <dc:description/>
  <cp:lastModifiedBy>Wisniewski, Patti-Kay</cp:lastModifiedBy>
  <cp:revision>7</cp:revision>
  <dcterms:created xsi:type="dcterms:W3CDTF">2019-03-29T12:36:00Z</dcterms:created>
  <dcterms:modified xsi:type="dcterms:W3CDTF">2019-03-29T14:51:00Z</dcterms:modified>
</cp:coreProperties>
</file>