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6D" w:rsidRPr="0061316D" w:rsidRDefault="0061316D" w:rsidP="0061316D">
      <w:pPr>
        <w:spacing w:after="72" w:line="264" w:lineRule="auto"/>
        <w:outlineLvl w:val="0"/>
        <w:rPr>
          <w:rFonts w:eastAsia="Times New Roman"/>
          <w:b/>
          <w:bCs/>
          <w:color w:val="9E1B34"/>
          <w:kern w:val="36"/>
          <w:sz w:val="29"/>
          <w:szCs w:val="29"/>
        </w:rPr>
      </w:pPr>
      <w:r w:rsidRPr="0061316D">
        <w:rPr>
          <w:rFonts w:eastAsia="Times New Roman"/>
          <w:b/>
          <w:bCs/>
          <w:color w:val="9E1B34"/>
          <w:kern w:val="36"/>
          <w:sz w:val="29"/>
          <w:szCs w:val="29"/>
        </w:rPr>
        <w:t xml:space="preserve">Your 401(k) </w:t>
      </w:r>
      <w:r>
        <w:rPr>
          <w:rFonts w:eastAsia="Times New Roman"/>
          <w:b/>
          <w:bCs/>
          <w:color w:val="9E1B34"/>
          <w:kern w:val="36"/>
          <w:sz w:val="29"/>
          <w:szCs w:val="29"/>
        </w:rPr>
        <w:t xml:space="preserve">Rollover </w:t>
      </w:r>
      <w:r w:rsidRPr="0061316D">
        <w:rPr>
          <w:rFonts w:eastAsia="Times New Roman"/>
          <w:b/>
          <w:bCs/>
          <w:color w:val="9E1B34"/>
          <w:kern w:val="36"/>
          <w:sz w:val="29"/>
          <w:szCs w:val="29"/>
        </w:rPr>
        <w:t>options</w:t>
      </w:r>
    </w:p>
    <w:p w:rsidR="0061316D" w:rsidRPr="0061316D" w:rsidRDefault="0061316D" w:rsidP="0061316D">
      <w:pPr>
        <w:spacing w:after="300" w:line="360" w:lineRule="auto"/>
        <w:rPr>
          <w:rFonts w:eastAsia="Times New Roman"/>
          <w:color w:val="333333"/>
          <w:sz w:val="18"/>
          <w:szCs w:val="18"/>
        </w:rPr>
      </w:pPr>
      <w:r w:rsidRPr="0061316D">
        <w:rPr>
          <w:rFonts w:eastAsia="Times New Roman"/>
          <w:color w:val="333333"/>
          <w:sz w:val="18"/>
          <w:szCs w:val="18"/>
        </w:rPr>
        <w:t xml:space="preserve">When you change jobs or retire, you'll have several options for deciding what to do with the money in your employer-sponsored retirement plan. For tax purposes, the IRS rules are essentially the same, whichever option you choose. The main differences are in your investment choices and each option's rules.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8"/>
        <w:gridCol w:w="3276"/>
        <w:gridCol w:w="3276"/>
      </w:tblGrid>
      <w:tr w:rsidR="0061316D" w:rsidRPr="0061316D" w:rsidTr="0061316D">
        <w:trPr>
          <w:tblCellSpacing w:w="0" w:type="dxa"/>
        </w:trPr>
        <w:tc>
          <w:tcPr>
            <w:tcW w:w="1500" w:type="pct"/>
            <w:vAlign w:val="center"/>
            <w:hideMark/>
          </w:tcPr>
          <w:p w:rsidR="0061316D" w:rsidRPr="0061316D" w:rsidRDefault="0061316D" w:rsidP="0061316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right w:val="nil"/>
            </w:tcBorders>
            <w:vAlign w:val="center"/>
            <w:hideMark/>
          </w:tcPr>
          <w:p w:rsidR="0061316D" w:rsidRPr="0061316D" w:rsidRDefault="0061316D" w:rsidP="0061316D">
            <w:pPr>
              <w:spacing w:after="72" w:line="264" w:lineRule="auto"/>
              <w:outlineLvl w:val="0"/>
              <w:rPr>
                <w:rFonts w:eastAsia="Times New Roman"/>
                <w:b/>
                <w:bCs/>
                <w:color w:val="666666"/>
                <w:kern w:val="36"/>
                <w:sz w:val="29"/>
                <w:szCs w:val="29"/>
              </w:rPr>
            </w:pPr>
            <w:r w:rsidRPr="0061316D">
              <w:rPr>
                <w:rFonts w:eastAsia="Times New Roman"/>
                <w:b/>
                <w:bCs/>
                <w:color w:val="666666"/>
                <w:kern w:val="36"/>
                <w:sz w:val="29"/>
                <w:szCs w:val="29"/>
              </w:rPr>
              <w:t>Advantages</w:t>
            </w:r>
          </w:p>
        </w:tc>
        <w:tc>
          <w:tcPr>
            <w:tcW w:w="1750" w:type="pct"/>
            <w:tcBorders>
              <w:right w:val="nil"/>
            </w:tcBorders>
            <w:vAlign w:val="center"/>
            <w:hideMark/>
          </w:tcPr>
          <w:p w:rsidR="0061316D" w:rsidRPr="0061316D" w:rsidRDefault="0061316D" w:rsidP="0061316D">
            <w:pPr>
              <w:spacing w:after="72" w:line="264" w:lineRule="auto"/>
              <w:outlineLvl w:val="0"/>
              <w:rPr>
                <w:rFonts w:eastAsia="Times New Roman"/>
                <w:b/>
                <w:bCs/>
                <w:color w:val="666666"/>
                <w:kern w:val="36"/>
                <w:sz w:val="29"/>
                <w:szCs w:val="29"/>
              </w:rPr>
            </w:pPr>
            <w:r w:rsidRPr="0061316D">
              <w:rPr>
                <w:rFonts w:eastAsia="Times New Roman"/>
                <w:b/>
                <w:bCs/>
                <w:color w:val="666666"/>
                <w:kern w:val="36"/>
                <w:sz w:val="29"/>
                <w:szCs w:val="29"/>
              </w:rPr>
              <w:t>Drawbacks</w:t>
            </w:r>
          </w:p>
        </w:tc>
      </w:tr>
      <w:tr w:rsidR="0061316D" w:rsidRPr="0061316D" w:rsidTr="0061316D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spacing w:after="30" w:line="264" w:lineRule="auto"/>
              <w:outlineLvl w:val="0"/>
              <w:rPr>
                <w:rFonts w:eastAsia="Times New Roman"/>
                <w:b/>
                <w:bCs/>
                <w:color w:val="666666"/>
                <w:kern w:val="36"/>
              </w:rPr>
            </w:pPr>
            <w:r w:rsidRPr="0061316D">
              <w:rPr>
                <w:rFonts w:eastAsia="Times New Roman"/>
                <w:b/>
                <w:bCs/>
                <w:color w:val="666666"/>
                <w:kern w:val="36"/>
              </w:rPr>
              <w:t>Roll over to an IRA</w:t>
            </w:r>
          </w:p>
        </w:tc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>You have investment flexibility—</w:t>
            </w:r>
            <w:r>
              <w:rPr>
                <w:rFonts w:eastAsia="Times New Roman"/>
                <w:color w:val="333333"/>
                <w:sz w:val="18"/>
                <w:szCs w:val="18"/>
              </w:rPr>
              <w:t>to customize a portfolio including</w:t>
            </w: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 stocks, and bonds</w:t>
            </w:r>
            <w:r>
              <w:rPr>
                <w:rFonts w:eastAsia="Times New Roman"/>
                <w:color w:val="333333"/>
                <w:sz w:val="18"/>
                <w:szCs w:val="18"/>
              </w:rPr>
              <w:t xml:space="preserve"> and funds</w:t>
            </w: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. </w:t>
            </w:r>
          </w:p>
          <w:p w:rsidR="0061316D" w:rsidRPr="0061316D" w:rsidRDefault="0061316D" w:rsidP="0061316D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 control your investments. </w:t>
            </w:r>
          </w:p>
          <w:p w:rsidR="0061316D" w:rsidRPr="0061316D" w:rsidRDefault="0061316D" w:rsidP="0061316D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 can simplify all your accounts in one place. </w:t>
            </w:r>
          </w:p>
          <w:p w:rsidR="0061316D" w:rsidRPr="0061316D" w:rsidRDefault="0061316D" w:rsidP="0061316D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 can move your assets to a future employer's plan. </w:t>
            </w:r>
          </w:p>
        </w:tc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 can't borrow from your assets. </w:t>
            </w:r>
          </w:p>
          <w:p w:rsidR="0061316D" w:rsidRPr="0061316D" w:rsidRDefault="0061316D" w:rsidP="0061316D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Some investment options in a 401(k), such as holding company stock, may not be available in an IRA. </w:t>
            </w:r>
          </w:p>
        </w:tc>
      </w:tr>
      <w:tr w:rsidR="0061316D" w:rsidRPr="0061316D" w:rsidTr="0061316D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spacing w:after="30" w:line="264" w:lineRule="auto"/>
              <w:outlineLvl w:val="0"/>
              <w:rPr>
                <w:rFonts w:eastAsia="Times New Roman"/>
                <w:b/>
                <w:bCs/>
                <w:color w:val="666666"/>
                <w:kern w:val="36"/>
              </w:rPr>
            </w:pPr>
            <w:r w:rsidRPr="0061316D">
              <w:rPr>
                <w:rFonts w:eastAsia="Times New Roman"/>
                <w:b/>
                <w:bCs/>
                <w:color w:val="666666"/>
                <w:kern w:val="36"/>
              </w:rPr>
              <w:t>Remain in</w:t>
            </w:r>
            <w:r w:rsidRPr="0061316D">
              <w:rPr>
                <w:rFonts w:eastAsia="Times New Roman"/>
                <w:b/>
                <w:bCs/>
                <w:color w:val="666666"/>
                <w:kern w:val="36"/>
              </w:rPr>
              <w:br/>
              <w:t>employer-sponsored plan</w:t>
            </w:r>
          </w:p>
        </w:tc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 may have investment options in the </w:t>
            </w:r>
            <w:proofErr w:type="gramStart"/>
            <w:r w:rsidRPr="0061316D">
              <w:rPr>
                <w:rFonts w:eastAsia="Times New Roman"/>
                <w:color w:val="333333"/>
                <w:sz w:val="18"/>
                <w:szCs w:val="18"/>
              </w:rPr>
              <w:t>plan that are</w:t>
            </w:r>
            <w:proofErr w:type="gramEnd"/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 not available to you outside the plan. </w:t>
            </w:r>
          </w:p>
        </w:tc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You're limited to the plan's investments. </w:t>
            </w:r>
          </w:p>
          <w:p w:rsidR="0061316D" w:rsidRDefault="0061316D" w:rsidP="0061316D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Your future contributions are restricted or simply not allowed. </w:t>
            </w:r>
          </w:p>
          <w:p w:rsidR="0061316D" w:rsidRPr="0061316D" w:rsidRDefault="0061316D" w:rsidP="0061316D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>
              <w:rPr>
                <w:rFonts w:eastAsia="Times New Roman"/>
                <w:color w:val="333333"/>
                <w:sz w:val="18"/>
                <w:szCs w:val="18"/>
              </w:rPr>
              <w:t>You can’t customize an investment portfolio.</w:t>
            </w:r>
          </w:p>
          <w:p w:rsidR="0061316D" w:rsidRPr="0061316D" w:rsidRDefault="0061316D" w:rsidP="0061316D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 </w:t>
            </w:r>
          </w:p>
        </w:tc>
      </w:tr>
      <w:tr w:rsidR="0061316D" w:rsidRPr="0061316D" w:rsidTr="0061316D">
        <w:trPr>
          <w:tblCellSpacing w:w="0" w:type="dxa"/>
        </w:trPr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spacing w:after="30" w:line="264" w:lineRule="auto"/>
              <w:outlineLvl w:val="0"/>
              <w:rPr>
                <w:rFonts w:eastAsia="Times New Roman"/>
                <w:b/>
                <w:bCs/>
                <w:color w:val="666666"/>
                <w:kern w:val="36"/>
              </w:rPr>
            </w:pPr>
            <w:r w:rsidRPr="0061316D">
              <w:rPr>
                <w:rFonts w:eastAsia="Times New Roman"/>
                <w:b/>
                <w:bCs/>
                <w:color w:val="666666"/>
                <w:kern w:val="36"/>
              </w:rPr>
              <w:t>Transfer to another</w:t>
            </w:r>
            <w:r w:rsidRPr="0061316D">
              <w:rPr>
                <w:rFonts w:eastAsia="Times New Roman"/>
                <w:b/>
                <w:bCs/>
                <w:color w:val="666666"/>
                <w:kern w:val="36"/>
              </w:rPr>
              <w:br/>
              <w:t>employer-sponsored plan</w:t>
            </w:r>
          </w:p>
        </w:tc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 can consolidate your assets in one plan. </w:t>
            </w:r>
          </w:p>
          <w:p w:rsidR="0061316D" w:rsidRPr="0061316D" w:rsidRDefault="0061316D" w:rsidP="0061316D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You're allowed to borrow from the plan. </w:t>
            </w:r>
          </w:p>
        </w:tc>
        <w:tc>
          <w:tcPr>
            <w:tcW w:w="0" w:type="auto"/>
            <w:vAlign w:val="center"/>
            <w:hideMark/>
          </w:tcPr>
          <w:p w:rsidR="0061316D" w:rsidRPr="0061316D" w:rsidRDefault="0061316D" w:rsidP="0061316D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You're limited to the plan's investments. </w:t>
            </w:r>
          </w:p>
          <w:p w:rsidR="0061316D" w:rsidRDefault="0061316D" w:rsidP="0061316D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 w:rsidRPr="0061316D">
              <w:rPr>
                <w:rFonts w:eastAsia="Times New Roman"/>
                <w:color w:val="333333"/>
                <w:sz w:val="18"/>
                <w:szCs w:val="18"/>
              </w:rPr>
              <w:t xml:space="preserve">You may have to wait before you can transfer your money. </w:t>
            </w:r>
          </w:p>
          <w:p w:rsidR="0061316D" w:rsidRPr="0061316D" w:rsidRDefault="0061316D" w:rsidP="0061316D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225"/>
              <w:rPr>
                <w:rFonts w:eastAsia="Times New Roman"/>
                <w:color w:val="333333"/>
                <w:sz w:val="18"/>
                <w:szCs w:val="18"/>
              </w:rPr>
            </w:pPr>
            <w:r>
              <w:rPr>
                <w:rFonts w:eastAsia="Times New Roman"/>
                <w:color w:val="333333"/>
                <w:sz w:val="18"/>
                <w:szCs w:val="18"/>
              </w:rPr>
              <w:t>You can’t customize an investment portfolio.</w:t>
            </w:r>
          </w:p>
        </w:tc>
      </w:tr>
    </w:tbl>
    <w:p w:rsidR="0061316D" w:rsidRPr="0061316D" w:rsidRDefault="0061316D" w:rsidP="0061316D">
      <w:pPr>
        <w:spacing w:after="90" w:line="312" w:lineRule="auto"/>
        <w:outlineLvl w:val="2"/>
        <w:rPr>
          <w:rFonts w:eastAsia="Times New Roman"/>
          <w:b/>
          <w:bCs/>
          <w:color w:val="666666"/>
          <w:sz w:val="18"/>
          <w:szCs w:val="18"/>
        </w:rPr>
      </w:pPr>
      <w:r w:rsidRPr="0061316D">
        <w:rPr>
          <w:rFonts w:eastAsia="Times New Roman"/>
          <w:b/>
          <w:bCs/>
          <w:color w:val="666666"/>
          <w:sz w:val="18"/>
          <w:szCs w:val="18"/>
        </w:rPr>
        <w:t>All investments are subject to risk.</w:t>
      </w:r>
    </w:p>
    <w:p w:rsidR="00E65D32" w:rsidRDefault="0061316D"/>
    <w:sectPr w:rsidR="00E65D32" w:rsidSect="001F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E85"/>
    <w:multiLevelType w:val="multilevel"/>
    <w:tmpl w:val="BA8E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A32910"/>
    <w:multiLevelType w:val="multilevel"/>
    <w:tmpl w:val="1B7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E1C7C"/>
    <w:multiLevelType w:val="multilevel"/>
    <w:tmpl w:val="0696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7436C2"/>
    <w:multiLevelType w:val="multilevel"/>
    <w:tmpl w:val="B9B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EE523E"/>
    <w:multiLevelType w:val="multilevel"/>
    <w:tmpl w:val="B9F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8D2151"/>
    <w:multiLevelType w:val="multilevel"/>
    <w:tmpl w:val="9E1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1316D"/>
    <w:rsid w:val="001F3F1E"/>
    <w:rsid w:val="002C5F42"/>
    <w:rsid w:val="004D3B4C"/>
    <w:rsid w:val="0061316D"/>
    <w:rsid w:val="00A60B0D"/>
    <w:rsid w:val="00AB4015"/>
    <w:rsid w:val="00AE3C6E"/>
    <w:rsid w:val="00C87DB8"/>
    <w:rsid w:val="00D8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4C"/>
  </w:style>
  <w:style w:type="paragraph" w:styleId="Heading1">
    <w:name w:val="heading 1"/>
    <w:basedOn w:val="Normal"/>
    <w:link w:val="Heading1Char"/>
    <w:uiPriority w:val="9"/>
    <w:qFormat/>
    <w:rsid w:val="0061316D"/>
    <w:pPr>
      <w:spacing w:after="72" w:line="264" w:lineRule="auto"/>
      <w:outlineLvl w:val="0"/>
    </w:pPr>
    <w:rPr>
      <w:rFonts w:eastAsia="Times New Roman"/>
      <w:b/>
      <w:bCs/>
      <w:kern w:val="36"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61316D"/>
    <w:pPr>
      <w:spacing w:after="24" w:line="312" w:lineRule="auto"/>
      <w:outlineLvl w:val="2"/>
    </w:pPr>
    <w:rPr>
      <w:rFonts w:eastAsia="Times New Roman"/>
      <w:b/>
      <w:bCs/>
      <w:color w:val="3333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16D"/>
    <w:rPr>
      <w:rFonts w:eastAsia="Times New Roman"/>
      <w:b/>
      <w:bCs/>
      <w:kern w:val="36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61316D"/>
    <w:rPr>
      <w:rFonts w:eastAsia="Times New Roman"/>
      <w:b/>
      <w:bCs/>
      <w:color w:val="333333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316D"/>
    <w:pPr>
      <w:spacing w:after="300" w:line="360" w:lineRule="auto"/>
    </w:pPr>
    <w:rPr>
      <w:rFonts w:eastAsia="Times New Roman"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Forza</dc:creator>
  <cp:lastModifiedBy>Forza</cp:lastModifiedBy>
  <cp:revision>1</cp:revision>
  <dcterms:created xsi:type="dcterms:W3CDTF">2011-12-05T23:16:00Z</dcterms:created>
  <dcterms:modified xsi:type="dcterms:W3CDTF">2011-12-05T23:21:00Z</dcterms:modified>
</cp:coreProperties>
</file>