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59585932" w:rsidR="00D17F85" w:rsidRDefault="00DF4B28" w:rsidP="009B41B0">
      <w:pPr>
        <w:widowControl w:val="0"/>
        <w:spacing w:after="0" w:line="240" w:lineRule="auto"/>
        <w:jc w:val="center"/>
        <w:rPr>
          <w:rFonts w:cstheme="minorHAnsi"/>
          <w:b/>
          <w:sz w:val="24"/>
          <w:szCs w:val="24"/>
        </w:rPr>
      </w:pPr>
      <w:r>
        <w:rPr>
          <w:rFonts w:cstheme="minorHAnsi"/>
          <w:b/>
          <w:sz w:val="24"/>
          <w:szCs w:val="24"/>
        </w:rPr>
        <w:t>Policy and Procedure for the Removal and Replacement of Calibration Standards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40C8334E"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r w:rsidR="003A4A21">
        <w:rPr>
          <w:rFonts w:cstheme="minorHAnsi"/>
          <w:b/>
          <w:sz w:val="24"/>
          <w:szCs w:val="24"/>
        </w:rPr>
        <w:t>M4 1.</w:t>
      </w:r>
      <w:r w:rsidR="00AC06F4">
        <w:rPr>
          <w:rFonts w:cstheme="minorHAnsi"/>
          <w:b/>
          <w:sz w:val="24"/>
          <w:szCs w:val="24"/>
        </w:rPr>
        <w:t>7.1.1.(e)</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2A7B22DA"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3976C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5C037A9D"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3976C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38E78C1"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56913917"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065B6700" w14:textId="17F33E2D" w:rsidR="00AC06F4"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13917" w:history="1">
            <w:r w:rsidR="00AC06F4" w:rsidRPr="0067324B">
              <w:rPr>
                <w:rStyle w:val="Hyperlink"/>
                <w:noProof/>
              </w:rPr>
              <w:t>1</w:t>
            </w:r>
            <w:r w:rsidR="00AC06F4">
              <w:rPr>
                <w:rFonts w:eastAsiaTheme="minorEastAsia"/>
                <w:noProof/>
                <w:kern w:val="2"/>
                <w:sz w:val="24"/>
                <w:szCs w:val="24"/>
                <w14:ligatures w14:val="standardContextual"/>
              </w:rPr>
              <w:tab/>
            </w:r>
            <w:r w:rsidR="00AC06F4" w:rsidRPr="0067324B">
              <w:rPr>
                <w:rStyle w:val="Hyperlink"/>
                <w:noProof/>
              </w:rPr>
              <w:t>Table of Contents</w:t>
            </w:r>
            <w:r w:rsidR="00AC06F4">
              <w:rPr>
                <w:noProof/>
                <w:webHidden/>
              </w:rPr>
              <w:tab/>
            </w:r>
            <w:r w:rsidR="00AC06F4">
              <w:rPr>
                <w:noProof/>
                <w:webHidden/>
              </w:rPr>
              <w:fldChar w:fldCharType="begin"/>
            </w:r>
            <w:r w:rsidR="00AC06F4">
              <w:rPr>
                <w:noProof/>
                <w:webHidden/>
              </w:rPr>
              <w:instrText xml:space="preserve"> PAGEREF _Toc156913917 \h </w:instrText>
            </w:r>
            <w:r w:rsidR="00AC06F4">
              <w:rPr>
                <w:noProof/>
                <w:webHidden/>
              </w:rPr>
            </w:r>
            <w:r w:rsidR="00AC06F4">
              <w:rPr>
                <w:noProof/>
                <w:webHidden/>
              </w:rPr>
              <w:fldChar w:fldCharType="separate"/>
            </w:r>
            <w:r w:rsidR="00AC06F4">
              <w:rPr>
                <w:noProof/>
                <w:webHidden/>
              </w:rPr>
              <w:t>3</w:t>
            </w:r>
            <w:r w:rsidR="00AC06F4">
              <w:rPr>
                <w:noProof/>
                <w:webHidden/>
              </w:rPr>
              <w:fldChar w:fldCharType="end"/>
            </w:r>
          </w:hyperlink>
        </w:p>
        <w:p w14:paraId="7B8B249E" w14:textId="53A05710"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18" w:history="1">
            <w:r w:rsidRPr="0067324B">
              <w:rPr>
                <w:rStyle w:val="Hyperlink"/>
                <w:noProof/>
              </w:rPr>
              <w:t>2</w:t>
            </w:r>
            <w:r>
              <w:rPr>
                <w:rFonts w:eastAsiaTheme="minorEastAsia"/>
                <w:noProof/>
                <w:kern w:val="2"/>
                <w:sz w:val="24"/>
                <w:szCs w:val="24"/>
                <w14:ligatures w14:val="standardContextual"/>
              </w:rPr>
              <w:tab/>
            </w:r>
            <w:r w:rsidRPr="0067324B">
              <w:rPr>
                <w:rStyle w:val="Hyperlink"/>
                <w:noProof/>
              </w:rPr>
              <w:t>Policy and Procedure Relating to the Removal and Replacement of Analytical Standards in a Calibration Curve</w:t>
            </w:r>
            <w:r>
              <w:rPr>
                <w:noProof/>
                <w:webHidden/>
              </w:rPr>
              <w:tab/>
            </w:r>
            <w:r>
              <w:rPr>
                <w:noProof/>
                <w:webHidden/>
              </w:rPr>
              <w:fldChar w:fldCharType="begin"/>
            </w:r>
            <w:r>
              <w:rPr>
                <w:noProof/>
                <w:webHidden/>
              </w:rPr>
              <w:instrText xml:space="preserve"> PAGEREF _Toc156913918 \h </w:instrText>
            </w:r>
            <w:r>
              <w:rPr>
                <w:noProof/>
                <w:webHidden/>
              </w:rPr>
            </w:r>
            <w:r>
              <w:rPr>
                <w:noProof/>
                <w:webHidden/>
              </w:rPr>
              <w:fldChar w:fldCharType="separate"/>
            </w:r>
            <w:r>
              <w:rPr>
                <w:noProof/>
                <w:webHidden/>
              </w:rPr>
              <w:t>4</w:t>
            </w:r>
            <w:r>
              <w:rPr>
                <w:noProof/>
                <w:webHidden/>
              </w:rPr>
              <w:fldChar w:fldCharType="end"/>
            </w:r>
          </w:hyperlink>
        </w:p>
        <w:p w14:paraId="2408B564" w14:textId="63FC9C4D"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19" w:history="1">
            <w:r w:rsidRPr="0067324B">
              <w:rPr>
                <w:rStyle w:val="Hyperlink"/>
                <w:noProof/>
              </w:rPr>
              <w:t>3</w:t>
            </w:r>
            <w:r>
              <w:rPr>
                <w:rFonts w:eastAsiaTheme="minorEastAsia"/>
                <w:noProof/>
                <w:kern w:val="2"/>
                <w:sz w:val="24"/>
                <w:szCs w:val="24"/>
                <w14:ligatures w14:val="standardContextual"/>
              </w:rPr>
              <w:tab/>
            </w:r>
            <w:r w:rsidRPr="0067324B">
              <w:rPr>
                <w:rStyle w:val="Hyperlink"/>
                <w:noProof/>
              </w:rPr>
              <w:t>Removal of the lowest or highest standard in a calibration curve</w:t>
            </w:r>
            <w:r>
              <w:rPr>
                <w:noProof/>
                <w:webHidden/>
              </w:rPr>
              <w:tab/>
            </w:r>
            <w:r>
              <w:rPr>
                <w:noProof/>
                <w:webHidden/>
              </w:rPr>
              <w:fldChar w:fldCharType="begin"/>
            </w:r>
            <w:r>
              <w:rPr>
                <w:noProof/>
                <w:webHidden/>
              </w:rPr>
              <w:instrText xml:space="preserve"> PAGEREF _Toc156913919 \h </w:instrText>
            </w:r>
            <w:r>
              <w:rPr>
                <w:noProof/>
                <w:webHidden/>
              </w:rPr>
            </w:r>
            <w:r>
              <w:rPr>
                <w:noProof/>
                <w:webHidden/>
              </w:rPr>
              <w:fldChar w:fldCharType="separate"/>
            </w:r>
            <w:r>
              <w:rPr>
                <w:noProof/>
                <w:webHidden/>
              </w:rPr>
              <w:t>4</w:t>
            </w:r>
            <w:r>
              <w:rPr>
                <w:noProof/>
                <w:webHidden/>
              </w:rPr>
              <w:fldChar w:fldCharType="end"/>
            </w:r>
          </w:hyperlink>
        </w:p>
        <w:p w14:paraId="7D2377B2" w14:textId="54266EC8"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20" w:history="1">
            <w:r w:rsidRPr="0067324B">
              <w:rPr>
                <w:rStyle w:val="Hyperlink"/>
                <w:noProof/>
              </w:rPr>
              <w:t>4</w:t>
            </w:r>
            <w:r>
              <w:rPr>
                <w:rFonts w:eastAsiaTheme="minorEastAsia"/>
                <w:noProof/>
                <w:kern w:val="2"/>
                <w:sz w:val="24"/>
                <w:szCs w:val="24"/>
                <w14:ligatures w14:val="standardContextual"/>
              </w:rPr>
              <w:tab/>
            </w:r>
            <w:r w:rsidRPr="0067324B">
              <w:rPr>
                <w:rStyle w:val="Hyperlink"/>
                <w:noProof/>
              </w:rPr>
              <w:t>Removal and Replacement of a Standard other than the lowest or highest standard</w:t>
            </w:r>
            <w:r>
              <w:rPr>
                <w:noProof/>
                <w:webHidden/>
              </w:rPr>
              <w:tab/>
            </w:r>
            <w:r>
              <w:rPr>
                <w:noProof/>
                <w:webHidden/>
              </w:rPr>
              <w:fldChar w:fldCharType="begin"/>
            </w:r>
            <w:r>
              <w:rPr>
                <w:noProof/>
                <w:webHidden/>
              </w:rPr>
              <w:instrText xml:space="preserve"> PAGEREF _Toc156913920 \h </w:instrText>
            </w:r>
            <w:r>
              <w:rPr>
                <w:noProof/>
                <w:webHidden/>
              </w:rPr>
            </w:r>
            <w:r>
              <w:rPr>
                <w:noProof/>
                <w:webHidden/>
              </w:rPr>
              <w:fldChar w:fldCharType="separate"/>
            </w:r>
            <w:r>
              <w:rPr>
                <w:noProof/>
                <w:webHidden/>
              </w:rPr>
              <w:t>4</w:t>
            </w:r>
            <w:r>
              <w:rPr>
                <w:noProof/>
                <w:webHidden/>
              </w:rPr>
              <w:fldChar w:fldCharType="end"/>
            </w:r>
          </w:hyperlink>
        </w:p>
        <w:p w14:paraId="54B3D49C" w14:textId="4F1D3DD9"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21" w:history="1">
            <w:r w:rsidRPr="0067324B">
              <w:rPr>
                <w:rStyle w:val="Hyperlink"/>
                <w:noProof/>
              </w:rPr>
              <w:t>5</w:t>
            </w:r>
            <w:r>
              <w:rPr>
                <w:rFonts w:eastAsiaTheme="minorEastAsia"/>
                <w:noProof/>
                <w:kern w:val="2"/>
                <w:sz w:val="24"/>
                <w:szCs w:val="24"/>
                <w14:ligatures w14:val="standardContextual"/>
              </w:rPr>
              <w:tab/>
            </w:r>
            <w:r w:rsidRPr="0067324B">
              <w:rPr>
                <w:rStyle w:val="Hyperlink"/>
                <w:noProof/>
              </w:rPr>
              <w:t>References</w:t>
            </w:r>
            <w:r>
              <w:rPr>
                <w:noProof/>
                <w:webHidden/>
              </w:rPr>
              <w:tab/>
            </w:r>
            <w:r>
              <w:rPr>
                <w:noProof/>
                <w:webHidden/>
              </w:rPr>
              <w:fldChar w:fldCharType="begin"/>
            </w:r>
            <w:r>
              <w:rPr>
                <w:noProof/>
                <w:webHidden/>
              </w:rPr>
              <w:instrText xml:space="preserve"> PAGEREF _Toc156913921 \h </w:instrText>
            </w:r>
            <w:r>
              <w:rPr>
                <w:noProof/>
                <w:webHidden/>
              </w:rPr>
            </w:r>
            <w:r>
              <w:rPr>
                <w:noProof/>
                <w:webHidden/>
              </w:rPr>
              <w:fldChar w:fldCharType="separate"/>
            </w:r>
            <w:r>
              <w:rPr>
                <w:noProof/>
                <w:webHidden/>
              </w:rPr>
              <w:t>5</w:t>
            </w:r>
            <w:r>
              <w:rPr>
                <w:noProof/>
                <w:webHidden/>
              </w:rPr>
              <w:fldChar w:fldCharType="end"/>
            </w:r>
          </w:hyperlink>
        </w:p>
        <w:p w14:paraId="11F042B6" w14:textId="4BAFED21"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22" w:history="1">
            <w:r w:rsidRPr="0067324B">
              <w:rPr>
                <w:rStyle w:val="Hyperlink"/>
                <w:noProof/>
              </w:rPr>
              <w:t>6</w:t>
            </w:r>
            <w:r>
              <w:rPr>
                <w:rFonts w:eastAsiaTheme="minorEastAsia"/>
                <w:noProof/>
                <w:kern w:val="2"/>
                <w:sz w:val="24"/>
                <w:szCs w:val="24"/>
                <w14:ligatures w14:val="standardContextual"/>
              </w:rPr>
              <w:tab/>
            </w:r>
            <w:r w:rsidRPr="0067324B">
              <w:rPr>
                <w:rStyle w:val="Hyperlink"/>
                <w:noProof/>
              </w:rPr>
              <w:t>Definitions and Acronyms</w:t>
            </w:r>
            <w:r>
              <w:rPr>
                <w:noProof/>
                <w:webHidden/>
              </w:rPr>
              <w:tab/>
            </w:r>
            <w:r>
              <w:rPr>
                <w:noProof/>
                <w:webHidden/>
              </w:rPr>
              <w:fldChar w:fldCharType="begin"/>
            </w:r>
            <w:r>
              <w:rPr>
                <w:noProof/>
                <w:webHidden/>
              </w:rPr>
              <w:instrText xml:space="preserve"> PAGEREF _Toc156913922 \h </w:instrText>
            </w:r>
            <w:r>
              <w:rPr>
                <w:noProof/>
                <w:webHidden/>
              </w:rPr>
            </w:r>
            <w:r>
              <w:rPr>
                <w:noProof/>
                <w:webHidden/>
              </w:rPr>
              <w:fldChar w:fldCharType="separate"/>
            </w:r>
            <w:r>
              <w:rPr>
                <w:noProof/>
                <w:webHidden/>
              </w:rPr>
              <w:t>5</w:t>
            </w:r>
            <w:r>
              <w:rPr>
                <w:noProof/>
                <w:webHidden/>
              </w:rPr>
              <w:fldChar w:fldCharType="end"/>
            </w:r>
          </w:hyperlink>
        </w:p>
        <w:p w14:paraId="493BF205" w14:textId="16100117" w:rsidR="00AC06F4" w:rsidRDefault="00AC06F4">
          <w:pPr>
            <w:pStyle w:val="TOC2"/>
            <w:tabs>
              <w:tab w:val="left" w:pos="960"/>
              <w:tab w:val="right" w:leader="dot" w:pos="9350"/>
            </w:tabs>
            <w:rPr>
              <w:rFonts w:eastAsiaTheme="minorEastAsia"/>
              <w:noProof/>
              <w:kern w:val="2"/>
              <w:sz w:val="24"/>
              <w:szCs w:val="24"/>
              <w14:ligatures w14:val="standardContextual"/>
            </w:rPr>
          </w:pPr>
          <w:hyperlink w:anchor="_Toc156913923" w:history="1">
            <w:r w:rsidRPr="0067324B">
              <w:rPr>
                <w:rStyle w:val="Hyperlink"/>
                <w:noProof/>
              </w:rPr>
              <w:t>6.1</w:t>
            </w:r>
            <w:r>
              <w:rPr>
                <w:rFonts w:eastAsiaTheme="minorEastAsia"/>
                <w:noProof/>
                <w:kern w:val="2"/>
                <w:sz w:val="24"/>
                <w:szCs w:val="24"/>
                <w14:ligatures w14:val="standardContextual"/>
              </w:rPr>
              <w:tab/>
            </w:r>
            <w:r w:rsidRPr="0067324B">
              <w:rPr>
                <w:rStyle w:val="Hyperlink"/>
                <w:noProof/>
              </w:rPr>
              <w:t>Definitions</w:t>
            </w:r>
            <w:r>
              <w:rPr>
                <w:noProof/>
                <w:webHidden/>
              </w:rPr>
              <w:tab/>
            </w:r>
            <w:r>
              <w:rPr>
                <w:noProof/>
                <w:webHidden/>
              </w:rPr>
              <w:fldChar w:fldCharType="begin"/>
            </w:r>
            <w:r>
              <w:rPr>
                <w:noProof/>
                <w:webHidden/>
              </w:rPr>
              <w:instrText xml:space="preserve"> PAGEREF _Toc156913923 \h </w:instrText>
            </w:r>
            <w:r>
              <w:rPr>
                <w:noProof/>
                <w:webHidden/>
              </w:rPr>
            </w:r>
            <w:r>
              <w:rPr>
                <w:noProof/>
                <w:webHidden/>
              </w:rPr>
              <w:fldChar w:fldCharType="separate"/>
            </w:r>
            <w:r>
              <w:rPr>
                <w:noProof/>
                <w:webHidden/>
              </w:rPr>
              <w:t>5</w:t>
            </w:r>
            <w:r>
              <w:rPr>
                <w:noProof/>
                <w:webHidden/>
              </w:rPr>
              <w:fldChar w:fldCharType="end"/>
            </w:r>
          </w:hyperlink>
        </w:p>
        <w:p w14:paraId="1BC0829C" w14:textId="323A36E4" w:rsidR="00AC06F4" w:rsidRDefault="00AC06F4">
          <w:pPr>
            <w:pStyle w:val="TOC2"/>
            <w:tabs>
              <w:tab w:val="left" w:pos="960"/>
              <w:tab w:val="right" w:leader="dot" w:pos="9350"/>
            </w:tabs>
            <w:rPr>
              <w:rFonts w:eastAsiaTheme="minorEastAsia"/>
              <w:noProof/>
              <w:kern w:val="2"/>
              <w:sz w:val="24"/>
              <w:szCs w:val="24"/>
              <w14:ligatures w14:val="standardContextual"/>
            </w:rPr>
          </w:pPr>
          <w:hyperlink w:anchor="_Toc156913924" w:history="1">
            <w:r w:rsidRPr="0067324B">
              <w:rPr>
                <w:rStyle w:val="Hyperlink"/>
                <w:noProof/>
              </w:rPr>
              <w:t>6.2</w:t>
            </w:r>
            <w:r>
              <w:rPr>
                <w:rFonts w:eastAsiaTheme="minorEastAsia"/>
                <w:noProof/>
                <w:kern w:val="2"/>
                <w:sz w:val="24"/>
                <w:szCs w:val="24"/>
                <w14:ligatures w14:val="standardContextual"/>
              </w:rPr>
              <w:tab/>
            </w:r>
            <w:r w:rsidRPr="0067324B">
              <w:rPr>
                <w:rStyle w:val="Hyperlink"/>
                <w:noProof/>
              </w:rPr>
              <w:t>Acronyms</w:t>
            </w:r>
            <w:r>
              <w:rPr>
                <w:noProof/>
                <w:webHidden/>
              </w:rPr>
              <w:tab/>
            </w:r>
            <w:r>
              <w:rPr>
                <w:noProof/>
                <w:webHidden/>
              </w:rPr>
              <w:fldChar w:fldCharType="begin"/>
            </w:r>
            <w:r>
              <w:rPr>
                <w:noProof/>
                <w:webHidden/>
              </w:rPr>
              <w:instrText xml:space="preserve"> PAGEREF _Toc156913924 \h </w:instrText>
            </w:r>
            <w:r>
              <w:rPr>
                <w:noProof/>
                <w:webHidden/>
              </w:rPr>
            </w:r>
            <w:r>
              <w:rPr>
                <w:noProof/>
                <w:webHidden/>
              </w:rPr>
              <w:fldChar w:fldCharType="separate"/>
            </w:r>
            <w:r>
              <w:rPr>
                <w:noProof/>
                <w:webHidden/>
              </w:rPr>
              <w:t>5</w:t>
            </w:r>
            <w:r>
              <w:rPr>
                <w:noProof/>
                <w:webHidden/>
              </w:rPr>
              <w:fldChar w:fldCharType="end"/>
            </w:r>
          </w:hyperlink>
        </w:p>
        <w:p w14:paraId="435F5784" w14:textId="33ED4D83" w:rsidR="00AC06F4" w:rsidRDefault="00AC06F4">
          <w:pPr>
            <w:pStyle w:val="TOC1"/>
            <w:tabs>
              <w:tab w:val="left" w:pos="440"/>
              <w:tab w:val="right" w:leader="dot" w:pos="9350"/>
            </w:tabs>
            <w:rPr>
              <w:rFonts w:eastAsiaTheme="minorEastAsia"/>
              <w:noProof/>
              <w:kern w:val="2"/>
              <w:sz w:val="24"/>
              <w:szCs w:val="24"/>
              <w14:ligatures w14:val="standardContextual"/>
            </w:rPr>
          </w:pPr>
          <w:hyperlink w:anchor="_Toc156913925" w:history="1">
            <w:r w:rsidRPr="0067324B">
              <w:rPr>
                <w:rStyle w:val="Hyperlink"/>
                <w:noProof/>
              </w:rPr>
              <w:t>7</w:t>
            </w:r>
            <w:r>
              <w:rPr>
                <w:rFonts w:eastAsiaTheme="minorEastAsia"/>
                <w:noProof/>
                <w:kern w:val="2"/>
                <w:sz w:val="24"/>
                <w:szCs w:val="24"/>
                <w14:ligatures w14:val="standardContextual"/>
              </w:rPr>
              <w:tab/>
            </w:r>
            <w:r w:rsidRPr="0067324B">
              <w:rPr>
                <w:rStyle w:val="Hyperlink"/>
                <w:noProof/>
              </w:rPr>
              <w:t>Appendices</w:t>
            </w:r>
            <w:r>
              <w:rPr>
                <w:noProof/>
                <w:webHidden/>
              </w:rPr>
              <w:tab/>
            </w:r>
            <w:r>
              <w:rPr>
                <w:noProof/>
                <w:webHidden/>
              </w:rPr>
              <w:fldChar w:fldCharType="begin"/>
            </w:r>
            <w:r>
              <w:rPr>
                <w:noProof/>
                <w:webHidden/>
              </w:rPr>
              <w:instrText xml:space="preserve"> PAGEREF _Toc156913925 \h </w:instrText>
            </w:r>
            <w:r>
              <w:rPr>
                <w:noProof/>
                <w:webHidden/>
              </w:rPr>
            </w:r>
            <w:r>
              <w:rPr>
                <w:noProof/>
                <w:webHidden/>
              </w:rPr>
              <w:fldChar w:fldCharType="separate"/>
            </w:r>
            <w:r>
              <w:rPr>
                <w:noProof/>
                <w:webHidden/>
              </w:rPr>
              <w:t>6</w:t>
            </w:r>
            <w:r>
              <w:rPr>
                <w:noProof/>
                <w:webHidden/>
              </w:rPr>
              <w:fldChar w:fldCharType="end"/>
            </w:r>
          </w:hyperlink>
        </w:p>
        <w:p w14:paraId="17B12B1E" w14:textId="3BAD2950"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32F900DC" w14:textId="77777777" w:rsidR="00DF4B28" w:rsidRDefault="00DF4B28" w:rsidP="00DF4B28">
      <w:pPr>
        <w:pStyle w:val="Heading1"/>
      </w:pPr>
      <w:bookmarkStart w:id="2" w:name="_Toc156913918"/>
      <w:r>
        <w:t>Policy and Procedure Relating to the Removal and Replacement of Analytical Standards in a Calibration Curve</w:t>
      </w:r>
      <w:bookmarkEnd w:id="2"/>
    </w:p>
    <w:p w14:paraId="15A2B5E4" w14:textId="77777777" w:rsidR="00DF4B28" w:rsidRDefault="00DF4B28" w:rsidP="00DF4B28">
      <w:pPr>
        <w:pStyle w:val="BodyText"/>
        <w:spacing w:after="0" w:line="240" w:lineRule="auto"/>
        <w:ind w:left="0"/>
        <w:rPr>
          <w:rFonts w:asciiTheme="minorHAnsi" w:hAnsiTheme="minorHAnsi" w:cs="Verdana"/>
          <w:sz w:val="24"/>
          <w:szCs w:val="24"/>
        </w:rPr>
      </w:pPr>
    </w:p>
    <w:p w14:paraId="1E28A7A0" w14:textId="075424AF"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 xml:space="preserve">In general, analytical calibration standards that do not produce viable calibration curves even if it is due to one standard, are to be discarded and replaced by a new curve from newly prepared standards.  However, in certain cases, it may be necessary to remove or replace standards </w:t>
      </w:r>
      <w:r w:rsidR="00AC06F4">
        <w:rPr>
          <w:rFonts w:asciiTheme="minorHAnsi" w:hAnsiTheme="minorHAnsi" w:cs="Verdana"/>
          <w:sz w:val="24"/>
          <w:szCs w:val="24"/>
        </w:rPr>
        <w:t>to</w:t>
      </w:r>
      <w:r>
        <w:rPr>
          <w:rFonts w:asciiTheme="minorHAnsi" w:hAnsiTheme="minorHAnsi" w:cs="Verdana"/>
          <w:sz w:val="24"/>
          <w:szCs w:val="24"/>
        </w:rPr>
        <w:t xml:space="preserve"> use the generated curve.  Those reasons are limited to when the sample cannot be analyzed due to either the new analysis is past the stated hold time for the analyte or there is insufficient sample left to complete the analysis.</w:t>
      </w:r>
    </w:p>
    <w:p w14:paraId="18B356A8" w14:textId="77777777" w:rsidR="00DF4B28" w:rsidRDefault="00DF4B28" w:rsidP="00DF4B28">
      <w:pPr>
        <w:pStyle w:val="BodyText"/>
        <w:spacing w:after="0" w:line="240" w:lineRule="auto"/>
        <w:ind w:left="0"/>
        <w:rPr>
          <w:rFonts w:asciiTheme="minorHAnsi" w:hAnsiTheme="minorHAnsi" w:cs="Verdana"/>
          <w:sz w:val="24"/>
          <w:szCs w:val="24"/>
        </w:rPr>
      </w:pPr>
    </w:p>
    <w:p w14:paraId="5CFE285C" w14:textId="77777777" w:rsidR="00DF4B28" w:rsidRDefault="00DF4B28" w:rsidP="00DF4B28">
      <w:pPr>
        <w:pStyle w:val="Heading1"/>
      </w:pPr>
      <w:bookmarkStart w:id="3" w:name="_Toc156913919"/>
      <w:r>
        <w:t>Removal of the lowest or highest standard in a calibration curve</w:t>
      </w:r>
      <w:bookmarkEnd w:id="3"/>
    </w:p>
    <w:p w14:paraId="1D5F462A" w14:textId="77777777" w:rsidR="00DF4B28" w:rsidRDefault="00DF4B28" w:rsidP="00DF4B28">
      <w:pPr>
        <w:pStyle w:val="BodyText"/>
        <w:spacing w:after="0" w:line="240" w:lineRule="auto"/>
        <w:ind w:left="0"/>
        <w:rPr>
          <w:rFonts w:asciiTheme="minorHAnsi" w:hAnsiTheme="minorHAnsi" w:cs="Verdana"/>
          <w:sz w:val="24"/>
          <w:szCs w:val="24"/>
        </w:rPr>
      </w:pPr>
    </w:p>
    <w:p w14:paraId="6B136C95" w14:textId="77777777"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If the need to fix the calibration curve is because the highest or lowest standard is the cause of the error, then the standard may be removed and not replaced.  The following conditions will change if this is done.</w:t>
      </w:r>
    </w:p>
    <w:p w14:paraId="63397A3A" w14:textId="77777777" w:rsidR="00DF4B28" w:rsidRDefault="00DF4B28" w:rsidP="00DF4B28">
      <w:pPr>
        <w:pStyle w:val="BodyText"/>
        <w:spacing w:after="0" w:line="240" w:lineRule="auto"/>
        <w:ind w:left="0"/>
        <w:rPr>
          <w:rFonts w:asciiTheme="minorHAnsi" w:hAnsiTheme="minorHAnsi" w:cs="Verdana"/>
          <w:sz w:val="24"/>
          <w:szCs w:val="24"/>
        </w:rPr>
      </w:pPr>
    </w:p>
    <w:p w14:paraId="2F12E4B4" w14:textId="77777777"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If the lowest standard is removed, the Limit of Quantitation value for that analysis is set to the next lowest standard concentration.  The Limit of Detection is not affected as it is based on a different procedure.</w:t>
      </w:r>
    </w:p>
    <w:p w14:paraId="02DC9ADF" w14:textId="77777777" w:rsidR="00DF4B28" w:rsidRDefault="00DF4B28" w:rsidP="00DF4B28">
      <w:pPr>
        <w:pStyle w:val="BodyText"/>
        <w:spacing w:after="0" w:line="240" w:lineRule="auto"/>
        <w:ind w:left="0"/>
        <w:rPr>
          <w:rFonts w:asciiTheme="minorHAnsi" w:hAnsiTheme="minorHAnsi" w:cs="Verdana"/>
          <w:sz w:val="24"/>
          <w:szCs w:val="24"/>
        </w:rPr>
      </w:pPr>
    </w:p>
    <w:p w14:paraId="642E0971" w14:textId="77777777"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If the highest standard is removed, then no sample may be quantified if its response is higher than the next highest standard in the curve.</w:t>
      </w:r>
    </w:p>
    <w:p w14:paraId="691F569D" w14:textId="59E16B3D" w:rsidR="0078374A" w:rsidRPr="00E006FC" w:rsidRDefault="0078374A" w:rsidP="00D57721">
      <w:pPr>
        <w:spacing w:after="0" w:line="240" w:lineRule="auto"/>
        <w:rPr>
          <w:sz w:val="24"/>
          <w:szCs w:val="24"/>
        </w:rPr>
      </w:pPr>
    </w:p>
    <w:p w14:paraId="7154BF8B" w14:textId="77777777" w:rsidR="00DF4B28" w:rsidRDefault="00DF4B28" w:rsidP="00DF4B28">
      <w:pPr>
        <w:pStyle w:val="Heading1"/>
      </w:pPr>
      <w:bookmarkStart w:id="4" w:name="_Toc156913920"/>
      <w:r>
        <w:t>Removal and Replacement of a Standard other than the lowest or highest standard</w:t>
      </w:r>
      <w:bookmarkEnd w:id="4"/>
    </w:p>
    <w:p w14:paraId="5B45306E" w14:textId="77777777" w:rsidR="00DF4B28" w:rsidRDefault="00DF4B28" w:rsidP="00DF4B28">
      <w:pPr>
        <w:pStyle w:val="BodyText"/>
        <w:spacing w:after="0" w:line="240" w:lineRule="auto"/>
        <w:ind w:left="0"/>
        <w:rPr>
          <w:rFonts w:asciiTheme="minorHAnsi" w:hAnsiTheme="minorHAnsi" w:cs="Verdana"/>
          <w:sz w:val="24"/>
          <w:szCs w:val="24"/>
        </w:rPr>
      </w:pPr>
    </w:p>
    <w:p w14:paraId="085FCC66" w14:textId="77777777"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This can only be done if the analytical software used allows for a reanalysis of a standard to replace the affected standard.  The conditions listed above Must be met.  It also cannot be done if there are issues with the lowest or highest standard and they are to be dropped.</w:t>
      </w:r>
    </w:p>
    <w:p w14:paraId="5E310FC3" w14:textId="77777777" w:rsidR="00DF4B28" w:rsidRDefault="00DF4B28" w:rsidP="00DF4B28">
      <w:pPr>
        <w:pStyle w:val="BodyText"/>
        <w:spacing w:after="0" w:line="240" w:lineRule="auto"/>
        <w:ind w:left="0"/>
        <w:rPr>
          <w:rFonts w:asciiTheme="minorHAnsi" w:hAnsiTheme="minorHAnsi" w:cs="Verdana"/>
          <w:sz w:val="24"/>
          <w:szCs w:val="24"/>
        </w:rPr>
      </w:pPr>
    </w:p>
    <w:p w14:paraId="1B369A36" w14:textId="77777777" w:rsidR="00DF4B28"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The following conditions and record keeping are required.</w:t>
      </w:r>
    </w:p>
    <w:p w14:paraId="18C6D273" w14:textId="77777777" w:rsidR="00DF4B28" w:rsidRDefault="00DF4B28" w:rsidP="00DF4B28">
      <w:pPr>
        <w:pStyle w:val="BodyText"/>
        <w:spacing w:after="0" w:line="240" w:lineRule="auto"/>
        <w:ind w:left="0"/>
        <w:rPr>
          <w:rFonts w:asciiTheme="minorHAnsi" w:hAnsiTheme="minorHAnsi" w:cs="Verdana"/>
          <w:sz w:val="24"/>
          <w:szCs w:val="24"/>
        </w:rPr>
      </w:pPr>
    </w:p>
    <w:p w14:paraId="1E844E89" w14:textId="77777777" w:rsidR="00DF4B28" w:rsidRDefault="00DF4B28" w:rsidP="00DF4B28">
      <w:pPr>
        <w:pStyle w:val="BodyText"/>
        <w:numPr>
          <w:ilvl w:val="0"/>
          <w:numId w:val="13"/>
        </w:numPr>
        <w:spacing w:after="0" w:line="240" w:lineRule="auto"/>
        <w:rPr>
          <w:rFonts w:asciiTheme="minorHAnsi" w:hAnsiTheme="minorHAnsi" w:cs="Verdana"/>
          <w:sz w:val="24"/>
          <w:szCs w:val="24"/>
        </w:rPr>
      </w:pPr>
      <w:r>
        <w:rPr>
          <w:rFonts w:asciiTheme="minorHAnsi" w:hAnsiTheme="minorHAnsi" w:cs="Verdana"/>
          <w:sz w:val="24"/>
          <w:szCs w:val="24"/>
        </w:rPr>
        <w:t>It is known that an error occurred in the production of the standard.  This must be verified by a second analyst and the apparent standard concentration appears to be a multiple of the intended concentration.</w:t>
      </w:r>
    </w:p>
    <w:p w14:paraId="54C59F8E" w14:textId="77777777" w:rsidR="00DF4B28" w:rsidRDefault="00DF4B28" w:rsidP="00DF4B28">
      <w:pPr>
        <w:pStyle w:val="BodyText"/>
        <w:numPr>
          <w:ilvl w:val="0"/>
          <w:numId w:val="13"/>
        </w:numPr>
        <w:spacing w:after="0" w:line="240" w:lineRule="auto"/>
        <w:rPr>
          <w:rFonts w:asciiTheme="minorHAnsi" w:hAnsiTheme="minorHAnsi" w:cs="Verdana"/>
          <w:sz w:val="24"/>
          <w:szCs w:val="24"/>
        </w:rPr>
      </w:pPr>
      <w:r>
        <w:rPr>
          <w:rFonts w:asciiTheme="minorHAnsi" w:hAnsiTheme="minorHAnsi" w:cs="Verdana"/>
          <w:sz w:val="24"/>
          <w:szCs w:val="24"/>
        </w:rPr>
        <w:t>The % RSE for that individual standard is greater than 50%.</w:t>
      </w:r>
    </w:p>
    <w:p w14:paraId="3C86F6DC" w14:textId="77777777" w:rsidR="00DF4B28" w:rsidRDefault="00DF4B28" w:rsidP="00DF4B28">
      <w:pPr>
        <w:pStyle w:val="BodyText"/>
        <w:spacing w:after="0" w:line="240" w:lineRule="auto"/>
        <w:ind w:left="0"/>
        <w:rPr>
          <w:rFonts w:asciiTheme="minorHAnsi" w:hAnsiTheme="minorHAnsi" w:cs="Verdana"/>
          <w:sz w:val="24"/>
          <w:szCs w:val="24"/>
        </w:rPr>
      </w:pPr>
    </w:p>
    <w:p w14:paraId="20B91B75" w14:textId="77777777" w:rsidR="00DF4B28" w:rsidRPr="00DD7EAE" w:rsidRDefault="00DF4B28" w:rsidP="00DF4B28">
      <w:pPr>
        <w:pStyle w:val="BodyText"/>
        <w:spacing w:after="0" w:line="240" w:lineRule="auto"/>
        <w:ind w:left="0"/>
        <w:rPr>
          <w:rFonts w:asciiTheme="minorHAnsi" w:hAnsiTheme="minorHAnsi" w:cs="Verdana"/>
          <w:sz w:val="24"/>
          <w:szCs w:val="24"/>
        </w:rPr>
      </w:pPr>
      <w:r>
        <w:rPr>
          <w:rFonts w:asciiTheme="minorHAnsi" w:hAnsiTheme="minorHAnsi" w:cs="Verdana"/>
          <w:sz w:val="24"/>
          <w:szCs w:val="24"/>
        </w:rPr>
        <w:t xml:space="preserve">The affected standard is to be reprepared at the affected concentration, then </w:t>
      </w:r>
      <w:proofErr w:type="gramStart"/>
      <w:r>
        <w:rPr>
          <w:rFonts w:asciiTheme="minorHAnsi" w:hAnsiTheme="minorHAnsi" w:cs="Verdana"/>
          <w:sz w:val="24"/>
          <w:szCs w:val="24"/>
        </w:rPr>
        <w:t>analyzed</w:t>
      </w:r>
      <w:proofErr w:type="gramEnd"/>
      <w:r>
        <w:rPr>
          <w:rFonts w:asciiTheme="minorHAnsi" w:hAnsiTheme="minorHAnsi" w:cs="Verdana"/>
          <w:sz w:val="24"/>
          <w:szCs w:val="24"/>
        </w:rPr>
        <w:t xml:space="preserve"> and substituted for the affected concentration in the calibration curve.</w:t>
      </w:r>
    </w:p>
    <w:p w14:paraId="122C615F" w14:textId="47790751" w:rsidR="004E71B9" w:rsidRPr="00E006FC" w:rsidRDefault="004E71B9" w:rsidP="00C457BE">
      <w:pPr>
        <w:spacing w:after="0" w:line="240" w:lineRule="auto"/>
        <w:rPr>
          <w:sz w:val="24"/>
          <w:szCs w:val="24"/>
        </w:rPr>
      </w:pPr>
    </w:p>
    <w:p w14:paraId="7C3688D8" w14:textId="08B0C785" w:rsidR="00D8348A" w:rsidRDefault="000137CC" w:rsidP="00D17F85">
      <w:pPr>
        <w:pStyle w:val="Heading1"/>
      </w:pPr>
      <w:bookmarkStart w:id="5" w:name="_Toc156913921"/>
      <w:r>
        <w:t>References</w:t>
      </w:r>
      <w:bookmarkEnd w:id="5"/>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24D61471" w14:textId="1B3309F9" w:rsidR="000137CC" w:rsidRDefault="000137CC" w:rsidP="00D17F85">
      <w:pPr>
        <w:pStyle w:val="Heading1"/>
      </w:pPr>
      <w:bookmarkStart w:id="6" w:name="_Toc156913922"/>
      <w:r>
        <w:t xml:space="preserve">Definitions and </w:t>
      </w:r>
      <w:r w:rsidR="00D17F85">
        <w:t>Acronyms</w:t>
      </w:r>
      <w:bookmarkEnd w:id="6"/>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7"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8" w:name="_Toc156913923"/>
      <w:r>
        <w:t>Definitions</w:t>
      </w:r>
      <w:bookmarkEnd w:id="8"/>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9" w:name="_Toc156913924"/>
      <w:r>
        <w:t>Acronyms</w:t>
      </w:r>
      <w:bookmarkEnd w:id="9"/>
    </w:p>
    <w:bookmarkEnd w:id="7"/>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10" w:name="_Toc156913925"/>
      <w:r>
        <w:t>Appendices</w:t>
      </w:r>
      <w:bookmarkEnd w:id="10"/>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CD727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97AB" w14:textId="77777777" w:rsidR="00CD7279" w:rsidRDefault="00CD7279" w:rsidP="00C457BE">
      <w:pPr>
        <w:spacing w:after="0" w:line="240" w:lineRule="auto"/>
      </w:pPr>
      <w:r>
        <w:separator/>
      </w:r>
    </w:p>
  </w:endnote>
  <w:endnote w:type="continuationSeparator" w:id="0">
    <w:p w14:paraId="302FF613" w14:textId="77777777" w:rsidR="00CD7279" w:rsidRDefault="00CD7279"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668EAE8" w:rsidR="00D17F85" w:rsidRDefault="003976C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3FFD" w14:textId="77777777" w:rsidR="00CD7279" w:rsidRDefault="00CD7279" w:rsidP="00C457BE">
      <w:pPr>
        <w:spacing w:after="0" w:line="240" w:lineRule="auto"/>
      </w:pPr>
      <w:r>
        <w:separator/>
      </w:r>
    </w:p>
  </w:footnote>
  <w:footnote w:type="continuationSeparator" w:id="0">
    <w:p w14:paraId="51563A7C" w14:textId="77777777" w:rsidR="00CD7279" w:rsidRDefault="00CD7279"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3DF88383" w:rsidR="00CC16C5" w:rsidRDefault="00D17F85">
    <w:pPr>
      <w:pStyle w:val="Header"/>
    </w:pPr>
    <w:r>
      <w:ptab w:relativeTo="margin" w:alignment="center" w:leader="none"/>
    </w:r>
    <w:r w:rsidR="00DF4B28">
      <w:t>Policy and Procedure for the Removal and Replacement of Calibration Standards</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23334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C336B"/>
    <w:multiLevelType w:val="hybridMultilevel"/>
    <w:tmpl w:val="7D2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A4D76"/>
    <w:multiLevelType w:val="hybridMultilevel"/>
    <w:tmpl w:val="BC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3514">
    <w:abstractNumId w:val="6"/>
  </w:num>
  <w:num w:numId="2" w16cid:durableId="1850677699">
    <w:abstractNumId w:val="7"/>
  </w:num>
  <w:num w:numId="3" w16cid:durableId="827671926">
    <w:abstractNumId w:val="1"/>
  </w:num>
  <w:num w:numId="4" w16cid:durableId="66806865">
    <w:abstractNumId w:val="2"/>
  </w:num>
  <w:num w:numId="5" w16cid:durableId="2098213636">
    <w:abstractNumId w:val="10"/>
  </w:num>
  <w:num w:numId="6" w16cid:durableId="985553970">
    <w:abstractNumId w:val="8"/>
  </w:num>
  <w:num w:numId="7" w16cid:durableId="911162277">
    <w:abstractNumId w:val="0"/>
  </w:num>
  <w:num w:numId="8" w16cid:durableId="1692103507">
    <w:abstractNumId w:val="11"/>
  </w:num>
  <w:num w:numId="9" w16cid:durableId="16934252">
    <w:abstractNumId w:val="4"/>
  </w:num>
  <w:num w:numId="10" w16cid:durableId="786237962">
    <w:abstractNumId w:val="9"/>
  </w:num>
  <w:num w:numId="11" w16cid:durableId="1373506376">
    <w:abstractNumId w:val="5"/>
  </w:num>
  <w:num w:numId="12" w16cid:durableId="383335268">
    <w:abstractNumId w:val="3"/>
  </w:num>
  <w:num w:numId="13" w16cid:durableId="1239294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668"/>
    <w:rsid w:val="00030B22"/>
    <w:rsid w:val="0004017B"/>
    <w:rsid w:val="000654C3"/>
    <w:rsid w:val="000735B8"/>
    <w:rsid w:val="000800B1"/>
    <w:rsid w:val="000B0CFD"/>
    <w:rsid w:val="000C3B10"/>
    <w:rsid w:val="000F2FD9"/>
    <w:rsid w:val="000F6FB5"/>
    <w:rsid w:val="001031E2"/>
    <w:rsid w:val="00105247"/>
    <w:rsid w:val="001124A0"/>
    <w:rsid w:val="001133E0"/>
    <w:rsid w:val="0012261B"/>
    <w:rsid w:val="00123588"/>
    <w:rsid w:val="001278E6"/>
    <w:rsid w:val="00135B25"/>
    <w:rsid w:val="001405EF"/>
    <w:rsid w:val="00151405"/>
    <w:rsid w:val="00157608"/>
    <w:rsid w:val="001657D1"/>
    <w:rsid w:val="0017042D"/>
    <w:rsid w:val="00185270"/>
    <w:rsid w:val="001935F8"/>
    <w:rsid w:val="001A63E6"/>
    <w:rsid w:val="001B5189"/>
    <w:rsid w:val="001C06C2"/>
    <w:rsid w:val="001C656C"/>
    <w:rsid w:val="001F3B75"/>
    <w:rsid w:val="00201EA2"/>
    <w:rsid w:val="00202946"/>
    <w:rsid w:val="00223B88"/>
    <w:rsid w:val="00233342"/>
    <w:rsid w:val="00240E5C"/>
    <w:rsid w:val="00262683"/>
    <w:rsid w:val="002A6740"/>
    <w:rsid w:val="002E67B8"/>
    <w:rsid w:val="00303CF0"/>
    <w:rsid w:val="00316F5D"/>
    <w:rsid w:val="003278FB"/>
    <w:rsid w:val="00356521"/>
    <w:rsid w:val="003569F3"/>
    <w:rsid w:val="003622A6"/>
    <w:rsid w:val="00365251"/>
    <w:rsid w:val="00386252"/>
    <w:rsid w:val="00387802"/>
    <w:rsid w:val="00393087"/>
    <w:rsid w:val="00394A12"/>
    <w:rsid w:val="003976C8"/>
    <w:rsid w:val="003A2600"/>
    <w:rsid w:val="003A4A21"/>
    <w:rsid w:val="003A6441"/>
    <w:rsid w:val="003B6575"/>
    <w:rsid w:val="003C5128"/>
    <w:rsid w:val="003E5CCE"/>
    <w:rsid w:val="003F35E9"/>
    <w:rsid w:val="004044E4"/>
    <w:rsid w:val="00436B8E"/>
    <w:rsid w:val="00464F35"/>
    <w:rsid w:val="00466024"/>
    <w:rsid w:val="004712AE"/>
    <w:rsid w:val="004718F8"/>
    <w:rsid w:val="004977ED"/>
    <w:rsid w:val="004B0F1E"/>
    <w:rsid w:val="004D530E"/>
    <w:rsid w:val="004E2F6D"/>
    <w:rsid w:val="004E71B9"/>
    <w:rsid w:val="00505B96"/>
    <w:rsid w:val="00513EAB"/>
    <w:rsid w:val="0052629E"/>
    <w:rsid w:val="005325F6"/>
    <w:rsid w:val="005403F0"/>
    <w:rsid w:val="00540988"/>
    <w:rsid w:val="00556FFB"/>
    <w:rsid w:val="005606FD"/>
    <w:rsid w:val="00565460"/>
    <w:rsid w:val="00571574"/>
    <w:rsid w:val="005A1A46"/>
    <w:rsid w:val="005B4C98"/>
    <w:rsid w:val="005B54FF"/>
    <w:rsid w:val="005C03F0"/>
    <w:rsid w:val="005D6C8D"/>
    <w:rsid w:val="005E0011"/>
    <w:rsid w:val="005F5E21"/>
    <w:rsid w:val="00600083"/>
    <w:rsid w:val="00612B06"/>
    <w:rsid w:val="00624128"/>
    <w:rsid w:val="00630296"/>
    <w:rsid w:val="0063470B"/>
    <w:rsid w:val="0064429C"/>
    <w:rsid w:val="0065111E"/>
    <w:rsid w:val="00656597"/>
    <w:rsid w:val="00662360"/>
    <w:rsid w:val="00686802"/>
    <w:rsid w:val="0069108C"/>
    <w:rsid w:val="006954C5"/>
    <w:rsid w:val="006A7CC9"/>
    <w:rsid w:val="006B71AA"/>
    <w:rsid w:val="006C7862"/>
    <w:rsid w:val="006D5F11"/>
    <w:rsid w:val="006E5B35"/>
    <w:rsid w:val="007063A2"/>
    <w:rsid w:val="00710693"/>
    <w:rsid w:val="007345AB"/>
    <w:rsid w:val="00751651"/>
    <w:rsid w:val="00752BFB"/>
    <w:rsid w:val="00760D3D"/>
    <w:rsid w:val="00762DEC"/>
    <w:rsid w:val="00773AC0"/>
    <w:rsid w:val="00781EA2"/>
    <w:rsid w:val="0078374A"/>
    <w:rsid w:val="00790868"/>
    <w:rsid w:val="007A15DE"/>
    <w:rsid w:val="007D786D"/>
    <w:rsid w:val="007E5F51"/>
    <w:rsid w:val="007E697A"/>
    <w:rsid w:val="00810377"/>
    <w:rsid w:val="0081365E"/>
    <w:rsid w:val="00821AB0"/>
    <w:rsid w:val="00835011"/>
    <w:rsid w:val="00835C80"/>
    <w:rsid w:val="00845347"/>
    <w:rsid w:val="00855582"/>
    <w:rsid w:val="00862BC9"/>
    <w:rsid w:val="00867F92"/>
    <w:rsid w:val="00877C93"/>
    <w:rsid w:val="008B4273"/>
    <w:rsid w:val="008C1776"/>
    <w:rsid w:val="008E6027"/>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C06F4"/>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3F57"/>
    <w:rsid w:val="00BE1638"/>
    <w:rsid w:val="00BE21B3"/>
    <w:rsid w:val="00BE7ED8"/>
    <w:rsid w:val="00BF709F"/>
    <w:rsid w:val="00BF7988"/>
    <w:rsid w:val="00C2267F"/>
    <w:rsid w:val="00C25189"/>
    <w:rsid w:val="00C457BE"/>
    <w:rsid w:val="00C842C9"/>
    <w:rsid w:val="00C973FE"/>
    <w:rsid w:val="00CA0410"/>
    <w:rsid w:val="00CB299D"/>
    <w:rsid w:val="00CC16C5"/>
    <w:rsid w:val="00CC4917"/>
    <w:rsid w:val="00CD0735"/>
    <w:rsid w:val="00CD4ECD"/>
    <w:rsid w:val="00CD7279"/>
    <w:rsid w:val="00D034BC"/>
    <w:rsid w:val="00D07293"/>
    <w:rsid w:val="00D17F85"/>
    <w:rsid w:val="00D23915"/>
    <w:rsid w:val="00D23EA8"/>
    <w:rsid w:val="00D3340E"/>
    <w:rsid w:val="00D3384E"/>
    <w:rsid w:val="00D36F15"/>
    <w:rsid w:val="00D3717C"/>
    <w:rsid w:val="00D442FD"/>
    <w:rsid w:val="00D51183"/>
    <w:rsid w:val="00D57721"/>
    <w:rsid w:val="00D64831"/>
    <w:rsid w:val="00D70AD9"/>
    <w:rsid w:val="00D743FF"/>
    <w:rsid w:val="00D8348A"/>
    <w:rsid w:val="00D953F3"/>
    <w:rsid w:val="00DA0012"/>
    <w:rsid w:val="00DA5AAF"/>
    <w:rsid w:val="00DB1837"/>
    <w:rsid w:val="00DB4B6B"/>
    <w:rsid w:val="00DC08B0"/>
    <w:rsid w:val="00DC471D"/>
    <w:rsid w:val="00DD7218"/>
    <w:rsid w:val="00DE5807"/>
    <w:rsid w:val="00DF2E19"/>
    <w:rsid w:val="00DF4B28"/>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F12BF7"/>
    <w:rsid w:val="00F23CCA"/>
    <w:rsid w:val="00F3598F"/>
    <w:rsid w:val="00F478A4"/>
    <w:rsid w:val="00F652EC"/>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6C8"/>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6C8"/>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3976C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3976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DF4B28"/>
    <w:pPr>
      <w:ind w:left="1040"/>
    </w:pPr>
    <w:rPr>
      <w:rFonts w:ascii="Verdana" w:eastAsia="Verdana" w:hAnsi="Verdana" w:cstheme="majorBidi"/>
      <w:sz w:val="20"/>
      <w:szCs w:val="20"/>
    </w:rPr>
  </w:style>
  <w:style w:type="character" w:customStyle="1" w:styleId="BodyTextChar">
    <w:name w:val="Body Text Char"/>
    <w:basedOn w:val="DefaultParagraphFont"/>
    <w:link w:val="BodyText"/>
    <w:uiPriority w:val="1"/>
    <w:rsid w:val="00DF4B28"/>
    <w:rPr>
      <w:rFonts w:ascii="Verdana" w:eastAsia="Verdana" w:hAnsi="Verdan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2024-01-23T22:52:00Z</dcterms:created>
  <dcterms:modified xsi:type="dcterms:W3CDTF">2024-01-23T22:52:00Z</dcterms:modified>
</cp:coreProperties>
</file>