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F24591">
        <w:rPr>
          <w:rFonts w:ascii="Arial" w:hAnsi="Arial" w:cs="Arial"/>
          <w:b/>
        </w:rPr>
        <w:t xml:space="preserve">March </w:t>
      </w:r>
      <w:r w:rsidR="0074080E">
        <w:rPr>
          <w:rFonts w:ascii="Arial" w:hAnsi="Arial" w:cs="Arial"/>
          <w:b/>
        </w:rPr>
        <w:t>19</w:t>
      </w:r>
      <w:r>
        <w:rPr>
          <w:rFonts w:ascii="Arial" w:hAnsi="Arial" w:cs="Arial"/>
          <w:b/>
        </w:rPr>
        <w:t>, 2020</w:t>
      </w:r>
    </w:p>
    <w:p w:rsidR="00373CF4" w:rsidRPr="00373CF4" w:rsidRDefault="00373CF4" w:rsidP="00373CF4">
      <w:pPr>
        <w:spacing w:after="0" w:line="240" w:lineRule="auto"/>
      </w:pPr>
      <w:r>
        <w:t>In t</w:t>
      </w:r>
      <w:r w:rsidRPr="00373CF4">
        <w:t xml:space="preserve">his </w:t>
      </w:r>
      <w:r w:rsidR="00892648">
        <w:t>RSAI</w:t>
      </w:r>
      <w:r w:rsidR="0061167B">
        <w:t xml:space="preserve"> Report</w:t>
      </w:r>
      <w:r w:rsidRPr="00373CF4">
        <w:t xml:space="preserve"> of the 20</w:t>
      </w:r>
      <w:r w:rsidR="003C328D">
        <w:t>20</w:t>
      </w:r>
      <w:r w:rsidRPr="00373CF4">
        <w:t xml:space="preserve"> Legislative Session</w:t>
      </w:r>
      <w:r>
        <w:t>, find information about</w:t>
      </w:r>
      <w:r w:rsidR="003F6BD0">
        <w:t>:</w:t>
      </w:r>
    </w:p>
    <w:p w:rsidR="00E53F5C" w:rsidRDefault="00E53F5C" w:rsidP="00E53F5C">
      <w:pPr>
        <w:pStyle w:val="ListParagraph"/>
        <w:numPr>
          <w:ilvl w:val="0"/>
          <w:numId w:val="4"/>
        </w:numPr>
        <w:spacing w:after="0" w:line="240" w:lineRule="auto"/>
        <w:rPr>
          <w:b/>
        </w:rPr>
      </w:pPr>
      <w:r>
        <w:rPr>
          <w:b/>
        </w:rPr>
        <w:t xml:space="preserve">Instructional Time Waiver Signed by the Governor </w:t>
      </w:r>
    </w:p>
    <w:p w:rsidR="00E53F5C" w:rsidRDefault="00E53F5C" w:rsidP="00E53F5C">
      <w:pPr>
        <w:pStyle w:val="ListParagraph"/>
        <w:numPr>
          <w:ilvl w:val="0"/>
          <w:numId w:val="4"/>
        </w:numPr>
        <w:spacing w:after="0" w:line="240" w:lineRule="auto"/>
        <w:rPr>
          <w:b/>
        </w:rPr>
      </w:pPr>
      <w:r>
        <w:rPr>
          <w:b/>
        </w:rPr>
        <w:t>SF 2408 Appropriations and Emergency Provisions</w:t>
      </w:r>
      <w:bookmarkStart w:id="0" w:name="_GoBack"/>
      <w:bookmarkEnd w:id="0"/>
    </w:p>
    <w:p w:rsidR="00E53F5C" w:rsidRDefault="00E53F5C" w:rsidP="00E53F5C">
      <w:pPr>
        <w:pStyle w:val="ListParagraph"/>
        <w:numPr>
          <w:ilvl w:val="0"/>
          <w:numId w:val="4"/>
        </w:numPr>
        <w:spacing w:after="0" w:line="240" w:lineRule="auto"/>
        <w:rPr>
          <w:b/>
        </w:rPr>
      </w:pPr>
      <w:r>
        <w:rPr>
          <w:b/>
        </w:rPr>
        <w:t xml:space="preserve">State Budget and Surplus </w:t>
      </w:r>
    </w:p>
    <w:p w:rsidR="00E53F5C" w:rsidRDefault="00E53F5C" w:rsidP="00E53F5C">
      <w:pPr>
        <w:pStyle w:val="ListParagraph"/>
        <w:numPr>
          <w:ilvl w:val="0"/>
          <w:numId w:val="4"/>
        </w:numPr>
        <w:spacing w:after="0" w:line="240" w:lineRule="auto"/>
        <w:rPr>
          <w:b/>
        </w:rPr>
      </w:pPr>
      <w:r>
        <w:rPr>
          <w:b/>
        </w:rPr>
        <w:t>Legislature Shuts down until April 15</w:t>
      </w:r>
    </w:p>
    <w:p w:rsidR="00E53F5C" w:rsidRDefault="00E53F5C" w:rsidP="00E53F5C">
      <w:pPr>
        <w:pStyle w:val="ListParagraph"/>
        <w:numPr>
          <w:ilvl w:val="0"/>
          <w:numId w:val="4"/>
        </w:numPr>
        <w:spacing w:after="0" w:line="240" w:lineRule="auto"/>
        <w:rPr>
          <w:b/>
        </w:rPr>
      </w:pPr>
      <w:r>
        <w:rPr>
          <w:b/>
        </w:rPr>
        <w:t>Advocacy Resources</w:t>
      </w: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E53F5C" w:rsidRDefault="00E53F5C" w:rsidP="00E53F5C">
      <w:pPr>
        <w:spacing w:line="240" w:lineRule="auto"/>
        <w:rPr>
          <w:rFonts w:ascii="Calibri" w:hAnsi="Calibri" w:cs="Calibri"/>
        </w:rPr>
      </w:pPr>
      <w:r>
        <w:rPr>
          <w:rFonts w:ascii="Calibri" w:hAnsi="Calibri" w:cs="Calibri"/>
          <w:b/>
        </w:rPr>
        <w:t xml:space="preserve">Instructional Time </w:t>
      </w:r>
      <w:r w:rsidR="0074080E">
        <w:rPr>
          <w:rFonts w:ascii="Calibri" w:hAnsi="Calibri" w:cs="Calibri"/>
          <w:b/>
        </w:rPr>
        <w:t xml:space="preserve">Waiver Signed by the Governor: </w:t>
      </w:r>
      <w:r>
        <w:rPr>
          <w:rFonts w:ascii="Calibri" w:hAnsi="Calibri" w:cs="Calibri"/>
        </w:rPr>
        <w:t xml:space="preserve">On </w:t>
      </w:r>
      <w:r w:rsidRPr="003C51F5">
        <w:rPr>
          <w:rFonts w:ascii="Calibri" w:hAnsi="Calibri" w:cs="Calibri"/>
        </w:rPr>
        <w:t>March 15, 2020</w:t>
      </w:r>
      <w:r>
        <w:rPr>
          <w:rFonts w:ascii="Calibri" w:hAnsi="Calibri" w:cs="Calibri"/>
        </w:rPr>
        <w:t>,</w:t>
      </w:r>
      <w:r w:rsidRPr="003C51F5">
        <w:rPr>
          <w:rFonts w:ascii="Calibri" w:hAnsi="Calibri" w:cs="Calibri"/>
        </w:rPr>
        <w:t xml:space="preserve"> Iowa Governor Kim Reynolds recommended closure of all public and private K-12 schools in Iowa until April 13, 2020 to contain the spread of COVID-19</w:t>
      </w:r>
      <w:r>
        <w:rPr>
          <w:rFonts w:ascii="Calibri" w:hAnsi="Calibri" w:cs="Calibri"/>
        </w:rPr>
        <w:t xml:space="preserve">.  </w:t>
      </w:r>
    </w:p>
    <w:p w:rsidR="00E53F5C" w:rsidRDefault="00E53F5C" w:rsidP="00E53F5C">
      <w:pPr>
        <w:spacing w:line="240" w:lineRule="auto"/>
        <w:rPr>
          <w:rFonts w:ascii="Calibri" w:hAnsi="Calibri" w:cs="Calibri"/>
        </w:rPr>
      </w:pPr>
      <w:r>
        <w:rPr>
          <w:rFonts w:ascii="Calibri" w:hAnsi="Calibri" w:cs="Calibri"/>
        </w:rPr>
        <w:t xml:space="preserve">Previous DE guidance prohibited virtual instructional days to count in the minimum number of mandated days (180) or hours (1,080) of instruction. Schools districts advocated for waiver from a requirement to make up any days closed due to containment of COVID-19.  RSAI’s </w:t>
      </w:r>
      <w:hyperlink r:id="rId9" w:history="1">
        <w:r w:rsidRPr="00570552">
          <w:rPr>
            <w:rStyle w:val="Hyperlink"/>
            <w:rFonts w:ascii="Calibri" w:hAnsi="Calibri" w:cs="Calibri"/>
          </w:rPr>
          <w:t>statement</w:t>
        </w:r>
      </w:hyperlink>
      <w:r>
        <w:rPr>
          <w:rFonts w:ascii="Calibri" w:hAnsi="Calibri" w:cs="Calibri"/>
        </w:rPr>
        <w:t xml:space="preserve"> was sent to the Governor and Legislative Leaders on March 16 requesting relief from the mandate to make up instructional days. The Legislature included relief of the mandate through April 13 in SF 2408 and extended authority to the Governor to waive the requirement for additional days beyond </w:t>
      </w:r>
      <w:r w:rsidR="0074080E">
        <w:rPr>
          <w:rFonts w:ascii="Calibri" w:hAnsi="Calibri" w:cs="Calibri"/>
        </w:rPr>
        <w:t xml:space="preserve">April 13 through July 1, 2020. </w:t>
      </w:r>
      <w:r>
        <w:rPr>
          <w:rFonts w:ascii="Calibri" w:hAnsi="Calibri" w:cs="Calibri"/>
        </w:rPr>
        <w:t xml:space="preserve">RSAI registered in favor of Division VI of the bill regarding instructional days. </w:t>
      </w:r>
    </w:p>
    <w:p w:rsidR="00E53F5C" w:rsidRDefault="004866C5" w:rsidP="00E53F5C">
      <w:pPr>
        <w:spacing w:line="240" w:lineRule="auto"/>
        <w:rPr>
          <w:rFonts w:ascii="Calibri" w:hAnsi="Calibri" w:cs="Calibri"/>
        </w:rPr>
      </w:pPr>
      <w:hyperlink r:id="rId10" w:history="1">
        <w:r w:rsidR="00E53F5C" w:rsidRPr="002A4E2E">
          <w:rPr>
            <w:rStyle w:val="Hyperlink"/>
            <w:rFonts w:ascii="Calibri" w:hAnsi="Calibri" w:cs="Calibri"/>
            <w:b/>
          </w:rPr>
          <w:t>SF 2408</w:t>
        </w:r>
      </w:hyperlink>
      <w:r w:rsidR="00E53F5C" w:rsidRPr="00570552">
        <w:rPr>
          <w:rFonts w:ascii="Calibri" w:hAnsi="Calibri" w:cs="Calibri"/>
          <w:b/>
        </w:rPr>
        <w:t xml:space="preserve"> </w:t>
      </w:r>
      <w:r w:rsidR="0074080E">
        <w:rPr>
          <w:rFonts w:ascii="Calibri" w:hAnsi="Calibri" w:cs="Calibri"/>
          <w:b/>
        </w:rPr>
        <w:t>Provisions:</w:t>
      </w:r>
      <w:r w:rsidR="00E53F5C">
        <w:rPr>
          <w:rFonts w:ascii="Calibri" w:hAnsi="Calibri" w:cs="Calibri"/>
          <w:b/>
        </w:rPr>
        <w:t xml:space="preserve"> </w:t>
      </w:r>
      <w:r w:rsidR="00E53F5C">
        <w:rPr>
          <w:rFonts w:ascii="Calibri" w:hAnsi="Calibri" w:cs="Calibri"/>
        </w:rPr>
        <w:t>In addition to waiving the requirement to make up instructional days, SF 2408 also made the following appropriations and provisions as reporting in the Notes on Bills and Amendments (</w:t>
      </w:r>
      <w:hyperlink r:id="rId11" w:history="1">
        <w:r w:rsidR="00E53F5C" w:rsidRPr="00570552">
          <w:rPr>
            <w:rStyle w:val="Hyperlink"/>
            <w:rFonts w:ascii="Calibri" w:hAnsi="Calibri" w:cs="Calibri"/>
          </w:rPr>
          <w:t>NOBA</w:t>
        </w:r>
      </w:hyperlink>
      <w:r w:rsidR="00E53F5C">
        <w:rPr>
          <w:rFonts w:ascii="Calibri" w:hAnsi="Calibri" w:cs="Calibri"/>
        </w:rPr>
        <w:t xml:space="preserve">): </w:t>
      </w:r>
    </w:p>
    <w:p w:rsidR="00E53F5C" w:rsidRPr="00570552" w:rsidRDefault="00E53F5C" w:rsidP="00E53F5C">
      <w:pPr>
        <w:numPr>
          <w:ilvl w:val="0"/>
          <w:numId w:val="35"/>
        </w:numPr>
        <w:spacing w:after="0" w:line="240" w:lineRule="auto"/>
        <w:rPr>
          <w:rFonts w:ascii="Calibri" w:hAnsi="Calibri" w:cs="Calibri"/>
        </w:rPr>
      </w:pPr>
      <w:r w:rsidRPr="00570552">
        <w:rPr>
          <w:rFonts w:ascii="Calibri" w:hAnsi="Calibri" w:cs="Calibri"/>
        </w:rPr>
        <w:t xml:space="preserve">Makes supplemental General Fund appropriations of $91.8 million for FY 2020. </w:t>
      </w:r>
    </w:p>
    <w:p w:rsidR="00E53F5C" w:rsidRPr="00570552" w:rsidRDefault="00E53F5C" w:rsidP="00E53F5C">
      <w:pPr>
        <w:numPr>
          <w:ilvl w:val="1"/>
          <w:numId w:val="35"/>
        </w:numPr>
        <w:spacing w:after="0" w:line="240" w:lineRule="auto"/>
        <w:rPr>
          <w:rFonts w:ascii="Calibri" w:hAnsi="Calibri" w:cs="Calibri"/>
        </w:rPr>
      </w:pPr>
      <w:r w:rsidRPr="00570552">
        <w:rPr>
          <w:rFonts w:ascii="Calibri" w:hAnsi="Calibri" w:cs="Calibri"/>
        </w:rPr>
        <w:t>$89.0 million to DHS for Medicaid</w:t>
      </w:r>
    </w:p>
    <w:p w:rsidR="00E53F5C" w:rsidRPr="00570552" w:rsidRDefault="00E53F5C" w:rsidP="00E53F5C">
      <w:pPr>
        <w:numPr>
          <w:ilvl w:val="1"/>
          <w:numId w:val="35"/>
        </w:numPr>
        <w:spacing w:after="0" w:line="240" w:lineRule="auto"/>
        <w:rPr>
          <w:rFonts w:ascii="Calibri" w:hAnsi="Calibri" w:cs="Calibri"/>
        </w:rPr>
      </w:pPr>
      <w:r w:rsidRPr="00570552">
        <w:rPr>
          <w:rFonts w:ascii="Calibri" w:hAnsi="Calibri" w:cs="Calibri"/>
        </w:rPr>
        <w:t>$1.7 million to DHS for HAWK-I program</w:t>
      </w:r>
    </w:p>
    <w:p w:rsidR="00E53F5C" w:rsidRPr="00570552" w:rsidRDefault="00E53F5C" w:rsidP="00E53F5C">
      <w:pPr>
        <w:numPr>
          <w:ilvl w:val="1"/>
          <w:numId w:val="35"/>
        </w:numPr>
        <w:spacing w:after="0" w:line="240" w:lineRule="auto"/>
        <w:rPr>
          <w:rFonts w:ascii="Calibri" w:hAnsi="Calibri" w:cs="Calibri"/>
        </w:rPr>
      </w:pPr>
      <w:r w:rsidRPr="00570552">
        <w:rPr>
          <w:rFonts w:ascii="Calibri" w:hAnsi="Calibri" w:cs="Calibri"/>
        </w:rPr>
        <w:t>$596,000 to DHS for State Resource Center at Glenwood</w:t>
      </w:r>
    </w:p>
    <w:p w:rsidR="00E53F5C" w:rsidRPr="00570552" w:rsidRDefault="00E53F5C" w:rsidP="00E53F5C">
      <w:pPr>
        <w:numPr>
          <w:ilvl w:val="1"/>
          <w:numId w:val="35"/>
        </w:numPr>
        <w:spacing w:after="0" w:line="240" w:lineRule="auto"/>
        <w:rPr>
          <w:rFonts w:ascii="Calibri" w:hAnsi="Calibri" w:cs="Calibri"/>
        </w:rPr>
      </w:pPr>
      <w:r w:rsidRPr="00570552">
        <w:rPr>
          <w:rFonts w:ascii="Calibri" w:hAnsi="Calibri" w:cs="Calibri"/>
        </w:rPr>
        <w:t xml:space="preserve">$526,000 to U of I Hygienic Lab </w:t>
      </w:r>
    </w:p>
    <w:p w:rsidR="00E53F5C" w:rsidRPr="00570552" w:rsidRDefault="00E53F5C" w:rsidP="00E53F5C">
      <w:pPr>
        <w:numPr>
          <w:ilvl w:val="0"/>
          <w:numId w:val="35"/>
        </w:numPr>
        <w:spacing w:after="0" w:line="240" w:lineRule="auto"/>
        <w:rPr>
          <w:rFonts w:ascii="Calibri" w:hAnsi="Calibri" w:cs="Calibri"/>
        </w:rPr>
      </w:pPr>
      <w:r w:rsidRPr="00570552">
        <w:rPr>
          <w:rFonts w:ascii="Calibri" w:hAnsi="Calibri" w:cs="Calibri"/>
        </w:rPr>
        <w:t xml:space="preserve">Economic Emergency Fund: appropriates $19.6 million (10%) for purposes approved by the Governor. </w:t>
      </w:r>
    </w:p>
    <w:p w:rsidR="00E53F5C" w:rsidRDefault="00E53F5C" w:rsidP="00E53F5C">
      <w:pPr>
        <w:numPr>
          <w:ilvl w:val="0"/>
          <w:numId w:val="35"/>
        </w:numPr>
        <w:spacing w:after="0" w:line="240" w:lineRule="auto"/>
        <w:rPr>
          <w:rFonts w:ascii="Calibri" w:hAnsi="Calibri" w:cs="Calibri"/>
        </w:rPr>
      </w:pPr>
      <w:r w:rsidRPr="00570552">
        <w:rPr>
          <w:rFonts w:ascii="Calibri" w:hAnsi="Calibri" w:cs="Calibri"/>
        </w:rPr>
        <w:t xml:space="preserve">Specifies if that amount is not sufficient, provides a contingent appropriation of the maximum balance of the EEF, requiring funds to be used based on purposes approved by the Governor and the Legislative Council. Max balance of EEF in FY 2020 is $196 million. </w:t>
      </w:r>
    </w:p>
    <w:p w:rsidR="00E53F5C" w:rsidRPr="00570552" w:rsidRDefault="00E53F5C" w:rsidP="00E53F5C">
      <w:pPr>
        <w:numPr>
          <w:ilvl w:val="0"/>
          <w:numId w:val="35"/>
        </w:numPr>
        <w:spacing w:after="0" w:line="240" w:lineRule="auto"/>
        <w:rPr>
          <w:rFonts w:ascii="Calibri" w:hAnsi="Calibri" w:cs="Calibri"/>
        </w:rPr>
      </w:pPr>
      <w:r w:rsidRPr="00570552">
        <w:rPr>
          <w:rFonts w:ascii="Calibri" w:hAnsi="Calibri" w:cs="Calibri"/>
        </w:rPr>
        <w:t>Reduces FY 2021 standing appropriations by an estimated $32.8 million:</w:t>
      </w:r>
    </w:p>
    <w:p w:rsidR="00E53F5C" w:rsidRPr="0074080E" w:rsidRDefault="00E53F5C" w:rsidP="0074080E">
      <w:pPr>
        <w:pStyle w:val="ListParagraph"/>
        <w:numPr>
          <w:ilvl w:val="1"/>
          <w:numId w:val="35"/>
        </w:numPr>
        <w:spacing w:after="0" w:line="240" w:lineRule="auto"/>
        <w:rPr>
          <w:rFonts w:ascii="Calibri" w:hAnsi="Calibri" w:cs="Calibri"/>
        </w:rPr>
      </w:pPr>
      <w:r w:rsidRPr="0074080E">
        <w:rPr>
          <w:rFonts w:ascii="Calibri" w:hAnsi="Calibri" w:cs="Calibri"/>
        </w:rPr>
        <w:t>Limits FY 2021 appropriation to DE for nonpublic school transportation to $8.2 million, requires the appropriation to be prorated if the claims exceed the amount (no change compared to</w:t>
      </w:r>
      <w:r w:rsidR="0074080E">
        <w:rPr>
          <w:rFonts w:ascii="Calibri" w:hAnsi="Calibri" w:cs="Calibri"/>
        </w:rPr>
        <w:t xml:space="preserve"> the funding level for FY 2020</w:t>
      </w:r>
      <w:r w:rsidRPr="0074080E">
        <w:rPr>
          <w:rFonts w:ascii="Calibri" w:hAnsi="Calibri" w:cs="Calibri"/>
        </w:rPr>
        <w:t>)</w:t>
      </w:r>
      <w:r w:rsidR="0074080E">
        <w:rPr>
          <w:rFonts w:ascii="Calibri" w:hAnsi="Calibri" w:cs="Calibri"/>
        </w:rPr>
        <w:t>.</w:t>
      </w:r>
    </w:p>
    <w:p w:rsidR="00E53F5C" w:rsidRPr="0074080E" w:rsidRDefault="00E53F5C" w:rsidP="0074080E">
      <w:pPr>
        <w:pStyle w:val="ListParagraph"/>
        <w:numPr>
          <w:ilvl w:val="1"/>
          <w:numId w:val="35"/>
        </w:numPr>
        <w:spacing w:line="240" w:lineRule="auto"/>
        <w:rPr>
          <w:rFonts w:ascii="Calibri" w:hAnsi="Calibri" w:cs="Calibri"/>
        </w:rPr>
      </w:pPr>
      <w:r w:rsidRPr="0074080E">
        <w:rPr>
          <w:rFonts w:ascii="Calibri" w:hAnsi="Calibri" w:cs="Calibri"/>
        </w:rPr>
        <w:lastRenderedPageBreak/>
        <w:t>Suspends the General Fund standing appropriation of $14.8 million for the Instructional Support Program for FY 2021 (no change compared to FY 2020</w:t>
      </w:r>
      <w:r w:rsidR="0074080E">
        <w:rPr>
          <w:rFonts w:ascii="Calibri" w:hAnsi="Calibri" w:cs="Calibri"/>
        </w:rPr>
        <w:t>).</w:t>
      </w:r>
    </w:p>
    <w:p w:rsidR="00E53F5C" w:rsidRPr="0074080E" w:rsidRDefault="00E53F5C" w:rsidP="0074080E">
      <w:pPr>
        <w:pStyle w:val="ListParagraph"/>
        <w:numPr>
          <w:ilvl w:val="1"/>
          <w:numId w:val="35"/>
        </w:numPr>
        <w:spacing w:after="0" w:line="240" w:lineRule="auto"/>
        <w:rPr>
          <w:rFonts w:ascii="Calibri" w:hAnsi="Calibri" w:cs="Calibri"/>
        </w:rPr>
      </w:pPr>
      <w:r w:rsidRPr="0074080E">
        <w:rPr>
          <w:rFonts w:ascii="Calibri" w:hAnsi="Calibri" w:cs="Calibri"/>
        </w:rPr>
        <w:t xml:space="preserve">Reduces the FY 2021 State school aid funding to Area Education Agencies (AEAs) by $15.0 million (no change compared to FY 2020). </w:t>
      </w:r>
    </w:p>
    <w:p w:rsidR="00E53F5C" w:rsidRPr="00570552" w:rsidRDefault="00E53F5C" w:rsidP="00E53F5C">
      <w:pPr>
        <w:numPr>
          <w:ilvl w:val="0"/>
          <w:numId w:val="35"/>
        </w:numPr>
        <w:spacing w:after="0" w:line="240" w:lineRule="auto"/>
        <w:rPr>
          <w:rFonts w:ascii="Calibri" w:hAnsi="Calibri" w:cs="Calibri"/>
        </w:rPr>
      </w:pPr>
      <w:r w:rsidRPr="00570552">
        <w:rPr>
          <w:rFonts w:ascii="Calibri" w:hAnsi="Calibri" w:cs="Calibri"/>
        </w:rPr>
        <w:t xml:space="preserve">Provides two months of FY 2021 appropriations based on FY 2020 amounts, an estimated $1.305 billion in spending authority to state agencies for FY 2021. </w:t>
      </w:r>
    </w:p>
    <w:p w:rsidR="00E53F5C" w:rsidRPr="00570552" w:rsidRDefault="00E53F5C" w:rsidP="00E53F5C">
      <w:pPr>
        <w:numPr>
          <w:ilvl w:val="0"/>
          <w:numId w:val="35"/>
        </w:numPr>
        <w:spacing w:after="0" w:line="240" w:lineRule="auto"/>
        <w:rPr>
          <w:rFonts w:ascii="Calibri" w:hAnsi="Calibri" w:cs="Calibri"/>
        </w:rPr>
      </w:pPr>
      <w:r w:rsidRPr="00570552">
        <w:rPr>
          <w:rFonts w:ascii="Calibri" w:hAnsi="Calibri" w:cs="Calibri"/>
        </w:rPr>
        <w:t>Suspends limitation on Governor’s authority to transfer funds between general fund line item appropriations through Aug. 31, 2020</w:t>
      </w:r>
      <w:r>
        <w:rPr>
          <w:rFonts w:ascii="Calibri" w:hAnsi="Calibri" w:cs="Calibri"/>
        </w:rPr>
        <w:t>.</w:t>
      </w:r>
    </w:p>
    <w:p w:rsidR="00E53F5C" w:rsidRDefault="00E53F5C" w:rsidP="00E53F5C">
      <w:pPr>
        <w:spacing w:line="240" w:lineRule="auto"/>
        <w:rPr>
          <w:rFonts w:ascii="Calibri" w:hAnsi="Calibri" w:cs="Calibri"/>
        </w:rPr>
      </w:pPr>
    </w:p>
    <w:p w:rsidR="00E53F5C" w:rsidRDefault="00E53F5C" w:rsidP="00E53F5C">
      <w:pPr>
        <w:pStyle w:val="Default"/>
      </w:pPr>
      <w:r>
        <w:t xml:space="preserve">The Legislative Services Agency published a Fiscal Update Article, </w:t>
      </w:r>
      <w:r w:rsidRPr="002A4E2E">
        <w:t xml:space="preserve">Fiscal Services Division, </w:t>
      </w:r>
      <w:hyperlink r:id="rId12" w:history="1">
        <w:r w:rsidRPr="002A4E2E">
          <w:rPr>
            <w:rStyle w:val="Hyperlink"/>
          </w:rPr>
          <w:t>March 13, 2020</w:t>
        </w:r>
      </w:hyperlink>
      <w:r w:rsidRPr="002A4E2E">
        <w:t>, which shows</w:t>
      </w:r>
      <w:r>
        <w:t xml:space="preserve"> the projected condition of the State’s General Fund following the March 12 Revenue Estimatin</w:t>
      </w:r>
      <w:r w:rsidR="0074080E">
        <w:t xml:space="preserve">g Conference updated estimate. </w:t>
      </w:r>
      <w:r>
        <w:t xml:space="preserve">The Update was after enactment of the 2.3% SSA and transportation and formula equity bills, so those fiscal impacts are included in the built-in expenditures amount, but was published before the fiscal impacts of SF 2408 were anticipated. SF 2408 would have the following additional impact: </w:t>
      </w:r>
    </w:p>
    <w:p w:rsidR="00E53F5C" w:rsidRDefault="00E53F5C" w:rsidP="00E53F5C">
      <w:pPr>
        <w:pStyle w:val="Default"/>
      </w:pPr>
    </w:p>
    <w:p w:rsidR="00E53F5C" w:rsidRDefault="00E53F5C" w:rsidP="00E53F5C">
      <w:pPr>
        <w:spacing w:line="240" w:lineRule="auto"/>
        <w:rPr>
          <w:rFonts w:ascii="Calibri" w:hAnsi="Calibri" w:cs="Calibri"/>
        </w:rPr>
      </w:pPr>
    </w:p>
    <w:p w:rsidR="00E53F5C" w:rsidRDefault="00E53F5C" w:rsidP="00E53F5C">
      <w:pPr>
        <w:spacing w:line="240" w:lineRule="auto"/>
        <w:rPr>
          <w:rFonts w:ascii="Calibri" w:hAnsi="Calibri" w:cs="Calibri"/>
        </w:rPr>
      </w:pPr>
      <w:r w:rsidRPr="00570552">
        <w:rPr>
          <w:rFonts w:ascii="Calibri" w:hAnsi="Calibri" w:cs="Calibri"/>
          <w:noProof/>
        </w:rPr>
        <mc:AlternateContent>
          <mc:Choice Requires="wps">
            <w:drawing>
              <wp:anchor distT="0" distB="0" distL="114300" distR="114300" simplePos="0" relativeHeight="251663360" behindDoc="0" locked="0" layoutInCell="1" allowOverlap="1" wp14:anchorId="1E19B918" wp14:editId="5BDEA0BD">
                <wp:simplePos x="0" y="0"/>
                <wp:positionH relativeFrom="column">
                  <wp:posOffset>3543300</wp:posOffset>
                </wp:positionH>
                <wp:positionV relativeFrom="paragraph">
                  <wp:posOffset>2229485</wp:posOffset>
                </wp:positionV>
                <wp:extent cx="765810" cy="963930"/>
                <wp:effectExtent l="38100" t="38100" r="34290" b="26670"/>
                <wp:wrapNone/>
                <wp:docPr id="21" name="Straight Arrow Connector 8"/>
                <wp:cNvGraphicFramePr/>
                <a:graphic xmlns:a="http://schemas.openxmlformats.org/drawingml/2006/main">
                  <a:graphicData uri="http://schemas.microsoft.com/office/word/2010/wordprocessingShape">
                    <wps:wsp>
                      <wps:cNvCnPr/>
                      <wps:spPr>
                        <a:xfrm flipH="1" flipV="1">
                          <a:off x="0" y="0"/>
                          <a:ext cx="765810" cy="963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2F131A" id="_x0000_t32" coordsize="21600,21600" o:spt="32" o:oned="t" path="m,l21600,21600e" filled="f">
                <v:path arrowok="t" fillok="f" o:connecttype="none"/>
                <o:lock v:ext="edit" shapetype="t"/>
              </v:shapetype>
              <v:shape id="Straight Arrow Connector 8" o:spid="_x0000_s1026" type="#_x0000_t32" style="position:absolute;margin-left:279pt;margin-top:175.55pt;width:60.3pt;height:75.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" strokecolor="#5b9bd5 [3204]" strokeweight=".5pt">
                <v:stroke endarrow="block" joinstyle="miter"/>
              </v:shape>
            </w:pict>
          </mc:Fallback>
        </mc:AlternateContent>
      </w:r>
      <w:r w:rsidRPr="00570552">
        <w:rPr>
          <w:rFonts w:ascii="Calibri" w:hAnsi="Calibri" w:cs="Calibri"/>
          <w:noProof/>
        </w:rPr>
        <mc:AlternateContent>
          <mc:Choice Requires="wps">
            <w:drawing>
              <wp:anchor distT="0" distB="0" distL="114300" distR="114300" simplePos="0" relativeHeight="251659264" behindDoc="0" locked="0" layoutInCell="1" allowOverlap="1" wp14:anchorId="06C95665" wp14:editId="75040B19">
                <wp:simplePos x="0" y="0"/>
                <wp:positionH relativeFrom="column">
                  <wp:posOffset>4309110</wp:posOffset>
                </wp:positionH>
                <wp:positionV relativeFrom="paragraph">
                  <wp:posOffset>137795</wp:posOffset>
                </wp:positionV>
                <wp:extent cx="1634490" cy="4267200"/>
                <wp:effectExtent l="0" t="0" r="22860" b="1905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34490" cy="4267200"/>
                        </a:xfrm>
                        <a:prstGeom prst="rect">
                          <a:avLst/>
                        </a:prstGeom>
                        <a:solidFill>
                          <a:schemeClr val="accent5">
                            <a:lumMod val="20000"/>
                            <a:lumOff val="80000"/>
                          </a:schemeClr>
                        </a:solidFill>
                        <a:ln>
                          <a:solidFill>
                            <a:schemeClr val="accent1"/>
                          </a:solidFill>
                        </a:ln>
                      </wps:spPr>
                      <wps:txbx>
                        <w:txbxContent>
                          <w:p w:rsidR="00E53F5C" w:rsidRPr="00570552" w:rsidRDefault="00E53F5C" w:rsidP="00E53F5C">
                            <w:pPr>
                              <w:pStyle w:val="NormalWeb"/>
                              <w:spacing w:before="0" w:beforeAutospacing="0" w:after="0" w:afterAutospacing="0"/>
                              <w:rPr>
                                <w:sz w:val="14"/>
                              </w:rPr>
                            </w:pPr>
                            <w:r w:rsidRPr="00570552">
                              <w:rPr>
                                <w:rFonts w:asciiTheme="majorHAnsi" w:eastAsiaTheme="majorEastAsia" w:hAnsi="Calibri Light" w:cstheme="majorBidi"/>
                                <w:color w:val="000000" w:themeColor="text1"/>
                                <w:kern w:val="24"/>
                                <w:sz w:val="22"/>
                                <w:szCs w:val="40"/>
                              </w:rPr>
                              <w:t>SF 2408 increased FY20 supplemental Approps of $91.8 million will reduce carry forward</w:t>
                            </w:r>
                            <w:r>
                              <w:rPr>
                                <w:rFonts w:asciiTheme="majorHAnsi" w:eastAsiaTheme="majorEastAsia" w:hAnsi="Calibri Light" w:cstheme="majorBidi"/>
                                <w:color w:val="000000" w:themeColor="text1"/>
                                <w:kern w:val="24"/>
                                <w:sz w:val="22"/>
                                <w:szCs w:val="40"/>
                              </w:rPr>
                              <w:t xml:space="preserve"> into FY 21 and FY 20 ending balance. </w:t>
                            </w:r>
                            <w:r w:rsidRPr="00570552">
                              <w:rPr>
                                <w:rFonts w:asciiTheme="majorHAnsi" w:eastAsiaTheme="majorEastAsia" w:hAnsi="Calibri Light" w:cstheme="majorBidi"/>
                                <w:color w:val="000000" w:themeColor="text1"/>
                                <w:kern w:val="24"/>
                                <w:sz w:val="22"/>
                                <w:szCs w:val="40"/>
                              </w:rPr>
                              <w:t xml:space="preserve"> </w:t>
                            </w:r>
                            <w:r w:rsidRPr="00570552">
                              <w:rPr>
                                <w:rFonts w:asciiTheme="majorHAnsi" w:eastAsiaTheme="majorEastAsia" w:hAnsi="Calibri Light" w:cstheme="majorBidi"/>
                                <w:color w:val="000000" w:themeColor="text1"/>
                                <w:kern w:val="24"/>
                                <w:sz w:val="22"/>
                                <w:szCs w:val="40"/>
                              </w:rPr>
                              <w:br/>
                            </w:r>
                            <w:r w:rsidRPr="00570552">
                              <w:rPr>
                                <w:rFonts w:asciiTheme="majorHAnsi" w:eastAsiaTheme="majorEastAsia" w:hAnsi="Calibri Light" w:cstheme="majorBidi"/>
                                <w:color w:val="000000" w:themeColor="text1"/>
                                <w:kern w:val="24"/>
                                <w:sz w:val="22"/>
                                <w:szCs w:val="40"/>
                              </w:rPr>
                              <w:br/>
                              <w:t>SF 2408 reduced FY</w:t>
                            </w:r>
                            <w:r>
                              <w:rPr>
                                <w:rFonts w:asciiTheme="majorHAnsi" w:eastAsiaTheme="majorEastAsia" w:hAnsi="Calibri Light" w:cstheme="majorBidi"/>
                                <w:color w:val="000000" w:themeColor="text1"/>
                                <w:kern w:val="24"/>
                                <w:sz w:val="22"/>
                                <w:szCs w:val="40"/>
                              </w:rPr>
                              <w:t xml:space="preserve"> </w:t>
                            </w:r>
                            <w:r w:rsidRPr="00570552">
                              <w:rPr>
                                <w:rFonts w:asciiTheme="majorHAnsi" w:eastAsiaTheme="majorEastAsia" w:hAnsi="Calibri Light" w:cstheme="majorBidi"/>
                                <w:color w:val="000000" w:themeColor="text1"/>
                                <w:kern w:val="24"/>
                                <w:sz w:val="22"/>
                                <w:szCs w:val="40"/>
                              </w:rPr>
                              <w:t>21 General Fund standing approp</w:t>
                            </w:r>
                            <w:r>
                              <w:rPr>
                                <w:rFonts w:asciiTheme="majorHAnsi" w:eastAsiaTheme="majorEastAsia" w:hAnsi="Calibri Light" w:cstheme="majorBidi"/>
                                <w:color w:val="000000" w:themeColor="text1"/>
                                <w:kern w:val="24"/>
                                <w:sz w:val="22"/>
                                <w:szCs w:val="40"/>
                              </w:rPr>
                              <w:t>riation</w:t>
                            </w:r>
                            <w:r w:rsidRPr="00570552">
                              <w:rPr>
                                <w:rFonts w:asciiTheme="majorHAnsi" w:eastAsiaTheme="majorEastAsia" w:hAnsi="Calibri Light" w:cstheme="majorBidi"/>
                                <w:color w:val="000000" w:themeColor="text1"/>
                                <w:kern w:val="24"/>
                                <w:sz w:val="22"/>
                                <w:szCs w:val="40"/>
                              </w:rPr>
                              <w:t xml:space="preserve">s by $32.8 million </w:t>
                            </w:r>
                            <w:r>
                              <w:rPr>
                                <w:rFonts w:asciiTheme="majorHAnsi" w:eastAsiaTheme="majorEastAsia" w:hAnsi="Calibri Light" w:cstheme="majorBidi"/>
                                <w:color w:val="000000" w:themeColor="text1"/>
                                <w:kern w:val="24"/>
                                <w:sz w:val="22"/>
                                <w:szCs w:val="40"/>
                              </w:rPr>
                              <w:t>would lower the built-in expenditures for FY 2021. Those reductions continue the</w:t>
                            </w:r>
                            <w:r w:rsidRPr="00570552">
                              <w:rPr>
                                <w:rFonts w:asciiTheme="majorHAnsi" w:eastAsiaTheme="majorEastAsia" w:hAnsi="Calibri Light" w:cstheme="majorBidi"/>
                                <w:color w:val="000000" w:themeColor="text1"/>
                                <w:kern w:val="24"/>
                                <w:sz w:val="22"/>
                                <w:szCs w:val="40"/>
                              </w:rPr>
                              <w:t xml:space="preserve"> $15 million cut to AEAs and $14.8 million continued </w:t>
                            </w:r>
                            <w:r>
                              <w:rPr>
                                <w:rFonts w:asciiTheme="majorHAnsi" w:eastAsiaTheme="majorEastAsia" w:hAnsi="Calibri Light" w:cstheme="majorBidi"/>
                                <w:color w:val="000000" w:themeColor="text1"/>
                                <w:kern w:val="24"/>
                                <w:sz w:val="22"/>
                                <w:szCs w:val="40"/>
                              </w:rPr>
                              <w:t>cut to ISL.</w:t>
                            </w:r>
                            <w:r w:rsidRPr="00570552">
                              <w:rPr>
                                <w:rFonts w:asciiTheme="majorHAnsi" w:eastAsiaTheme="majorEastAsia" w:hAnsi="Calibri Light" w:cstheme="majorBidi"/>
                                <w:color w:val="000000" w:themeColor="text1"/>
                                <w:kern w:val="24"/>
                                <w:sz w:val="22"/>
                                <w:szCs w:val="40"/>
                              </w:rPr>
                              <w:br/>
                            </w:r>
                            <w:r w:rsidRPr="00570552">
                              <w:rPr>
                                <w:rFonts w:asciiTheme="majorHAnsi" w:eastAsiaTheme="majorEastAsia" w:hAnsi="Calibri Light" w:cstheme="majorBidi"/>
                                <w:color w:val="000000" w:themeColor="text1"/>
                                <w:kern w:val="24"/>
                                <w:sz w:val="22"/>
                                <w:szCs w:val="40"/>
                              </w:rPr>
                              <w:br/>
                              <w:t>The $458.2</w:t>
                            </w:r>
                            <w:r>
                              <w:rPr>
                                <w:rFonts w:asciiTheme="majorHAnsi" w:eastAsiaTheme="majorEastAsia" w:hAnsi="Calibri Light" w:cstheme="majorBidi"/>
                                <w:color w:val="000000" w:themeColor="text1"/>
                                <w:kern w:val="24"/>
                                <w:sz w:val="22"/>
                                <w:szCs w:val="40"/>
                              </w:rPr>
                              <w:t xml:space="preserve"> million built-in expenditures</w:t>
                            </w:r>
                            <w:r w:rsidRPr="00570552">
                              <w:rPr>
                                <w:rFonts w:asciiTheme="majorHAnsi" w:eastAsiaTheme="majorEastAsia" w:hAnsi="Calibri Light" w:cstheme="majorBidi"/>
                                <w:color w:val="000000" w:themeColor="text1"/>
                                <w:kern w:val="24"/>
                                <w:sz w:val="22"/>
                                <w:szCs w:val="40"/>
                              </w:rPr>
                              <w:t xml:space="preserve"> include the 2</w:t>
                            </w:r>
                            <w:r>
                              <w:rPr>
                                <w:rFonts w:asciiTheme="majorHAnsi" w:eastAsiaTheme="majorEastAsia" w:hAnsi="Calibri Light" w:cstheme="majorBidi"/>
                                <w:color w:val="000000" w:themeColor="text1"/>
                                <w:kern w:val="24"/>
                                <w:sz w:val="22"/>
                                <w:szCs w:val="40"/>
                              </w:rPr>
                              <w:t>.3</w:t>
                            </w:r>
                            <w:r w:rsidRPr="00570552">
                              <w:rPr>
                                <w:rFonts w:asciiTheme="majorHAnsi" w:eastAsiaTheme="majorEastAsia" w:hAnsi="Calibri Light" w:cstheme="majorBidi"/>
                                <w:color w:val="000000" w:themeColor="text1"/>
                                <w:kern w:val="24"/>
                                <w:sz w:val="22"/>
                                <w:szCs w:val="40"/>
                              </w:rPr>
                              <w:t xml:space="preserve">% increase per pupil in SSA and the Transportation and Formula Equity.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06C95665" id="Title 1" o:spid="_x0000_s1026" style="position:absolute;margin-left:339.3pt;margin-top:10.85pt;width:128.7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" fillcolor="#d9e2f3 [664]" strokecolor="#5b9bd5 [3204]">
                <v:path arrowok="t"/>
                <o:lock v:ext="edit" grouping="t"/>
                <v:textbox>
                  <w:txbxContent>
                    <w:p w:rsidR="00E53F5C" w:rsidRPr="00570552" w:rsidRDefault="00E53F5C" w:rsidP="00E53F5C">
                      <w:pPr>
                        <w:pStyle w:val="NormalWeb"/>
                        <w:spacing w:before="0" w:beforeAutospacing="0" w:after="0" w:afterAutospacing="0"/>
                        <w:rPr>
                          <w:sz w:val="14"/>
                        </w:rPr>
                      </w:pPr>
                      <w:r w:rsidRPr="00570552">
                        <w:rPr>
                          <w:rFonts w:asciiTheme="majorHAnsi" w:eastAsiaTheme="majorEastAsia" w:hAnsi="Calibri Light" w:cstheme="majorBidi"/>
                          <w:color w:val="000000" w:themeColor="text1"/>
                          <w:kern w:val="24"/>
                          <w:sz w:val="22"/>
                          <w:szCs w:val="40"/>
                        </w:rPr>
                        <w:t>SF 2408 increased FY20 supplemental Approps of $91.8 million will reduce carry forward</w:t>
                      </w:r>
                      <w:r>
                        <w:rPr>
                          <w:rFonts w:asciiTheme="majorHAnsi" w:eastAsiaTheme="majorEastAsia" w:hAnsi="Calibri Light" w:cstheme="majorBidi"/>
                          <w:color w:val="000000" w:themeColor="text1"/>
                          <w:kern w:val="24"/>
                          <w:sz w:val="22"/>
                          <w:szCs w:val="40"/>
                        </w:rPr>
                        <w:t xml:space="preserve"> into FY 21 and FY 20 ending balance. </w:t>
                      </w:r>
                      <w:r w:rsidRPr="00570552">
                        <w:rPr>
                          <w:rFonts w:asciiTheme="majorHAnsi" w:eastAsiaTheme="majorEastAsia" w:hAnsi="Calibri Light" w:cstheme="majorBidi"/>
                          <w:color w:val="000000" w:themeColor="text1"/>
                          <w:kern w:val="24"/>
                          <w:sz w:val="22"/>
                          <w:szCs w:val="40"/>
                        </w:rPr>
                        <w:t xml:space="preserve"> </w:t>
                      </w:r>
                      <w:r w:rsidRPr="00570552">
                        <w:rPr>
                          <w:rFonts w:asciiTheme="majorHAnsi" w:eastAsiaTheme="majorEastAsia" w:hAnsi="Calibri Light" w:cstheme="majorBidi"/>
                          <w:color w:val="000000" w:themeColor="text1"/>
                          <w:kern w:val="24"/>
                          <w:sz w:val="22"/>
                          <w:szCs w:val="40"/>
                        </w:rPr>
                        <w:br/>
                      </w:r>
                      <w:r w:rsidRPr="00570552">
                        <w:rPr>
                          <w:rFonts w:asciiTheme="majorHAnsi" w:eastAsiaTheme="majorEastAsia" w:hAnsi="Calibri Light" w:cstheme="majorBidi"/>
                          <w:color w:val="000000" w:themeColor="text1"/>
                          <w:kern w:val="24"/>
                          <w:sz w:val="22"/>
                          <w:szCs w:val="40"/>
                        </w:rPr>
                        <w:br/>
                        <w:t>SF 2408 reduced FY</w:t>
                      </w:r>
                      <w:r>
                        <w:rPr>
                          <w:rFonts w:asciiTheme="majorHAnsi" w:eastAsiaTheme="majorEastAsia" w:hAnsi="Calibri Light" w:cstheme="majorBidi"/>
                          <w:color w:val="000000" w:themeColor="text1"/>
                          <w:kern w:val="24"/>
                          <w:sz w:val="22"/>
                          <w:szCs w:val="40"/>
                        </w:rPr>
                        <w:t xml:space="preserve"> </w:t>
                      </w:r>
                      <w:r w:rsidRPr="00570552">
                        <w:rPr>
                          <w:rFonts w:asciiTheme="majorHAnsi" w:eastAsiaTheme="majorEastAsia" w:hAnsi="Calibri Light" w:cstheme="majorBidi"/>
                          <w:color w:val="000000" w:themeColor="text1"/>
                          <w:kern w:val="24"/>
                          <w:sz w:val="22"/>
                          <w:szCs w:val="40"/>
                        </w:rPr>
                        <w:t>21 General Fund standing approp</w:t>
                      </w:r>
                      <w:r>
                        <w:rPr>
                          <w:rFonts w:asciiTheme="majorHAnsi" w:eastAsiaTheme="majorEastAsia" w:hAnsi="Calibri Light" w:cstheme="majorBidi"/>
                          <w:color w:val="000000" w:themeColor="text1"/>
                          <w:kern w:val="24"/>
                          <w:sz w:val="22"/>
                          <w:szCs w:val="40"/>
                        </w:rPr>
                        <w:t>riation</w:t>
                      </w:r>
                      <w:r w:rsidRPr="00570552">
                        <w:rPr>
                          <w:rFonts w:asciiTheme="majorHAnsi" w:eastAsiaTheme="majorEastAsia" w:hAnsi="Calibri Light" w:cstheme="majorBidi"/>
                          <w:color w:val="000000" w:themeColor="text1"/>
                          <w:kern w:val="24"/>
                          <w:sz w:val="22"/>
                          <w:szCs w:val="40"/>
                        </w:rPr>
                        <w:t xml:space="preserve">s by $32.8 million </w:t>
                      </w:r>
                      <w:r>
                        <w:rPr>
                          <w:rFonts w:asciiTheme="majorHAnsi" w:eastAsiaTheme="majorEastAsia" w:hAnsi="Calibri Light" w:cstheme="majorBidi"/>
                          <w:color w:val="000000" w:themeColor="text1"/>
                          <w:kern w:val="24"/>
                          <w:sz w:val="22"/>
                          <w:szCs w:val="40"/>
                        </w:rPr>
                        <w:t>would lower the built-in expenditures for FY 2021. Those reductions continue the</w:t>
                      </w:r>
                      <w:r w:rsidRPr="00570552">
                        <w:rPr>
                          <w:rFonts w:asciiTheme="majorHAnsi" w:eastAsiaTheme="majorEastAsia" w:hAnsi="Calibri Light" w:cstheme="majorBidi"/>
                          <w:color w:val="000000" w:themeColor="text1"/>
                          <w:kern w:val="24"/>
                          <w:sz w:val="22"/>
                          <w:szCs w:val="40"/>
                        </w:rPr>
                        <w:t xml:space="preserve"> $15 million cut to AEAs and $14.8 million continued </w:t>
                      </w:r>
                      <w:r>
                        <w:rPr>
                          <w:rFonts w:asciiTheme="majorHAnsi" w:eastAsiaTheme="majorEastAsia" w:hAnsi="Calibri Light" w:cstheme="majorBidi"/>
                          <w:color w:val="000000" w:themeColor="text1"/>
                          <w:kern w:val="24"/>
                          <w:sz w:val="22"/>
                          <w:szCs w:val="40"/>
                        </w:rPr>
                        <w:t>cut to ISL.</w:t>
                      </w:r>
                      <w:r w:rsidRPr="00570552">
                        <w:rPr>
                          <w:rFonts w:asciiTheme="majorHAnsi" w:eastAsiaTheme="majorEastAsia" w:hAnsi="Calibri Light" w:cstheme="majorBidi"/>
                          <w:color w:val="000000" w:themeColor="text1"/>
                          <w:kern w:val="24"/>
                          <w:sz w:val="22"/>
                          <w:szCs w:val="40"/>
                        </w:rPr>
                        <w:br/>
                      </w:r>
                      <w:r w:rsidRPr="00570552">
                        <w:rPr>
                          <w:rFonts w:asciiTheme="majorHAnsi" w:eastAsiaTheme="majorEastAsia" w:hAnsi="Calibri Light" w:cstheme="majorBidi"/>
                          <w:color w:val="000000" w:themeColor="text1"/>
                          <w:kern w:val="24"/>
                          <w:sz w:val="22"/>
                          <w:szCs w:val="40"/>
                        </w:rPr>
                        <w:br/>
                        <w:t>The $458.2</w:t>
                      </w:r>
                      <w:r>
                        <w:rPr>
                          <w:rFonts w:asciiTheme="majorHAnsi" w:eastAsiaTheme="majorEastAsia" w:hAnsi="Calibri Light" w:cstheme="majorBidi"/>
                          <w:color w:val="000000" w:themeColor="text1"/>
                          <w:kern w:val="24"/>
                          <w:sz w:val="22"/>
                          <w:szCs w:val="40"/>
                        </w:rPr>
                        <w:t xml:space="preserve"> million built-in expenditures</w:t>
                      </w:r>
                      <w:r w:rsidRPr="00570552">
                        <w:rPr>
                          <w:rFonts w:asciiTheme="majorHAnsi" w:eastAsiaTheme="majorEastAsia" w:hAnsi="Calibri Light" w:cstheme="majorBidi"/>
                          <w:color w:val="000000" w:themeColor="text1"/>
                          <w:kern w:val="24"/>
                          <w:sz w:val="22"/>
                          <w:szCs w:val="40"/>
                        </w:rPr>
                        <w:t xml:space="preserve"> include the 2</w:t>
                      </w:r>
                      <w:r>
                        <w:rPr>
                          <w:rFonts w:asciiTheme="majorHAnsi" w:eastAsiaTheme="majorEastAsia" w:hAnsi="Calibri Light" w:cstheme="majorBidi"/>
                          <w:color w:val="000000" w:themeColor="text1"/>
                          <w:kern w:val="24"/>
                          <w:sz w:val="22"/>
                          <w:szCs w:val="40"/>
                        </w:rPr>
                        <w:t>.3</w:t>
                      </w:r>
                      <w:r w:rsidRPr="00570552">
                        <w:rPr>
                          <w:rFonts w:asciiTheme="majorHAnsi" w:eastAsiaTheme="majorEastAsia" w:hAnsi="Calibri Light" w:cstheme="majorBidi"/>
                          <w:color w:val="000000" w:themeColor="text1"/>
                          <w:kern w:val="24"/>
                          <w:sz w:val="22"/>
                          <w:szCs w:val="40"/>
                        </w:rPr>
                        <w:t xml:space="preserve">% increase per pupil in SSA and the Transportation and Formula Equity. </w:t>
                      </w:r>
                    </w:p>
                  </w:txbxContent>
                </v:textbox>
              </v:rect>
            </w:pict>
          </mc:Fallback>
        </mc:AlternateContent>
      </w:r>
      <w:r w:rsidRPr="00570552">
        <w:rPr>
          <w:rFonts w:ascii="Calibri" w:hAnsi="Calibri" w:cs="Calibri"/>
          <w:noProof/>
        </w:rPr>
        <mc:AlternateContent>
          <mc:Choice Requires="wps">
            <w:drawing>
              <wp:anchor distT="0" distB="0" distL="114300" distR="114300" simplePos="0" relativeHeight="251662336" behindDoc="0" locked="0" layoutInCell="1" allowOverlap="1" wp14:anchorId="372AB6F1" wp14:editId="7CB914F0">
                <wp:simplePos x="0" y="0"/>
                <wp:positionH relativeFrom="column">
                  <wp:posOffset>3573780</wp:posOffset>
                </wp:positionH>
                <wp:positionV relativeFrom="paragraph">
                  <wp:posOffset>1603375</wp:posOffset>
                </wp:positionV>
                <wp:extent cx="838200" cy="624840"/>
                <wp:effectExtent l="38100" t="0" r="19050" b="60960"/>
                <wp:wrapNone/>
                <wp:docPr id="19" name="Straight Arrow Connector 8"/>
                <wp:cNvGraphicFramePr/>
                <a:graphic xmlns:a="http://schemas.openxmlformats.org/drawingml/2006/main">
                  <a:graphicData uri="http://schemas.microsoft.com/office/word/2010/wordprocessingShape">
                    <wps:wsp>
                      <wps:cNvCnPr/>
                      <wps:spPr>
                        <a:xfrm flipH="1">
                          <a:off x="0" y="0"/>
                          <a:ext cx="838200" cy="624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C8D6B8" id="Straight Arrow Connector 8" o:spid="_x0000_s1026" type="#_x0000_t32" style="position:absolute;margin-left:281.4pt;margin-top:126.25pt;width:66pt;height:49.2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" strokecolor="#5b9bd5 [3204]" strokeweight=".5pt">
                <v:stroke endarrow="block" joinstyle="miter"/>
              </v:shape>
            </w:pict>
          </mc:Fallback>
        </mc:AlternateContent>
      </w:r>
      <w:r w:rsidRPr="00570552">
        <w:rPr>
          <w:rFonts w:ascii="Calibri" w:hAnsi="Calibri" w:cs="Calibri"/>
          <w:noProof/>
        </w:rPr>
        <mc:AlternateContent>
          <mc:Choice Requires="wps">
            <w:drawing>
              <wp:anchor distT="0" distB="0" distL="114300" distR="114300" simplePos="0" relativeHeight="251661312" behindDoc="0" locked="0" layoutInCell="1" allowOverlap="1" wp14:anchorId="63652FC6" wp14:editId="3BE6B10C">
                <wp:simplePos x="0" y="0"/>
                <wp:positionH relativeFrom="column">
                  <wp:posOffset>2990850</wp:posOffset>
                </wp:positionH>
                <wp:positionV relativeFrom="paragraph">
                  <wp:posOffset>903605</wp:posOffset>
                </wp:positionV>
                <wp:extent cx="1489710" cy="1866900"/>
                <wp:effectExtent l="38100" t="0" r="34290" b="57150"/>
                <wp:wrapNone/>
                <wp:docPr id="16" name="Straight Arrow Connector 8"/>
                <wp:cNvGraphicFramePr/>
                <a:graphic xmlns:a="http://schemas.openxmlformats.org/drawingml/2006/main">
                  <a:graphicData uri="http://schemas.microsoft.com/office/word/2010/wordprocessingShape">
                    <wps:wsp>
                      <wps:cNvCnPr/>
                      <wps:spPr>
                        <a:xfrm flipH="1">
                          <a:off x="0" y="0"/>
                          <a:ext cx="1489710" cy="186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BD5F1" id="Straight Arrow Connector 8" o:spid="_x0000_s1026" type="#_x0000_t32" style="position:absolute;margin-left:235.5pt;margin-top:71.15pt;width:117.3pt;height:14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" strokecolor="#5b9bd5 [3204]" strokeweight=".5pt">
                <v:stroke endarrow="block" joinstyle="miter"/>
              </v:shape>
            </w:pict>
          </mc:Fallback>
        </mc:AlternateContent>
      </w:r>
      <w:r w:rsidRPr="00570552">
        <w:rPr>
          <w:rFonts w:ascii="Calibri" w:hAnsi="Calibri" w:cs="Calibri"/>
          <w:noProof/>
        </w:rPr>
        <mc:AlternateContent>
          <mc:Choice Requires="wps">
            <w:drawing>
              <wp:anchor distT="0" distB="0" distL="114300" distR="114300" simplePos="0" relativeHeight="251660288" behindDoc="0" locked="0" layoutInCell="1" allowOverlap="1" wp14:anchorId="1C22E557" wp14:editId="01C4F521">
                <wp:simplePos x="0" y="0"/>
                <wp:positionH relativeFrom="column">
                  <wp:posOffset>3543300</wp:posOffset>
                </wp:positionH>
                <wp:positionV relativeFrom="paragraph">
                  <wp:posOffset>652145</wp:posOffset>
                </wp:positionV>
                <wp:extent cx="838200" cy="624840"/>
                <wp:effectExtent l="38100" t="0" r="19050" b="60960"/>
                <wp:wrapNone/>
                <wp:docPr id="9" name="Straight Arrow Connector 8"/>
                <wp:cNvGraphicFramePr/>
                <a:graphic xmlns:a="http://schemas.openxmlformats.org/drawingml/2006/main">
                  <a:graphicData uri="http://schemas.microsoft.com/office/word/2010/wordprocessingShape">
                    <wps:wsp>
                      <wps:cNvCnPr/>
                      <wps:spPr>
                        <a:xfrm flipH="1">
                          <a:off x="0" y="0"/>
                          <a:ext cx="838200" cy="624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D4710B" id="Straight Arrow Connector 8" o:spid="_x0000_s1026" type="#_x0000_t32" style="position:absolute;margin-left:279pt;margin-top:51.35pt;width:66pt;height:49.2pt;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" strokecolor="#5b9bd5 [3204]" strokeweight=".5pt">
                <v:stroke endarrow="block" joinstyle="miter"/>
              </v:shape>
            </w:pict>
          </mc:Fallback>
        </mc:AlternateContent>
      </w:r>
      <w:r w:rsidRPr="00570552">
        <w:rPr>
          <w:rFonts w:ascii="Calibri" w:hAnsi="Calibri" w:cs="Calibri"/>
          <w:noProof/>
        </w:rPr>
        <w:drawing>
          <wp:inline distT="0" distB="0" distL="0" distR="0" wp14:anchorId="7BFCA124" wp14:editId="25BEDE17">
            <wp:extent cx="3642360" cy="4706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7938" cy="4713218"/>
                    </a:xfrm>
                    <a:prstGeom prst="rect">
                      <a:avLst/>
                    </a:prstGeom>
                  </pic:spPr>
                </pic:pic>
              </a:graphicData>
            </a:graphic>
          </wp:inline>
        </w:drawing>
      </w:r>
    </w:p>
    <w:p w:rsidR="00E53F5C" w:rsidRDefault="00E53F5C" w:rsidP="00E53F5C">
      <w:pPr>
        <w:spacing w:line="240" w:lineRule="auto"/>
        <w:rPr>
          <w:rFonts w:ascii="Calibri" w:hAnsi="Calibri" w:cs="Calibri"/>
        </w:rPr>
      </w:pPr>
      <w:r w:rsidRPr="002A4E2E">
        <w:rPr>
          <w:rFonts w:ascii="Calibri" w:hAnsi="Calibri" w:cs="Calibri"/>
          <w:b/>
        </w:rPr>
        <w:lastRenderedPageBreak/>
        <w:t>Legislative Shut Down:</w:t>
      </w:r>
      <w:r>
        <w:rPr>
          <w:rFonts w:ascii="Calibri" w:hAnsi="Calibri" w:cs="Calibri"/>
        </w:rPr>
        <w:t xml:space="preserve"> </w:t>
      </w:r>
      <w:proofErr w:type="gramStart"/>
      <w:r>
        <w:rPr>
          <w:rFonts w:ascii="Calibri" w:hAnsi="Calibri" w:cs="Calibri"/>
        </w:rPr>
        <w:t>t</w:t>
      </w:r>
      <w:r w:rsidRPr="00A848D0">
        <w:rPr>
          <w:rFonts w:ascii="Calibri" w:hAnsi="Calibri" w:cs="Calibri"/>
        </w:rPr>
        <w:t>he</w:t>
      </w:r>
      <w:proofErr w:type="gramEnd"/>
      <w:r w:rsidRPr="00A848D0">
        <w:rPr>
          <w:rFonts w:ascii="Calibri" w:hAnsi="Calibri" w:cs="Calibri"/>
        </w:rPr>
        <w:t xml:space="preserve"> Legislature adjourned </w:t>
      </w:r>
      <w:r>
        <w:rPr>
          <w:rFonts w:ascii="Calibri" w:hAnsi="Calibri" w:cs="Calibri"/>
        </w:rPr>
        <w:t>after completing their work on SF 2408 (the Senate on Monday</w:t>
      </w:r>
      <w:r w:rsidR="0073314A">
        <w:rPr>
          <w:rFonts w:ascii="Calibri" w:hAnsi="Calibri" w:cs="Calibri"/>
        </w:rPr>
        <w:t>,</w:t>
      </w:r>
      <w:r>
        <w:rPr>
          <w:rFonts w:ascii="Calibri" w:hAnsi="Calibri" w:cs="Calibri"/>
        </w:rPr>
        <w:t xml:space="preserve"> March 16 and the House on Tuesday</w:t>
      </w:r>
      <w:r w:rsidR="0073314A">
        <w:rPr>
          <w:rFonts w:ascii="Calibri" w:hAnsi="Calibri" w:cs="Calibri"/>
        </w:rPr>
        <w:t>,</w:t>
      </w:r>
      <w:r>
        <w:rPr>
          <w:rFonts w:ascii="Calibri" w:hAnsi="Calibri" w:cs="Calibri"/>
        </w:rPr>
        <w:t xml:space="preserve"> March 17) </w:t>
      </w:r>
      <w:r w:rsidRPr="00A848D0">
        <w:rPr>
          <w:rFonts w:ascii="Calibri" w:hAnsi="Calibri" w:cs="Calibri"/>
        </w:rPr>
        <w:t xml:space="preserve">until April 15, </w:t>
      </w:r>
      <w:r>
        <w:rPr>
          <w:rFonts w:ascii="Calibri" w:hAnsi="Calibri" w:cs="Calibri"/>
        </w:rPr>
        <w:t>but is likely working behind the scenes (and virtually like man</w:t>
      </w:r>
      <w:r w:rsidR="0074080E">
        <w:rPr>
          <w:rFonts w:ascii="Calibri" w:hAnsi="Calibri" w:cs="Calibri"/>
        </w:rPr>
        <w:t>y of us) to draft budget bills.</w:t>
      </w:r>
      <w:r>
        <w:rPr>
          <w:rFonts w:ascii="Calibri" w:hAnsi="Calibri" w:cs="Calibri"/>
        </w:rPr>
        <w:t xml:space="preserve"> When they convene, we expect to see them proceed quickly. The 100th day of the Legislative Session specified in current rule is April 21; that is the final day of per diem </w:t>
      </w:r>
      <w:r w:rsidR="0074080E">
        <w:rPr>
          <w:rFonts w:ascii="Calibri" w:hAnsi="Calibri" w:cs="Calibri"/>
        </w:rPr>
        <w:t xml:space="preserve">reimbursement for legislators. </w:t>
      </w:r>
      <w:r>
        <w:rPr>
          <w:rFonts w:ascii="Calibri" w:hAnsi="Calibri" w:cs="Calibri"/>
        </w:rPr>
        <w:t>Of course, in extraordinary times, it is unknown i</w:t>
      </w:r>
      <w:r w:rsidR="0073314A">
        <w:rPr>
          <w:rFonts w:ascii="Calibri" w:hAnsi="Calibri" w:cs="Calibri"/>
        </w:rPr>
        <w:t>f</w:t>
      </w:r>
      <w:r>
        <w:rPr>
          <w:rFonts w:ascii="Calibri" w:hAnsi="Calibri" w:cs="Calibri"/>
        </w:rPr>
        <w:t xml:space="preserve"> the Session will be delayed further. Providing the Governor and Executive Branch with 2/12ths of the state’s appropriations beginning July 1, 2020 in addition to transfer and emergency fund authority has set up a contingency plan if the Session </w:t>
      </w:r>
      <w:r w:rsidR="0073314A">
        <w:rPr>
          <w:rFonts w:ascii="Calibri" w:hAnsi="Calibri" w:cs="Calibri"/>
        </w:rPr>
        <w:t xml:space="preserve">delay </w:t>
      </w:r>
      <w:r>
        <w:rPr>
          <w:rFonts w:ascii="Calibri" w:hAnsi="Calibri" w:cs="Calibri"/>
        </w:rPr>
        <w:t xml:space="preserve">is further extended. </w:t>
      </w:r>
    </w:p>
    <w:p w:rsidR="00E53F5C" w:rsidRDefault="00E53F5C" w:rsidP="00E53F5C">
      <w:pPr>
        <w:pStyle w:val="Default"/>
      </w:pPr>
    </w:p>
    <w:p w:rsidR="00F24591" w:rsidRDefault="00F24591" w:rsidP="00F24591">
      <w:pPr>
        <w:spacing w:line="240" w:lineRule="auto"/>
        <w:rPr>
          <w:b/>
        </w:rPr>
      </w:pPr>
      <w:r w:rsidRPr="0061167B">
        <w:rPr>
          <w:b/>
        </w:rPr>
        <w:t>Advocacy Resources</w:t>
      </w:r>
    </w:p>
    <w:p w:rsidR="00375697" w:rsidRDefault="00791A55" w:rsidP="00F24591">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14"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5" w:tgtFrame="_blank" w:history="1">
        <w:r>
          <w:rPr>
            <w:rStyle w:val="Hyperlink"/>
            <w:rFonts w:ascii="Calibri" w:hAnsi="Calibri" w:cs="Calibri"/>
            <w:color w:val="0563C1"/>
          </w:rPr>
          <w:t>http://www.rsaia.org/legislative.html</w:t>
        </w:r>
      </w:hyperlink>
    </w:p>
    <w:sectPr w:rsidR="00586829" w:rsidSect="0073314A">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6C5" w:rsidRDefault="004866C5" w:rsidP="008A2749">
      <w:pPr>
        <w:spacing w:after="0" w:line="240" w:lineRule="auto"/>
      </w:pPr>
      <w:r>
        <w:separator/>
      </w:r>
    </w:p>
  </w:endnote>
  <w:endnote w:type="continuationSeparator" w:id="0">
    <w:p w:rsidR="004866C5" w:rsidRDefault="004866C5"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6C5" w:rsidRDefault="004866C5" w:rsidP="008A2749">
      <w:pPr>
        <w:spacing w:after="0" w:line="240" w:lineRule="auto"/>
      </w:pPr>
      <w:r>
        <w:separator/>
      </w:r>
    </w:p>
  </w:footnote>
  <w:footnote w:type="continuationSeparator" w:id="0">
    <w:p w:rsidR="004866C5" w:rsidRDefault="004866C5"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4A" w:rsidRPr="0029792E" w:rsidRDefault="0073314A" w:rsidP="0073314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5EAE05" wp14:editId="6746C324">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3314A" w:rsidRDefault="0073314A" w:rsidP="0073314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3314A" w:rsidRDefault="0073314A" w:rsidP="0073314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5EAE05" id="Group 10"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73314A" w:rsidRDefault="0073314A" w:rsidP="0073314A">
                      <w:pPr>
                        <w:jc w:val="center"/>
                      </w:pPr>
                    </w:p>
                  </w:txbxContent>
                </v:textbox>
              </v:rect>
              <v:rect id="Rectangle 13"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73314A" w:rsidRDefault="0073314A" w:rsidP="0073314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73314A" w:rsidRDefault="007331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7F6"/>
    <w:multiLevelType w:val="hybridMultilevel"/>
    <w:tmpl w:val="459A9E48"/>
    <w:lvl w:ilvl="0" w:tplc="E0B0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7B34"/>
    <w:multiLevelType w:val="hybridMultilevel"/>
    <w:tmpl w:val="8D743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21229"/>
    <w:multiLevelType w:val="hybridMultilevel"/>
    <w:tmpl w:val="C09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8BA1AE8"/>
    <w:multiLevelType w:val="hybridMultilevel"/>
    <w:tmpl w:val="D998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14380D"/>
    <w:multiLevelType w:val="hybridMultilevel"/>
    <w:tmpl w:val="FD22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B72C6"/>
    <w:multiLevelType w:val="hybridMultilevel"/>
    <w:tmpl w:val="F28A5AFC"/>
    <w:lvl w:ilvl="0" w:tplc="B3C86C72">
      <w:start w:val="1"/>
      <w:numFmt w:val="bullet"/>
      <w:lvlText w:val="•"/>
      <w:lvlJc w:val="left"/>
      <w:pPr>
        <w:tabs>
          <w:tab w:val="num" w:pos="720"/>
        </w:tabs>
        <w:ind w:left="720" w:hanging="360"/>
      </w:pPr>
      <w:rPr>
        <w:rFonts w:ascii="Arial" w:hAnsi="Arial" w:hint="default"/>
      </w:rPr>
    </w:lvl>
    <w:lvl w:ilvl="1" w:tplc="B2DAF848">
      <w:start w:val="142"/>
      <w:numFmt w:val="bullet"/>
      <w:lvlText w:val="–"/>
      <w:lvlJc w:val="left"/>
      <w:pPr>
        <w:tabs>
          <w:tab w:val="num" w:pos="1440"/>
        </w:tabs>
        <w:ind w:left="1440" w:hanging="360"/>
      </w:pPr>
      <w:rPr>
        <w:rFonts w:ascii="Arial" w:hAnsi="Arial" w:hint="default"/>
      </w:rPr>
    </w:lvl>
    <w:lvl w:ilvl="2" w:tplc="86BC5C92" w:tentative="1">
      <w:start w:val="1"/>
      <w:numFmt w:val="bullet"/>
      <w:lvlText w:val="•"/>
      <w:lvlJc w:val="left"/>
      <w:pPr>
        <w:tabs>
          <w:tab w:val="num" w:pos="2160"/>
        </w:tabs>
        <w:ind w:left="2160" w:hanging="360"/>
      </w:pPr>
      <w:rPr>
        <w:rFonts w:ascii="Arial" w:hAnsi="Arial" w:hint="default"/>
      </w:rPr>
    </w:lvl>
    <w:lvl w:ilvl="3" w:tplc="BAC46CE6" w:tentative="1">
      <w:start w:val="1"/>
      <w:numFmt w:val="bullet"/>
      <w:lvlText w:val="•"/>
      <w:lvlJc w:val="left"/>
      <w:pPr>
        <w:tabs>
          <w:tab w:val="num" w:pos="2880"/>
        </w:tabs>
        <w:ind w:left="2880" w:hanging="360"/>
      </w:pPr>
      <w:rPr>
        <w:rFonts w:ascii="Arial" w:hAnsi="Arial" w:hint="default"/>
      </w:rPr>
    </w:lvl>
    <w:lvl w:ilvl="4" w:tplc="1696BCD8" w:tentative="1">
      <w:start w:val="1"/>
      <w:numFmt w:val="bullet"/>
      <w:lvlText w:val="•"/>
      <w:lvlJc w:val="left"/>
      <w:pPr>
        <w:tabs>
          <w:tab w:val="num" w:pos="3600"/>
        </w:tabs>
        <w:ind w:left="3600" w:hanging="360"/>
      </w:pPr>
      <w:rPr>
        <w:rFonts w:ascii="Arial" w:hAnsi="Arial" w:hint="default"/>
      </w:rPr>
    </w:lvl>
    <w:lvl w:ilvl="5" w:tplc="513489E2" w:tentative="1">
      <w:start w:val="1"/>
      <w:numFmt w:val="bullet"/>
      <w:lvlText w:val="•"/>
      <w:lvlJc w:val="left"/>
      <w:pPr>
        <w:tabs>
          <w:tab w:val="num" w:pos="4320"/>
        </w:tabs>
        <w:ind w:left="4320" w:hanging="360"/>
      </w:pPr>
      <w:rPr>
        <w:rFonts w:ascii="Arial" w:hAnsi="Arial" w:hint="default"/>
      </w:rPr>
    </w:lvl>
    <w:lvl w:ilvl="6" w:tplc="475CF720" w:tentative="1">
      <w:start w:val="1"/>
      <w:numFmt w:val="bullet"/>
      <w:lvlText w:val="•"/>
      <w:lvlJc w:val="left"/>
      <w:pPr>
        <w:tabs>
          <w:tab w:val="num" w:pos="5040"/>
        </w:tabs>
        <w:ind w:left="5040" w:hanging="360"/>
      </w:pPr>
      <w:rPr>
        <w:rFonts w:ascii="Arial" w:hAnsi="Arial" w:hint="default"/>
      </w:rPr>
    </w:lvl>
    <w:lvl w:ilvl="7" w:tplc="525CF2E8" w:tentative="1">
      <w:start w:val="1"/>
      <w:numFmt w:val="bullet"/>
      <w:lvlText w:val="•"/>
      <w:lvlJc w:val="left"/>
      <w:pPr>
        <w:tabs>
          <w:tab w:val="num" w:pos="5760"/>
        </w:tabs>
        <w:ind w:left="5760" w:hanging="360"/>
      </w:pPr>
      <w:rPr>
        <w:rFonts w:ascii="Arial" w:hAnsi="Arial" w:hint="default"/>
      </w:rPr>
    </w:lvl>
    <w:lvl w:ilvl="8" w:tplc="499447E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422904"/>
    <w:multiLevelType w:val="hybridMultilevel"/>
    <w:tmpl w:val="C39A8958"/>
    <w:lvl w:ilvl="0" w:tplc="52EED68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8214BE"/>
    <w:multiLevelType w:val="hybridMultilevel"/>
    <w:tmpl w:val="FBBC0DF8"/>
    <w:lvl w:ilvl="0" w:tplc="4C20BBCC">
      <w:start w:val="1"/>
      <w:numFmt w:val="bullet"/>
      <w:lvlText w:val="•"/>
      <w:lvlJc w:val="left"/>
      <w:pPr>
        <w:tabs>
          <w:tab w:val="num" w:pos="360"/>
        </w:tabs>
        <w:ind w:left="360" w:hanging="360"/>
      </w:pPr>
      <w:rPr>
        <w:rFonts w:ascii="Arial" w:hAnsi="Arial" w:hint="default"/>
      </w:rPr>
    </w:lvl>
    <w:lvl w:ilvl="1" w:tplc="FB5A6FA4">
      <w:start w:val="1"/>
      <w:numFmt w:val="bullet"/>
      <w:lvlText w:val="•"/>
      <w:lvlJc w:val="left"/>
      <w:pPr>
        <w:tabs>
          <w:tab w:val="num" w:pos="1080"/>
        </w:tabs>
        <w:ind w:left="1080" w:hanging="360"/>
      </w:pPr>
      <w:rPr>
        <w:rFonts w:ascii="Arial" w:hAnsi="Arial" w:hint="default"/>
      </w:rPr>
    </w:lvl>
    <w:lvl w:ilvl="2" w:tplc="462C5980" w:tentative="1">
      <w:start w:val="1"/>
      <w:numFmt w:val="bullet"/>
      <w:lvlText w:val="•"/>
      <w:lvlJc w:val="left"/>
      <w:pPr>
        <w:tabs>
          <w:tab w:val="num" w:pos="1800"/>
        </w:tabs>
        <w:ind w:left="1800" w:hanging="360"/>
      </w:pPr>
      <w:rPr>
        <w:rFonts w:ascii="Arial" w:hAnsi="Arial" w:hint="default"/>
      </w:rPr>
    </w:lvl>
    <w:lvl w:ilvl="3" w:tplc="14E4E334" w:tentative="1">
      <w:start w:val="1"/>
      <w:numFmt w:val="bullet"/>
      <w:lvlText w:val="•"/>
      <w:lvlJc w:val="left"/>
      <w:pPr>
        <w:tabs>
          <w:tab w:val="num" w:pos="2520"/>
        </w:tabs>
        <w:ind w:left="2520" w:hanging="360"/>
      </w:pPr>
      <w:rPr>
        <w:rFonts w:ascii="Arial" w:hAnsi="Arial" w:hint="default"/>
      </w:rPr>
    </w:lvl>
    <w:lvl w:ilvl="4" w:tplc="FAEA701A" w:tentative="1">
      <w:start w:val="1"/>
      <w:numFmt w:val="bullet"/>
      <w:lvlText w:val="•"/>
      <w:lvlJc w:val="left"/>
      <w:pPr>
        <w:tabs>
          <w:tab w:val="num" w:pos="3240"/>
        </w:tabs>
        <w:ind w:left="3240" w:hanging="360"/>
      </w:pPr>
      <w:rPr>
        <w:rFonts w:ascii="Arial" w:hAnsi="Arial" w:hint="default"/>
      </w:rPr>
    </w:lvl>
    <w:lvl w:ilvl="5" w:tplc="12A257FA" w:tentative="1">
      <w:start w:val="1"/>
      <w:numFmt w:val="bullet"/>
      <w:lvlText w:val="•"/>
      <w:lvlJc w:val="left"/>
      <w:pPr>
        <w:tabs>
          <w:tab w:val="num" w:pos="3960"/>
        </w:tabs>
        <w:ind w:left="3960" w:hanging="360"/>
      </w:pPr>
      <w:rPr>
        <w:rFonts w:ascii="Arial" w:hAnsi="Arial" w:hint="default"/>
      </w:rPr>
    </w:lvl>
    <w:lvl w:ilvl="6" w:tplc="6B1EC5C2" w:tentative="1">
      <w:start w:val="1"/>
      <w:numFmt w:val="bullet"/>
      <w:lvlText w:val="•"/>
      <w:lvlJc w:val="left"/>
      <w:pPr>
        <w:tabs>
          <w:tab w:val="num" w:pos="4680"/>
        </w:tabs>
        <w:ind w:left="4680" w:hanging="360"/>
      </w:pPr>
      <w:rPr>
        <w:rFonts w:ascii="Arial" w:hAnsi="Arial" w:hint="default"/>
      </w:rPr>
    </w:lvl>
    <w:lvl w:ilvl="7" w:tplc="309E8690" w:tentative="1">
      <w:start w:val="1"/>
      <w:numFmt w:val="bullet"/>
      <w:lvlText w:val="•"/>
      <w:lvlJc w:val="left"/>
      <w:pPr>
        <w:tabs>
          <w:tab w:val="num" w:pos="5400"/>
        </w:tabs>
        <w:ind w:left="5400" w:hanging="360"/>
      </w:pPr>
      <w:rPr>
        <w:rFonts w:ascii="Arial" w:hAnsi="Arial" w:hint="default"/>
      </w:rPr>
    </w:lvl>
    <w:lvl w:ilvl="8" w:tplc="D0A84B26"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C2CAB"/>
    <w:multiLevelType w:val="hybridMultilevel"/>
    <w:tmpl w:val="E3AC0196"/>
    <w:lvl w:ilvl="0" w:tplc="01AA12A2">
      <w:start w:val="1"/>
      <w:numFmt w:val="bullet"/>
      <w:lvlText w:val="•"/>
      <w:lvlJc w:val="left"/>
      <w:pPr>
        <w:tabs>
          <w:tab w:val="num" w:pos="360"/>
        </w:tabs>
        <w:ind w:left="360" w:hanging="360"/>
      </w:pPr>
      <w:rPr>
        <w:rFonts w:ascii="Arial" w:hAnsi="Arial" w:hint="default"/>
      </w:rPr>
    </w:lvl>
    <w:lvl w:ilvl="1" w:tplc="4E7EC3A2" w:tentative="1">
      <w:start w:val="1"/>
      <w:numFmt w:val="bullet"/>
      <w:lvlText w:val="•"/>
      <w:lvlJc w:val="left"/>
      <w:pPr>
        <w:tabs>
          <w:tab w:val="num" w:pos="1080"/>
        </w:tabs>
        <w:ind w:left="1080" w:hanging="360"/>
      </w:pPr>
      <w:rPr>
        <w:rFonts w:ascii="Arial" w:hAnsi="Arial" w:hint="default"/>
      </w:rPr>
    </w:lvl>
    <w:lvl w:ilvl="2" w:tplc="CA0CCF54" w:tentative="1">
      <w:start w:val="1"/>
      <w:numFmt w:val="bullet"/>
      <w:lvlText w:val="•"/>
      <w:lvlJc w:val="left"/>
      <w:pPr>
        <w:tabs>
          <w:tab w:val="num" w:pos="1800"/>
        </w:tabs>
        <w:ind w:left="1800" w:hanging="360"/>
      </w:pPr>
      <w:rPr>
        <w:rFonts w:ascii="Arial" w:hAnsi="Arial" w:hint="default"/>
      </w:rPr>
    </w:lvl>
    <w:lvl w:ilvl="3" w:tplc="7C5EBB54" w:tentative="1">
      <w:start w:val="1"/>
      <w:numFmt w:val="bullet"/>
      <w:lvlText w:val="•"/>
      <w:lvlJc w:val="left"/>
      <w:pPr>
        <w:tabs>
          <w:tab w:val="num" w:pos="2520"/>
        </w:tabs>
        <w:ind w:left="2520" w:hanging="360"/>
      </w:pPr>
      <w:rPr>
        <w:rFonts w:ascii="Arial" w:hAnsi="Arial" w:hint="default"/>
      </w:rPr>
    </w:lvl>
    <w:lvl w:ilvl="4" w:tplc="16F88D02" w:tentative="1">
      <w:start w:val="1"/>
      <w:numFmt w:val="bullet"/>
      <w:lvlText w:val="•"/>
      <w:lvlJc w:val="left"/>
      <w:pPr>
        <w:tabs>
          <w:tab w:val="num" w:pos="3240"/>
        </w:tabs>
        <w:ind w:left="3240" w:hanging="360"/>
      </w:pPr>
      <w:rPr>
        <w:rFonts w:ascii="Arial" w:hAnsi="Arial" w:hint="default"/>
      </w:rPr>
    </w:lvl>
    <w:lvl w:ilvl="5" w:tplc="F5181F46" w:tentative="1">
      <w:start w:val="1"/>
      <w:numFmt w:val="bullet"/>
      <w:lvlText w:val="•"/>
      <w:lvlJc w:val="left"/>
      <w:pPr>
        <w:tabs>
          <w:tab w:val="num" w:pos="3960"/>
        </w:tabs>
        <w:ind w:left="3960" w:hanging="360"/>
      </w:pPr>
      <w:rPr>
        <w:rFonts w:ascii="Arial" w:hAnsi="Arial" w:hint="default"/>
      </w:rPr>
    </w:lvl>
    <w:lvl w:ilvl="6" w:tplc="0C00AF7C" w:tentative="1">
      <w:start w:val="1"/>
      <w:numFmt w:val="bullet"/>
      <w:lvlText w:val="•"/>
      <w:lvlJc w:val="left"/>
      <w:pPr>
        <w:tabs>
          <w:tab w:val="num" w:pos="4680"/>
        </w:tabs>
        <w:ind w:left="4680" w:hanging="360"/>
      </w:pPr>
      <w:rPr>
        <w:rFonts w:ascii="Arial" w:hAnsi="Arial" w:hint="default"/>
      </w:rPr>
    </w:lvl>
    <w:lvl w:ilvl="7" w:tplc="CAD49C60" w:tentative="1">
      <w:start w:val="1"/>
      <w:numFmt w:val="bullet"/>
      <w:lvlText w:val="•"/>
      <w:lvlJc w:val="left"/>
      <w:pPr>
        <w:tabs>
          <w:tab w:val="num" w:pos="5400"/>
        </w:tabs>
        <w:ind w:left="5400" w:hanging="360"/>
      </w:pPr>
      <w:rPr>
        <w:rFonts w:ascii="Arial" w:hAnsi="Arial" w:hint="default"/>
      </w:rPr>
    </w:lvl>
    <w:lvl w:ilvl="8" w:tplc="9AD0ADA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26"/>
  </w:num>
  <w:num w:numId="3">
    <w:abstractNumId w:val="1"/>
  </w:num>
  <w:num w:numId="4">
    <w:abstractNumId w:val="29"/>
  </w:num>
  <w:num w:numId="5">
    <w:abstractNumId w:val="27"/>
  </w:num>
  <w:num w:numId="6">
    <w:abstractNumId w:val="8"/>
  </w:num>
  <w:num w:numId="7">
    <w:abstractNumId w:val="17"/>
  </w:num>
  <w:num w:numId="8">
    <w:abstractNumId w:val="7"/>
  </w:num>
  <w:num w:numId="9">
    <w:abstractNumId w:val="16"/>
  </w:num>
  <w:num w:numId="10">
    <w:abstractNumId w:val="25"/>
  </w:num>
  <w:num w:numId="11">
    <w:abstractNumId w:val="21"/>
  </w:num>
  <w:num w:numId="12">
    <w:abstractNumId w:val="4"/>
  </w:num>
  <w:num w:numId="13">
    <w:abstractNumId w:val="20"/>
  </w:num>
  <w:num w:numId="14">
    <w:abstractNumId w:val="3"/>
  </w:num>
  <w:num w:numId="15">
    <w:abstractNumId w:val="33"/>
  </w:num>
  <w:num w:numId="16">
    <w:abstractNumId w:val="30"/>
  </w:num>
  <w:num w:numId="17">
    <w:abstractNumId w:val="19"/>
  </w:num>
  <w:num w:numId="18">
    <w:abstractNumId w:val="11"/>
  </w:num>
  <w:num w:numId="19">
    <w:abstractNumId w:val="31"/>
  </w:num>
  <w:num w:numId="20">
    <w:abstractNumId w:val="10"/>
  </w:num>
  <w:num w:numId="21">
    <w:abstractNumId w:val="28"/>
  </w:num>
  <w:num w:numId="22">
    <w:abstractNumId w:val="18"/>
  </w:num>
  <w:num w:numId="23">
    <w:abstractNumId w:val="32"/>
  </w:num>
  <w:num w:numId="24">
    <w:abstractNumId w:val="13"/>
  </w:num>
  <w:num w:numId="25">
    <w:abstractNumId w:val="23"/>
  </w:num>
  <w:num w:numId="26">
    <w:abstractNumId w:val="14"/>
  </w:num>
  <w:num w:numId="27">
    <w:abstractNumId w:val="34"/>
  </w:num>
  <w:num w:numId="28">
    <w:abstractNumId w:val="2"/>
  </w:num>
  <w:num w:numId="29">
    <w:abstractNumId w:val="12"/>
  </w:num>
  <w:num w:numId="30">
    <w:abstractNumId w:val="24"/>
  </w:num>
  <w:num w:numId="31">
    <w:abstractNumId w:val="0"/>
  </w:num>
  <w:num w:numId="32">
    <w:abstractNumId w:val="15"/>
  </w:num>
  <w:num w:numId="33">
    <w:abstractNumId w:val="5"/>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0FBE"/>
    <w:rsid w:val="000227F4"/>
    <w:rsid w:val="00024C33"/>
    <w:rsid w:val="00025611"/>
    <w:rsid w:val="000545DB"/>
    <w:rsid w:val="00075311"/>
    <w:rsid w:val="00080E13"/>
    <w:rsid w:val="000A1DB7"/>
    <w:rsid w:val="000B5DC1"/>
    <w:rsid w:val="000C73B0"/>
    <w:rsid w:val="000C77A2"/>
    <w:rsid w:val="000D0C91"/>
    <w:rsid w:val="000D707F"/>
    <w:rsid w:val="000E6AFB"/>
    <w:rsid w:val="000F4FC2"/>
    <w:rsid w:val="0010685D"/>
    <w:rsid w:val="001174FB"/>
    <w:rsid w:val="001228DA"/>
    <w:rsid w:val="00122AE4"/>
    <w:rsid w:val="0013305E"/>
    <w:rsid w:val="00134006"/>
    <w:rsid w:val="00136F9E"/>
    <w:rsid w:val="00145D48"/>
    <w:rsid w:val="0014631D"/>
    <w:rsid w:val="001470D3"/>
    <w:rsid w:val="001501E7"/>
    <w:rsid w:val="001521CE"/>
    <w:rsid w:val="00154266"/>
    <w:rsid w:val="0017028B"/>
    <w:rsid w:val="00173BC0"/>
    <w:rsid w:val="001816F3"/>
    <w:rsid w:val="00182411"/>
    <w:rsid w:val="001838BB"/>
    <w:rsid w:val="00186F3D"/>
    <w:rsid w:val="001B64E4"/>
    <w:rsid w:val="001B7215"/>
    <w:rsid w:val="001C4E22"/>
    <w:rsid w:val="001E14F9"/>
    <w:rsid w:val="001E2739"/>
    <w:rsid w:val="001E3057"/>
    <w:rsid w:val="001F400B"/>
    <w:rsid w:val="0020023B"/>
    <w:rsid w:val="002002A4"/>
    <w:rsid w:val="00210FB0"/>
    <w:rsid w:val="002118E4"/>
    <w:rsid w:val="00227551"/>
    <w:rsid w:val="002318E5"/>
    <w:rsid w:val="0023728B"/>
    <w:rsid w:val="00253D57"/>
    <w:rsid w:val="00256695"/>
    <w:rsid w:val="00267CB0"/>
    <w:rsid w:val="00284197"/>
    <w:rsid w:val="00286CB2"/>
    <w:rsid w:val="00293E41"/>
    <w:rsid w:val="0029792E"/>
    <w:rsid w:val="002A4452"/>
    <w:rsid w:val="002A45BA"/>
    <w:rsid w:val="002B01A4"/>
    <w:rsid w:val="002B1B1E"/>
    <w:rsid w:val="002B4C2F"/>
    <w:rsid w:val="002B6CAD"/>
    <w:rsid w:val="002C1FC3"/>
    <w:rsid w:val="002C21F8"/>
    <w:rsid w:val="002C4009"/>
    <w:rsid w:val="002D3019"/>
    <w:rsid w:val="002D4539"/>
    <w:rsid w:val="002D64F8"/>
    <w:rsid w:val="002E1B5F"/>
    <w:rsid w:val="002E2F23"/>
    <w:rsid w:val="002E5E20"/>
    <w:rsid w:val="00302B79"/>
    <w:rsid w:val="00312AA7"/>
    <w:rsid w:val="0033190F"/>
    <w:rsid w:val="00356757"/>
    <w:rsid w:val="00357B8E"/>
    <w:rsid w:val="00366A66"/>
    <w:rsid w:val="00373CF4"/>
    <w:rsid w:val="00375697"/>
    <w:rsid w:val="00390E7B"/>
    <w:rsid w:val="00392742"/>
    <w:rsid w:val="00393893"/>
    <w:rsid w:val="0039421F"/>
    <w:rsid w:val="003A3298"/>
    <w:rsid w:val="003B14AE"/>
    <w:rsid w:val="003B6F55"/>
    <w:rsid w:val="003C328D"/>
    <w:rsid w:val="003D4350"/>
    <w:rsid w:val="003E1A24"/>
    <w:rsid w:val="003E4AF3"/>
    <w:rsid w:val="003F6BD0"/>
    <w:rsid w:val="004066A3"/>
    <w:rsid w:val="00413085"/>
    <w:rsid w:val="004137C6"/>
    <w:rsid w:val="00421371"/>
    <w:rsid w:val="00421876"/>
    <w:rsid w:val="00430B65"/>
    <w:rsid w:val="00434F49"/>
    <w:rsid w:val="00450273"/>
    <w:rsid w:val="00467F34"/>
    <w:rsid w:val="004758A0"/>
    <w:rsid w:val="00476B01"/>
    <w:rsid w:val="00482777"/>
    <w:rsid w:val="004866C5"/>
    <w:rsid w:val="004916C7"/>
    <w:rsid w:val="0049580C"/>
    <w:rsid w:val="004A3849"/>
    <w:rsid w:val="004C726D"/>
    <w:rsid w:val="004D5C6B"/>
    <w:rsid w:val="004F1685"/>
    <w:rsid w:val="00521094"/>
    <w:rsid w:val="00533E33"/>
    <w:rsid w:val="00563964"/>
    <w:rsid w:val="00585319"/>
    <w:rsid w:val="00585A97"/>
    <w:rsid w:val="00586829"/>
    <w:rsid w:val="00595907"/>
    <w:rsid w:val="005C1089"/>
    <w:rsid w:val="005C5BA2"/>
    <w:rsid w:val="005C75AC"/>
    <w:rsid w:val="005F1594"/>
    <w:rsid w:val="005F7CCF"/>
    <w:rsid w:val="006010CA"/>
    <w:rsid w:val="00605453"/>
    <w:rsid w:val="0061167B"/>
    <w:rsid w:val="0062517E"/>
    <w:rsid w:val="006268FC"/>
    <w:rsid w:val="00634BD7"/>
    <w:rsid w:val="00645D0D"/>
    <w:rsid w:val="006534BC"/>
    <w:rsid w:val="0066054E"/>
    <w:rsid w:val="006871E1"/>
    <w:rsid w:val="006950D0"/>
    <w:rsid w:val="00695B69"/>
    <w:rsid w:val="00697E5E"/>
    <w:rsid w:val="006A2A74"/>
    <w:rsid w:val="006B2CC8"/>
    <w:rsid w:val="006C2DF7"/>
    <w:rsid w:val="006C3C24"/>
    <w:rsid w:val="006E0F86"/>
    <w:rsid w:val="006E7138"/>
    <w:rsid w:val="006F2F8F"/>
    <w:rsid w:val="007028E8"/>
    <w:rsid w:val="007133C8"/>
    <w:rsid w:val="0072569A"/>
    <w:rsid w:val="0073314A"/>
    <w:rsid w:val="007401F6"/>
    <w:rsid w:val="0074080E"/>
    <w:rsid w:val="007419C2"/>
    <w:rsid w:val="0075764E"/>
    <w:rsid w:val="00761C22"/>
    <w:rsid w:val="00767175"/>
    <w:rsid w:val="00791A55"/>
    <w:rsid w:val="007947EC"/>
    <w:rsid w:val="007962C1"/>
    <w:rsid w:val="007B0A63"/>
    <w:rsid w:val="007B7514"/>
    <w:rsid w:val="007C1404"/>
    <w:rsid w:val="007D21C0"/>
    <w:rsid w:val="007D7673"/>
    <w:rsid w:val="007E4864"/>
    <w:rsid w:val="007E724E"/>
    <w:rsid w:val="008058E0"/>
    <w:rsid w:val="0082138A"/>
    <w:rsid w:val="00831A34"/>
    <w:rsid w:val="00846AF0"/>
    <w:rsid w:val="008558A4"/>
    <w:rsid w:val="00855B83"/>
    <w:rsid w:val="00856942"/>
    <w:rsid w:val="00860E7C"/>
    <w:rsid w:val="00861C13"/>
    <w:rsid w:val="008640C0"/>
    <w:rsid w:val="008666C1"/>
    <w:rsid w:val="00867C98"/>
    <w:rsid w:val="00874B40"/>
    <w:rsid w:val="00885CA2"/>
    <w:rsid w:val="00892648"/>
    <w:rsid w:val="008A2749"/>
    <w:rsid w:val="008A5D91"/>
    <w:rsid w:val="008B6A60"/>
    <w:rsid w:val="008D30C3"/>
    <w:rsid w:val="008D4FFD"/>
    <w:rsid w:val="008D60F2"/>
    <w:rsid w:val="00904E27"/>
    <w:rsid w:val="00910E59"/>
    <w:rsid w:val="00913CBA"/>
    <w:rsid w:val="00914E0F"/>
    <w:rsid w:val="0092424D"/>
    <w:rsid w:val="00931EF2"/>
    <w:rsid w:val="00934D4D"/>
    <w:rsid w:val="009354BB"/>
    <w:rsid w:val="0096304E"/>
    <w:rsid w:val="00973DF7"/>
    <w:rsid w:val="009754B7"/>
    <w:rsid w:val="00991426"/>
    <w:rsid w:val="0099156D"/>
    <w:rsid w:val="009A47C4"/>
    <w:rsid w:val="009D2671"/>
    <w:rsid w:val="009D4501"/>
    <w:rsid w:val="009D5120"/>
    <w:rsid w:val="009D6221"/>
    <w:rsid w:val="009E1243"/>
    <w:rsid w:val="009E15FE"/>
    <w:rsid w:val="00A00B0F"/>
    <w:rsid w:val="00A14528"/>
    <w:rsid w:val="00A16962"/>
    <w:rsid w:val="00A23C5D"/>
    <w:rsid w:val="00A33B0B"/>
    <w:rsid w:val="00A34A34"/>
    <w:rsid w:val="00A53BAE"/>
    <w:rsid w:val="00A544DF"/>
    <w:rsid w:val="00A61C50"/>
    <w:rsid w:val="00A80188"/>
    <w:rsid w:val="00A917D6"/>
    <w:rsid w:val="00A9231A"/>
    <w:rsid w:val="00A97166"/>
    <w:rsid w:val="00AA11C7"/>
    <w:rsid w:val="00AB3669"/>
    <w:rsid w:val="00AD1F4D"/>
    <w:rsid w:val="00AE1AFD"/>
    <w:rsid w:val="00AF798B"/>
    <w:rsid w:val="00B0232A"/>
    <w:rsid w:val="00B045D8"/>
    <w:rsid w:val="00B04AF6"/>
    <w:rsid w:val="00B0588F"/>
    <w:rsid w:val="00B05BD2"/>
    <w:rsid w:val="00B126A1"/>
    <w:rsid w:val="00B13435"/>
    <w:rsid w:val="00B409B5"/>
    <w:rsid w:val="00B44722"/>
    <w:rsid w:val="00B469C2"/>
    <w:rsid w:val="00B61240"/>
    <w:rsid w:val="00B73F15"/>
    <w:rsid w:val="00B83BE5"/>
    <w:rsid w:val="00B84030"/>
    <w:rsid w:val="00B87A24"/>
    <w:rsid w:val="00B916DE"/>
    <w:rsid w:val="00BA0DAE"/>
    <w:rsid w:val="00BB746A"/>
    <w:rsid w:val="00BC1735"/>
    <w:rsid w:val="00BE3232"/>
    <w:rsid w:val="00BE34FF"/>
    <w:rsid w:val="00BF3811"/>
    <w:rsid w:val="00C11578"/>
    <w:rsid w:val="00C14D04"/>
    <w:rsid w:val="00C15EF8"/>
    <w:rsid w:val="00C167B4"/>
    <w:rsid w:val="00C23378"/>
    <w:rsid w:val="00C26BCB"/>
    <w:rsid w:val="00C36014"/>
    <w:rsid w:val="00C649E2"/>
    <w:rsid w:val="00C70D20"/>
    <w:rsid w:val="00C70DC6"/>
    <w:rsid w:val="00C80040"/>
    <w:rsid w:val="00CB09E8"/>
    <w:rsid w:val="00CB351E"/>
    <w:rsid w:val="00CC3852"/>
    <w:rsid w:val="00CD245B"/>
    <w:rsid w:val="00CE4ADC"/>
    <w:rsid w:val="00D03B13"/>
    <w:rsid w:val="00D16D78"/>
    <w:rsid w:val="00D22A1E"/>
    <w:rsid w:val="00D37692"/>
    <w:rsid w:val="00D426DD"/>
    <w:rsid w:val="00D428F2"/>
    <w:rsid w:val="00D51F60"/>
    <w:rsid w:val="00D53A09"/>
    <w:rsid w:val="00D75909"/>
    <w:rsid w:val="00D8056E"/>
    <w:rsid w:val="00D81A96"/>
    <w:rsid w:val="00D821EB"/>
    <w:rsid w:val="00D9024F"/>
    <w:rsid w:val="00DA583F"/>
    <w:rsid w:val="00DA6754"/>
    <w:rsid w:val="00DB2982"/>
    <w:rsid w:val="00DB5B06"/>
    <w:rsid w:val="00DE0E97"/>
    <w:rsid w:val="00DE5766"/>
    <w:rsid w:val="00DF4431"/>
    <w:rsid w:val="00DF7316"/>
    <w:rsid w:val="00E036B5"/>
    <w:rsid w:val="00E16FF7"/>
    <w:rsid w:val="00E33995"/>
    <w:rsid w:val="00E43489"/>
    <w:rsid w:val="00E478EF"/>
    <w:rsid w:val="00E53F5C"/>
    <w:rsid w:val="00E61B29"/>
    <w:rsid w:val="00E874DE"/>
    <w:rsid w:val="00EF1E37"/>
    <w:rsid w:val="00F072D3"/>
    <w:rsid w:val="00F07460"/>
    <w:rsid w:val="00F07B93"/>
    <w:rsid w:val="00F10055"/>
    <w:rsid w:val="00F10213"/>
    <w:rsid w:val="00F15052"/>
    <w:rsid w:val="00F24591"/>
    <w:rsid w:val="00F32483"/>
    <w:rsid w:val="00F5189F"/>
    <w:rsid w:val="00F52168"/>
    <w:rsid w:val="00F554A8"/>
    <w:rsid w:val="00F56AC8"/>
    <w:rsid w:val="00F71236"/>
    <w:rsid w:val="00F75AE7"/>
    <w:rsid w:val="00F772F0"/>
    <w:rsid w:val="00F77CAF"/>
    <w:rsid w:val="00F91762"/>
    <w:rsid w:val="00F91B60"/>
    <w:rsid w:val="00F960C1"/>
    <w:rsid w:val="00FB135B"/>
    <w:rsid w:val="00FB1E9C"/>
    <w:rsid w:val="00FB535D"/>
    <w:rsid w:val="00FB61FA"/>
    <w:rsid w:val="00FB702A"/>
    <w:rsid w:val="00FC57A0"/>
    <w:rsid w:val="00FC6F36"/>
    <w:rsid w:val="00FE679A"/>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5C9D"/>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 w:type="paragraph" w:customStyle="1" w:styleId="Default">
    <w:name w:val="Default"/>
    <w:rsid w:val="00E53F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592861960">
      <w:bodyDiv w:val="1"/>
      <w:marLeft w:val="0"/>
      <w:marRight w:val="0"/>
      <w:marTop w:val="0"/>
      <w:marBottom w:val="0"/>
      <w:divBdr>
        <w:top w:val="none" w:sz="0" w:space="0" w:color="auto"/>
        <w:left w:val="none" w:sz="0" w:space="0" w:color="auto"/>
        <w:bottom w:val="none" w:sz="0" w:space="0" w:color="auto"/>
        <w:right w:val="none" w:sz="0" w:space="0" w:color="auto"/>
      </w:divBdr>
      <w:divsChild>
        <w:div w:id="1168328512">
          <w:marLeft w:val="0"/>
          <w:marRight w:val="0"/>
          <w:marTop w:val="0"/>
          <w:marBottom w:val="0"/>
          <w:divBdr>
            <w:top w:val="none" w:sz="0" w:space="0" w:color="auto"/>
            <w:left w:val="none" w:sz="0" w:space="0" w:color="auto"/>
            <w:bottom w:val="none" w:sz="0" w:space="0" w:color="auto"/>
            <w:right w:val="none" w:sz="0" w:space="0" w:color="auto"/>
          </w:divBdr>
        </w:div>
        <w:div w:id="922184088">
          <w:marLeft w:val="0"/>
          <w:marRight w:val="0"/>
          <w:marTop w:val="0"/>
          <w:marBottom w:val="0"/>
          <w:divBdr>
            <w:top w:val="none" w:sz="0" w:space="0" w:color="auto"/>
            <w:left w:val="none" w:sz="0" w:space="0" w:color="auto"/>
            <w:bottom w:val="none" w:sz="0" w:space="0" w:color="auto"/>
            <w:right w:val="none" w:sz="0" w:space="0" w:color="auto"/>
          </w:divBdr>
          <w:divsChild>
            <w:div w:id="357802">
              <w:marLeft w:val="0"/>
              <w:marRight w:val="0"/>
              <w:marTop w:val="0"/>
              <w:marBottom w:val="0"/>
              <w:divBdr>
                <w:top w:val="none" w:sz="0" w:space="0" w:color="auto"/>
                <w:left w:val="none" w:sz="0" w:space="0" w:color="auto"/>
                <w:bottom w:val="none" w:sz="0" w:space="0" w:color="auto"/>
                <w:right w:val="none" w:sz="0" w:space="0" w:color="auto"/>
              </w:divBdr>
            </w:div>
          </w:divsChild>
        </w:div>
        <w:div w:id="450174012">
          <w:marLeft w:val="0"/>
          <w:marRight w:val="0"/>
          <w:marTop w:val="0"/>
          <w:marBottom w:val="0"/>
          <w:divBdr>
            <w:top w:val="none" w:sz="0" w:space="0" w:color="auto"/>
            <w:left w:val="none" w:sz="0" w:space="0" w:color="auto"/>
            <w:bottom w:val="none" w:sz="0" w:space="0" w:color="auto"/>
            <w:right w:val="none" w:sz="0" w:space="0" w:color="auto"/>
          </w:divBdr>
          <w:divsChild>
            <w:div w:id="59326479">
              <w:marLeft w:val="0"/>
              <w:marRight w:val="0"/>
              <w:marTop w:val="0"/>
              <w:marBottom w:val="0"/>
              <w:divBdr>
                <w:top w:val="none" w:sz="0" w:space="0" w:color="auto"/>
                <w:left w:val="none" w:sz="0" w:space="0" w:color="auto"/>
                <w:bottom w:val="none" w:sz="0" w:space="0" w:color="auto"/>
                <w:right w:val="none" w:sz="0" w:space="0" w:color="auto"/>
              </w:divBdr>
            </w:div>
          </w:divsChild>
        </w:div>
        <w:div w:id="486241282">
          <w:marLeft w:val="0"/>
          <w:marRight w:val="0"/>
          <w:marTop w:val="0"/>
          <w:marBottom w:val="0"/>
          <w:divBdr>
            <w:top w:val="none" w:sz="0" w:space="0" w:color="auto"/>
            <w:left w:val="none" w:sz="0" w:space="0" w:color="auto"/>
            <w:bottom w:val="none" w:sz="0" w:space="0" w:color="auto"/>
            <w:right w:val="none" w:sz="0" w:space="0" w:color="auto"/>
          </w:divBdr>
          <w:divsChild>
            <w:div w:id="528644942">
              <w:marLeft w:val="0"/>
              <w:marRight w:val="0"/>
              <w:marTop w:val="0"/>
              <w:marBottom w:val="0"/>
              <w:divBdr>
                <w:top w:val="none" w:sz="0" w:space="0" w:color="auto"/>
                <w:left w:val="none" w:sz="0" w:space="0" w:color="auto"/>
                <w:bottom w:val="none" w:sz="0" w:space="0" w:color="auto"/>
                <w:right w:val="none" w:sz="0" w:space="0" w:color="auto"/>
              </w:divBdr>
              <w:divsChild>
                <w:div w:id="718825226">
                  <w:marLeft w:val="0"/>
                  <w:marRight w:val="0"/>
                  <w:marTop w:val="0"/>
                  <w:marBottom w:val="0"/>
                  <w:divBdr>
                    <w:top w:val="none" w:sz="0" w:space="0" w:color="auto"/>
                    <w:left w:val="none" w:sz="0" w:space="0" w:color="auto"/>
                    <w:bottom w:val="none" w:sz="0" w:space="0" w:color="auto"/>
                    <w:right w:val="none" w:sz="0" w:space="0" w:color="auto"/>
                  </w:divBdr>
                  <w:divsChild>
                    <w:div w:id="1574462005">
                      <w:marLeft w:val="0"/>
                      <w:marRight w:val="0"/>
                      <w:marTop w:val="0"/>
                      <w:marBottom w:val="0"/>
                      <w:divBdr>
                        <w:top w:val="none" w:sz="0" w:space="0" w:color="auto"/>
                        <w:left w:val="none" w:sz="0" w:space="0" w:color="auto"/>
                        <w:bottom w:val="none" w:sz="0" w:space="0" w:color="auto"/>
                        <w:right w:val="none" w:sz="0" w:space="0" w:color="auto"/>
                      </w:divBdr>
                      <w:divsChild>
                        <w:div w:id="940993947">
                          <w:marLeft w:val="0"/>
                          <w:marRight w:val="0"/>
                          <w:marTop w:val="0"/>
                          <w:marBottom w:val="0"/>
                          <w:divBdr>
                            <w:top w:val="none" w:sz="0" w:space="0" w:color="auto"/>
                            <w:left w:val="none" w:sz="0" w:space="0" w:color="auto"/>
                            <w:bottom w:val="none" w:sz="0" w:space="0" w:color="auto"/>
                            <w:right w:val="none" w:sz="0" w:space="0" w:color="auto"/>
                          </w:divBdr>
                        </w:div>
                        <w:div w:id="6292773">
                          <w:marLeft w:val="0"/>
                          <w:marRight w:val="0"/>
                          <w:marTop w:val="0"/>
                          <w:marBottom w:val="0"/>
                          <w:divBdr>
                            <w:top w:val="none" w:sz="0" w:space="0" w:color="auto"/>
                            <w:left w:val="none" w:sz="0" w:space="0" w:color="auto"/>
                            <w:bottom w:val="none" w:sz="0" w:space="0" w:color="auto"/>
                            <w:right w:val="none" w:sz="0" w:space="0" w:color="auto"/>
                          </w:divBdr>
                        </w:div>
                        <w:div w:id="19227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80980506">
      <w:bodyDiv w:val="1"/>
      <w:marLeft w:val="0"/>
      <w:marRight w:val="0"/>
      <w:marTop w:val="0"/>
      <w:marBottom w:val="0"/>
      <w:divBdr>
        <w:top w:val="none" w:sz="0" w:space="0" w:color="auto"/>
        <w:left w:val="none" w:sz="0" w:space="0" w:color="auto"/>
        <w:bottom w:val="none" w:sz="0" w:space="0" w:color="auto"/>
        <w:right w:val="none" w:sz="0" w:space="0" w:color="auto"/>
      </w:divBdr>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2020-legislative-session.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iowaschoolfinance.com" TargetMode="External"/><Relationship Id="rId12" Type="http://schemas.openxmlformats.org/officeDocument/2006/relationships/hyperlink" Target="https://www.legis.iowa.gov/docs/publications/BL/113314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publications/NOBA/1133379.pdf" TargetMode="External"/><Relationship Id="rId5" Type="http://schemas.openxmlformats.org/officeDocument/2006/relationships/footnotes" Target="footnotes.xml"/><Relationship Id="rId15" Type="http://schemas.openxmlformats.org/officeDocument/2006/relationships/hyperlink" Target="http://www.rsaia.org/legislative.html" TargetMode="External"/><Relationship Id="rId10" Type="http://schemas.openxmlformats.org/officeDocument/2006/relationships/hyperlink" Target="https://www.legis.iowa.gov/legislation/BillBook?ga=88&amp;ba=sf2408" TargetMode="External"/><Relationship Id="rId4" Type="http://schemas.openxmlformats.org/officeDocument/2006/relationships/webSettings" Target="webSettings.xml"/><Relationship Id="rId9" Type="http://schemas.openxmlformats.org/officeDocument/2006/relationships/hyperlink" Target="http://nebula.wsimg.com/a3040fe694d8f75b73d82562c5687469?AccessKeyId=D081CCCCA2DCE3941176&amp;disposition=0&amp;alloworigin=1" TargetMode="External"/><Relationship Id="rId14" Type="http://schemas.openxmlformats.org/officeDocument/2006/relationships/hyperlink" Target="http://nebula.wsimg.com/794dd24bbc0c3bd2c451079c6920a003?AccessKeyId=D081CCCCA2DCE3941176&amp;disposition=0&amp;alloworigin=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2020-02-26T23:37:00Z</cp:lastPrinted>
  <dcterms:created xsi:type="dcterms:W3CDTF">2020-03-19T22:55:00Z</dcterms:created>
  <dcterms:modified xsi:type="dcterms:W3CDTF">2020-03-19T22:56:00Z</dcterms:modified>
</cp:coreProperties>
</file>