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7F4" w:rsidRDefault="00B407F4" w:rsidP="00B407F4">
      <w:pPr>
        <w:spacing w:after="0"/>
        <w:ind w:left="-990" w:right="-90"/>
        <w:jc w:val="both"/>
        <w:rPr>
          <w:rFonts w:ascii="Georgia" w:hAnsi="Georgia"/>
          <w:sz w:val="24"/>
          <w:szCs w:val="24"/>
        </w:rPr>
      </w:pPr>
      <w:r>
        <w:rPr>
          <w:rFonts w:ascii="Georgia" w:hAnsi="Georgia"/>
          <w:sz w:val="24"/>
          <w:szCs w:val="24"/>
        </w:rPr>
        <w:t xml:space="preserve">It is the mission of Dreamweavers Unlimited, Inc. (DWU) to serve individuals and families with respect and kindness and to remain committed to helping them achieve their dreams.   In order to continuously work towards accomplishing our mission, DWU conducts an annual performance analysis to measure performance related to defined indicators outlined in an annual Performance Measurement Plan.   </w:t>
      </w:r>
    </w:p>
    <w:p w:rsidR="001216F9" w:rsidRDefault="001216F9" w:rsidP="00B407F4">
      <w:pPr>
        <w:spacing w:after="0"/>
        <w:ind w:left="-990" w:right="-90"/>
        <w:jc w:val="both"/>
        <w:rPr>
          <w:rFonts w:ascii="Georgia" w:hAnsi="Georgia"/>
          <w:sz w:val="24"/>
          <w:szCs w:val="24"/>
        </w:rPr>
      </w:pPr>
    </w:p>
    <w:p w:rsidR="001216F9" w:rsidRDefault="001216F9" w:rsidP="00B407F4">
      <w:pPr>
        <w:spacing w:after="0"/>
        <w:ind w:left="-990" w:right="-90"/>
        <w:jc w:val="both"/>
        <w:rPr>
          <w:rFonts w:ascii="Georgia" w:hAnsi="Georgia"/>
          <w:sz w:val="24"/>
          <w:szCs w:val="24"/>
        </w:rPr>
      </w:pPr>
      <w:r>
        <w:rPr>
          <w:rFonts w:ascii="Georgia" w:hAnsi="Georgia"/>
          <w:sz w:val="24"/>
          <w:szCs w:val="24"/>
        </w:rPr>
        <w:t xml:space="preserve">The analysis includes a review of the data collected as measured against the performance target for each indicator.  Any trends are noted and used to determine how to move forward in determining indicators for the following year.  Additionally, client characteristics and extenuating factors are explored in their effect on the data collected.  Comparative analysis may be conducted on indicators that have spanned multiple or consecutive years.  If it is determined necessary, an action plan will be implemented to address performance results. </w:t>
      </w:r>
    </w:p>
    <w:p w:rsidR="001216F9" w:rsidRDefault="001216F9" w:rsidP="00B407F4">
      <w:pPr>
        <w:spacing w:after="0"/>
        <w:ind w:left="-990" w:right="-90"/>
        <w:jc w:val="both"/>
        <w:rPr>
          <w:rFonts w:ascii="Georgia" w:hAnsi="Georgia"/>
          <w:sz w:val="24"/>
          <w:szCs w:val="24"/>
        </w:rPr>
      </w:pPr>
    </w:p>
    <w:p w:rsidR="001216F9" w:rsidRDefault="001216F9" w:rsidP="00B407F4">
      <w:pPr>
        <w:spacing w:after="0"/>
        <w:ind w:left="-990" w:right="-90"/>
        <w:jc w:val="both"/>
        <w:rPr>
          <w:rFonts w:ascii="Georgia" w:hAnsi="Georgia"/>
          <w:sz w:val="24"/>
          <w:szCs w:val="24"/>
        </w:rPr>
      </w:pPr>
      <w:r>
        <w:rPr>
          <w:rFonts w:ascii="Georgia" w:hAnsi="Georgia"/>
          <w:sz w:val="24"/>
          <w:szCs w:val="24"/>
        </w:rPr>
        <w:t xml:space="preserve">Information is shared with clients, staff, and stakeholders via the DWU website at the beginning of each calendar year. </w:t>
      </w:r>
    </w:p>
    <w:p w:rsidR="00B407F4" w:rsidRDefault="00B407F4" w:rsidP="00B407F4">
      <w:pPr>
        <w:spacing w:after="0"/>
        <w:ind w:left="-990" w:right="-90"/>
        <w:jc w:val="both"/>
        <w:rPr>
          <w:rFonts w:ascii="Georgia" w:hAnsi="Georgia"/>
          <w:sz w:val="24"/>
          <w:szCs w:val="24"/>
        </w:rPr>
      </w:pPr>
    </w:p>
    <w:p w:rsidR="00B407F4" w:rsidRDefault="00B407F4" w:rsidP="00B407F4">
      <w:pPr>
        <w:spacing w:after="0"/>
        <w:ind w:left="-990" w:right="-90"/>
        <w:jc w:val="both"/>
        <w:rPr>
          <w:rFonts w:ascii="Georgia" w:hAnsi="Georgia"/>
          <w:sz w:val="24"/>
          <w:szCs w:val="24"/>
        </w:rPr>
      </w:pPr>
      <w:r>
        <w:rPr>
          <w:rFonts w:ascii="Georgia" w:hAnsi="Georgia"/>
          <w:sz w:val="24"/>
          <w:szCs w:val="24"/>
        </w:rPr>
        <w:t xml:space="preserve">The following performance indicators </w:t>
      </w:r>
      <w:r w:rsidR="00ED3292">
        <w:rPr>
          <w:rFonts w:ascii="Georgia" w:hAnsi="Georgia"/>
          <w:sz w:val="24"/>
          <w:szCs w:val="24"/>
        </w:rPr>
        <w:t xml:space="preserve">for Service Delivery </w:t>
      </w:r>
      <w:r>
        <w:rPr>
          <w:rFonts w:ascii="Georgia" w:hAnsi="Georgia"/>
          <w:sz w:val="24"/>
          <w:szCs w:val="24"/>
        </w:rPr>
        <w:t>were measure</w:t>
      </w:r>
      <w:r w:rsidR="001216F9">
        <w:rPr>
          <w:rFonts w:ascii="Georgia" w:hAnsi="Georgia"/>
          <w:sz w:val="24"/>
          <w:szCs w:val="24"/>
        </w:rPr>
        <w:t>d for the calendar year of 2020:</w:t>
      </w:r>
    </w:p>
    <w:p w:rsidR="000F0B88" w:rsidRDefault="000F0B88" w:rsidP="000D3BA4">
      <w:pPr>
        <w:rPr>
          <w:rFonts w:ascii="Georgia" w:hAnsi="Georgia"/>
          <w:sz w:val="24"/>
          <w:szCs w:val="24"/>
        </w:rPr>
      </w:pPr>
    </w:p>
    <w:p w:rsidR="000D3BA4" w:rsidRPr="000D3BA4" w:rsidRDefault="00D670A5" w:rsidP="000D3BA4">
      <w:pPr>
        <w:pStyle w:val="ListParagraph"/>
        <w:numPr>
          <w:ilvl w:val="0"/>
          <w:numId w:val="5"/>
        </w:numPr>
        <w:rPr>
          <w:rFonts w:ascii="Georgia" w:hAnsi="Georgia"/>
          <w:b/>
          <w:sz w:val="24"/>
          <w:szCs w:val="24"/>
        </w:rPr>
      </w:pPr>
      <w:r>
        <w:rPr>
          <w:rFonts w:ascii="Georgia" w:hAnsi="Georgia"/>
          <w:b/>
          <w:sz w:val="24"/>
          <w:szCs w:val="24"/>
        </w:rPr>
        <w:t xml:space="preserve">EFFECTIVENESS - </w:t>
      </w:r>
    </w:p>
    <w:tbl>
      <w:tblPr>
        <w:tblStyle w:val="TableGrid"/>
        <w:tblW w:w="15030" w:type="dxa"/>
        <w:tblInd w:w="-972" w:type="dxa"/>
        <w:tblLayout w:type="fixed"/>
        <w:tblLook w:val="04A0"/>
      </w:tblPr>
      <w:tblGrid>
        <w:gridCol w:w="2700"/>
        <w:gridCol w:w="2160"/>
        <w:gridCol w:w="1800"/>
        <w:gridCol w:w="2070"/>
        <w:gridCol w:w="3060"/>
        <w:gridCol w:w="3240"/>
      </w:tblGrid>
      <w:tr w:rsidR="00D670A5" w:rsidTr="006D21A8">
        <w:tc>
          <w:tcPr>
            <w:tcW w:w="2700" w:type="dxa"/>
          </w:tcPr>
          <w:p w:rsidR="00D670A5" w:rsidRPr="000D3BA4" w:rsidRDefault="00D670A5" w:rsidP="000D3BA4">
            <w:pPr>
              <w:jc w:val="center"/>
              <w:rPr>
                <w:rFonts w:ascii="Georgia" w:hAnsi="Georgia"/>
                <w:b/>
                <w:sz w:val="24"/>
                <w:szCs w:val="24"/>
              </w:rPr>
            </w:pPr>
            <w:r w:rsidRPr="000D3BA4">
              <w:rPr>
                <w:rFonts w:ascii="Georgia" w:hAnsi="Georgia"/>
                <w:b/>
                <w:sz w:val="24"/>
                <w:szCs w:val="24"/>
              </w:rPr>
              <w:t>Performance Indicator</w:t>
            </w:r>
          </w:p>
        </w:tc>
        <w:tc>
          <w:tcPr>
            <w:tcW w:w="2160" w:type="dxa"/>
          </w:tcPr>
          <w:p w:rsidR="00D670A5" w:rsidRPr="000D3BA4" w:rsidRDefault="00D670A5" w:rsidP="000D3BA4">
            <w:pPr>
              <w:jc w:val="center"/>
              <w:rPr>
                <w:rFonts w:ascii="Georgia" w:hAnsi="Georgia"/>
                <w:b/>
                <w:sz w:val="24"/>
                <w:szCs w:val="24"/>
              </w:rPr>
            </w:pPr>
            <w:r>
              <w:rPr>
                <w:rFonts w:ascii="Georgia" w:hAnsi="Georgia"/>
                <w:b/>
                <w:sz w:val="24"/>
                <w:szCs w:val="24"/>
              </w:rPr>
              <w:t>Who will this apply to?</w:t>
            </w:r>
          </w:p>
        </w:tc>
        <w:tc>
          <w:tcPr>
            <w:tcW w:w="1800" w:type="dxa"/>
          </w:tcPr>
          <w:p w:rsidR="00D670A5" w:rsidRPr="000D3BA4" w:rsidRDefault="00D670A5" w:rsidP="000D3BA4">
            <w:pPr>
              <w:jc w:val="center"/>
              <w:rPr>
                <w:rFonts w:ascii="Georgia" w:hAnsi="Georgia"/>
                <w:b/>
                <w:sz w:val="24"/>
                <w:szCs w:val="24"/>
              </w:rPr>
            </w:pPr>
            <w:r w:rsidRPr="000D3BA4">
              <w:rPr>
                <w:rFonts w:ascii="Georgia" w:hAnsi="Georgia"/>
                <w:b/>
                <w:sz w:val="24"/>
                <w:szCs w:val="24"/>
              </w:rPr>
              <w:t>Responsible Party</w:t>
            </w:r>
          </w:p>
        </w:tc>
        <w:tc>
          <w:tcPr>
            <w:tcW w:w="2070" w:type="dxa"/>
          </w:tcPr>
          <w:p w:rsidR="00D670A5" w:rsidRPr="000D3BA4" w:rsidRDefault="00D670A5" w:rsidP="000D3BA4">
            <w:pPr>
              <w:jc w:val="center"/>
              <w:rPr>
                <w:rFonts w:ascii="Georgia" w:hAnsi="Georgia"/>
                <w:b/>
                <w:sz w:val="24"/>
                <w:szCs w:val="24"/>
              </w:rPr>
            </w:pPr>
            <w:r>
              <w:rPr>
                <w:rFonts w:ascii="Georgia" w:hAnsi="Georgia"/>
                <w:b/>
                <w:sz w:val="24"/>
                <w:szCs w:val="24"/>
              </w:rPr>
              <w:t>Data sources</w:t>
            </w:r>
          </w:p>
        </w:tc>
        <w:tc>
          <w:tcPr>
            <w:tcW w:w="3060" w:type="dxa"/>
          </w:tcPr>
          <w:p w:rsidR="00D670A5" w:rsidRPr="000D3BA4" w:rsidRDefault="00D670A5" w:rsidP="000D3BA4">
            <w:pPr>
              <w:jc w:val="center"/>
              <w:rPr>
                <w:rFonts w:ascii="Georgia" w:hAnsi="Georgia"/>
                <w:b/>
                <w:sz w:val="24"/>
                <w:szCs w:val="24"/>
              </w:rPr>
            </w:pPr>
            <w:r>
              <w:rPr>
                <w:rFonts w:ascii="Georgia" w:hAnsi="Georgia"/>
                <w:b/>
                <w:sz w:val="24"/>
                <w:szCs w:val="24"/>
              </w:rPr>
              <w:t>Relevant time-frames for data collection</w:t>
            </w:r>
          </w:p>
        </w:tc>
        <w:tc>
          <w:tcPr>
            <w:tcW w:w="3240" w:type="dxa"/>
          </w:tcPr>
          <w:p w:rsidR="00D670A5" w:rsidRPr="000D3BA4" w:rsidRDefault="006D21A8" w:rsidP="000D3BA4">
            <w:pPr>
              <w:jc w:val="center"/>
              <w:rPr>
                <w:rFonts w:ascii="Georgia" w:hAnsi="Georgia"/>
                <w:b/>
                <w:sz w:val="24"/>
                <w:szCs w:val="24"/>
              </w:rPr>
            </w:pPr>
            <w:r>
              <w:rPr>
                <w:rFonts w:ascii="Georgia" w:hAnsi="Georgia"/>
                <w:b/>
                <w:sz w:val="24"/>
                <w:szCs w:val="24"/>
              </w:rPr>
              <w:t>Performance Target</w:t>
            </w:r>
          </w:p>
        </w:tc>
      </w:tr>
      <w:tr w:rsidR="00D670A5" w:rsidTr="006D21A8">
        <w:tc>
          <w:tcPr>
            <w:tcW w:w="2700" w:type="dxa"/>
          </w:tcPr>
          <w:p w:rsidR="00D670A5" w:rsidRDefault="00352D42" w:rsidP="000D3BA4">
            <w:pPr>
              <w:rPr>
                <w:rFonts w:ascii="Georgia" w:hAnsi="Georgia"/>
              </w:rPr>
            </w:pPr>
            <w:r>
              <w:rPr>
                <w:rFonts w:ascii="Georgia" w:hAnsi="Georgia"/>
              </w:rPr>
              <w:t>Reduction in client maladaptive behaviors</w:t>
            </w:r>
          </w:p>
          <w:p w:rsidR="00D670A5" w:rsidRDefault="00D670A5" w:rsidP="000D3BA4">
            <w:pPr>
              <w:rPr>
                <w:rFonts w:ascii="Georgia" w:hAnsi="Georgia"/>
              </w:rPr>
            </w:pPr>
          </w:p>
          <w:p w:rsidR="00D670A5" w:rsidRPr="00D62FAA" w:rsidRDefault="00D670A5" w:rsidP="000D3BA4">
            <w:pPr>
              <w:rPr>
                <w:rFonts w:ascii="Georgia" w:hAnsi="Georgia"/>
              </w:rPr>
            </w:pPr>
          </w:p>
        </w:tc>
        <w:tc>
          <w:tcPr>
            <w:tcW w:w="2160" w:type="dxa"/>
          </w:tcPr>
          <w:p w:rsidR="00D670A5" w:rsidRPr="00D62FAA" w:rsidRDefault="00352D42" w:rsidP="000D3BA4">
            <w:pPr>
              <w:rPr>
                <w:rFonts w:ascii="Georgia" w:hAnsi="Georgia"/>
              </w:rPr>
            </w:pPr>
            <w:r>
              <w:rPr>
                <w:rFonts w:ascii="Georgia" w:hAnsi="Georgia"/>
              </w:rPr>
              <w:t>Non-speaking clients who show aggression when unable to communicate</w:t>
            </w:r>
          </w:p>
        </w:tc>
        <w:tc>
          <w:tcPr>
            <w:tcW w:w="1800" w:type="dxa"/>
          </w:tcPr>
          <w:p w:rsidR="00D670A5" w:rsidRPr="00D62FAA" w:rsidRDefault="00352D42" w:rsidP="000D3BA4">
            <w:pPr>
              <w:rPr>
                <w:rFonts w:ascii="Georgia" w:hAnsi="Georgia"/>
              </w:rPr>
            </w:pPr>
            <w:r>
              <w:rPr>
                <w:rFonts w:ascii="Georgia" w:hAnsi="Georgia"/>
              </w:rPr>
              <w:t>CSS staff</w:t>
            </w:r>
          </w:p>
        </w:tc>
        <w:tc>
          <w:tcPr>
            <w:tcW w:w="2070" w:type="dxa"/>
          </w:tcPr>
          <w:p w:rsidR="00D670A5" w:rsidRPr="00D62FAA" w:rsidRDefault="00352D42" w:rsidP="000D3BA4">
            <w:pPr>
              <w:rPr>
                <w:rFonts w:ascii="Georgia" w:hAnsi="Georgia"/>
              </w:rPr>
            </w:pPr>
            <w:r>
              <w:rPr>
                <w:rFonts w:ascii="Georgia" w:hAnsi="Georgia"/>
              </w:rPr>
              <w:t>Incident Reports</w:t>
            </w:r>
          </w:p>
        </w:tc>
        <w:tc>
          <w:tcPr>
            <w:tcW w:w="3060" w:type="dxa"/>
          </w:tcPr>
          <w:p w:rsidR="00D670A5" w:rsidRDefault="00352D42" w:rsidP="00D41458">
            <w:pPr>
              <w:rPr>
                <w:rFonts w:ascii="Georgia" w:hAnsi="Georgia"/>
              </w:rPr>
            </w:pPr>
            <w:r>
              <w:rPr>
                <w:rFonts w:ascii="Georgia" w:hAnsi="Georgia"/>
              </w:rPr>
              <w:t>Reviewed and assessed quarterly</w:t>
            </w:r>
          </w:p>
        </w:tc>
        <w:tc>
          <w:tcPr>
            <w:tcW w:w="3240" w:type="dxa"/>
          </w:tcPr>
          <w:p w:rsidR="00D670A5" w:rsidRDefault="006D21A8" w:rsidP="00D41458">
            <w:pPr>
              <w:rPr>
                <w:rFonts w:ascii="Georgia" w:hAnsi="Georgia"/>
              </w:rPr>
            </w:pPr>
            <w:r>
              <w:rPr>
                <w:rFonts w:ascii="Georgia" w:hAnsi="Georgia"/>
              </w:rPr>
              <w:t>Decrease in Incident Reports</w:t>
            </w:r>
          </w:p>
        </w:tc>
      </w:tr>
    </w:tbl>
    <w:p w:rsidR="000D3BA4" w:rsidRPr="006D21A8" w:rsidRDefault="006D21A8" w:rsidP="006D21A8">
      <w:pPr>
        <w:rPr>
          <w:rFonts w:ascii="Georgia" w:hAnsi="Georgia"/>
          <w:b/>
        </w:rPr>
      </w:pPr>
      <w:r w:rsidRPr="006D21A8">
        <w:rPr>
          <w:rFonts w:ascii="Georgia" w:hAnsi="Georgia"/>
          <w:b/>
        </w:rPr>
        <w:t>Results/Updates:</w:t>
      </w:r>
    </w:p>
    <w:p w:rsidR="006D21A8" w:rsidRPr="006D21A8" w:rsidRDefault="006D21A8" w:rsidP="000D3BA4">
      <w:pPr>
        <w:pStyle w:val="ListParagraph"/>
        <w:rPr>
          <w:rFonts w:ascii="Georgia" w:hAnsi="Georgia"/>
          <w:b/>
        </w:rPr>
      </w:pPr>
      <w:r w:rsidRPr="006D21A8">
        <w:rPr>
          <w:rFonts w:ascii="Georgia" w:hAnsi="Georgia"/>
          <w:b/>
        </w:rPr>
        <w:t>Q1:</w:t>
      </w:r>
      <w:r w:rsidR="00B114B6">
        <w:rPr>
          <w:rFonts w:ascii="Georgia" w:hAnsi="Georgia"/>
          <w:b/>
        </w:rPr>
        <w:t xml:space="preserve"> </w:t>
      </w:r>
      <w:r w:rsidR="00B114B6" w:rsidRPr="006447EA">
        <w:rPr>
          <w:rFonts w:ascii="Georgia" w:hAnsi="Georgia"/>
        </w:rPr>
        <w:t>No incidents to report</w:t>
      </w:r>
    </w:p>
    <w:p w:rsidR="006D21A8" w:rsidRPr="006D21A8" w:rsidRDefault="006D21A8" w:rsidP="000D3BA4">
      <w:pPr>
        <w:pStyle w:val="ListParagraph"/>
        <w:rPr>
          <w:rFonts w:ascii="Georgia" w:hAnsi="Georgia"/>
          <w:b/>
        </w:rPr>
      </w:pPr>
      <w:r w:rsidRPr="006D21A8">
        <w:rPr>
          <w:rFonts w:ascii="Georgia" w:hAnsi="Georgia"/>
          <w:b/>
        </w:rPr>
        <w:t>Q2:</w:t>
      </w:r>
      <w:r w:rsidR="00B114B6">
        <w:rPr>
          <w:rFonts w:ascii="Georgia" w:hAnsi="Georgia"/>
          <w:b/>
        </w:rPr>
        <w:t xml:space="preserve"> </w:t>
      </w:r>
      <w:r w:rsidR="00B114B6" w:rsidRPr="006447EA">
        <w:rPr>
          <w:rFonts w:ascii="Georgia" w:hAnsi="Georgia"/>
        </w:rPr>
        <w:t xml:space="preserve">1 incident involving a client injury.  All </w:t>
      </w:r>
      <w:r w:rsidR="00FD6453" w:rsidRPr="006447EA">
        <w:rPr>
          <w:rFonts w:ascii="Georgia" w:hAnsi="Georgia"/>
        </w:rPr>
        <w:t>procedures were followed.</w:t>
      </w:r>
    </w:p>
    <w:p w:rsidR="006D21A8" w:rsidRPr="006447EA" w:rsidRDefault="006D21A8" w:rsidP="000D3BA4">
      <w:pPr>
        <w:pStyle w:val="ListParagraph"/>
        <w:rPr>
          <w:rFonts w:ascii="Georgia" w:hAnsi="Georgia"/>
        </w:rPr>
      </w:pPr>
      <w:r w:rsidRPr="006D21A8">
        <w:rPr>
          <w:rFonts w:ascii="Georgia" w:hAnsi="Georgia"/>
          <w:b/>
        </w:rPr>
        <w:t>Q3:</w:t>
      </w:r>
      <w:r w:rsidR="00FD6453">
        <w:rPr>
          <w:rFonts w:ascii="Georgia" w:hAnsi="Georgia"/>
          <w:b/>
        </w:rPr>
        <w:t xml:space="preserve"> </w:t>
      </w:r>
      <w:r w:rsidR="00FD6453" w:rsidRPr="006447EA">
        <w:rPr>
          <w:rFonts w:ascii="Georgia" w:hAnsi="Georgia"/>
        </w:rPr>
        <w:t>1 incident involving client pinching staff.  Staff documented that the pinch occurred as they were helping to buckle client in the car.  Staff inferred that client was upset to be leaving one setting and transitioning to another.  Staff explained what they would be doing and client calmed down.</w:t>
      </w:r>
    </w:p>
    <w:p w:rsidR="006D21A8" w:rsidRPr="006447EA" w:rsidRDefault="006D21A8" w:rsidP="000D3BA4">
      <w:pPr>
        <w:pStyle w:val="ListParagraph"/>
        <w:rPr>
          <w:rFonts w:ascii="Georgia" w:hAnsi="Georgia"/>
        </w:rPr>
      </w:pPr>
      <w:r w:rsidRPr="006D21A8">
        <w:rPr>
          <w:rFonts w:ascii="Georgia" w:hAnsi="Georgia"/>
          <w:b/>
        </w:rPr>
        <w:t>Q4:</w:t>
      </w:r>
      <w:r w:rsidR="00FD6453">
        <w:rPr>
          <w:rFonts w:ascii="Georgia" w:hAnsi="Georgia"/>
          <w:b/>
        </w:rPr>
        <w:t xml:space="preserve"> </w:t>
      </w:r>
      <w:r w:rsidR="00FD6453" w:rsidRPr="006447EA">
        <w:rPr>
          <w:rFonts w:ascii="Georgia" w:hAnsi="Georgia"/>
        </w:rPr>
        <w:t xml:space="preserve">1 incident involving staff making DSS report.  </w:t>
      </w:r>
    </w:p>
    <w:p w:rsidR="00FD6453" w:rsidRDefault="00FD6453" w:rsidP="000D3BA4">
      <w:pPr>
        <w:pStyle w:val="ListParagraph"/>
        <w:rPr>
          <w:rFonts w:ascii="Georgia" w:hAnsi="Georgia"/>
          <w:b/>
        </w:rPr>
      </w:pPr>
    </w:p>
    <w:p w:rsidR="00FD6453" w:rsidRPr="006447EA" w:rsidRDefault="00E75EA5" w:rsidP="000D3BA4">
      <w:pPr>
        <w:pStyle w:val="ListParagraph"/>
        <w:rPr>
          <w:rFonts w:ascii="Georgia" w:hAnsi="Georgia"/>
        </w:rPr>
      </w:pPr>
      <w:r>
        <w:rPr>
          <w:rFonts w:ascii="Georgia" w:hAnsi="Georgia"/>
          <w:b/>
        </w:rPr>
        <w:t xml:space="preserve">Analysis: </w:t>
      </w:r>
      <w:r w:rsidR="00FD6453" w:rsidRPr="006447EA">
        <w:rPr>
          <w:rFonts w:ascii="Georgia" w:hAnsi="Georgia"/>
        </w:rPr>
        <w:t xml:space="preserve">Overall, DWU saw a significant decrease in overall incidents during 2020.  There were 43 total incidents reported in 2019.  In 202o, there were only 3 incidents reported, and only 1 of them was due to aggressive behavior.  There are a number of potential factors contributing to the overall decrease in incidents.  In 2020, the Covid-19 pandemic affected many services.  Many clients were able to work with family members and stayed home more.  Additionally, one of the clients that displayed frequent incidents of aggression transitioned to another company.  Also, staff supervisions were targeted to understanding how to deescalate or anticipate aggressive behaviors in order to avoid them.  </w:t>
      </w:r>
      <w:r w:rsidR="00AA7EFA">
        <w:rPr>
          <w:rFonts w:ascii="Georgia" w:hAnsi="Georgia"/>
        </w:rPr>
        <w:t>Other suggestions included using transition objects or pictures and schedules, first-then cards, and tracking behaviors in a behavior log.</w:t>
      </w:r>
    </w:p>
    <w:p w:rsidR="006D21A8" w:rsidRDefault="006D21A8" w:rsidP="000D3BA4">
      <w:pPr>
        <w:pStyle w:val="ListParagraph"/>
        <w:rPr>
          <w:rFonts w:ascii="Georgia" w:hAnsi="Georgia"/>
          <w:b/>
          <w:sz w:val="24"/>
          <w:szCs w:val="24"/>
        </w:rPr>
      </w:pPr>
    </w:p>
    <w:p w:rsidR="000D3BA4" w:rsidRDefault="000D3BA4" w:rsidP="000D3BA4">
      <w:pPr>
        <w:pStyle w:val="ListParagraph"/>
        <w:rPr>
          <w:rFonts w:ascii="Georgia" w:hAnsi="Georgia"/>
          <w:b/>
          <w:sz w:val="24"/>
          <w:szCs w:val="24"/>
        </w:rPr>
      </w:pPr>
    </w:p>
    <w:p w:rsidR="006D21A8" w:rsidRPr="000D3BA4" w:rsidRDefault="00D670A5" w:rsidP="006D21A8">
      <w:pPr>
        <w:pStyle w:val="ListParagraph"/>
        <w:numPr>
          <w:ilvl w:val="0"/>
          <w:numId w:val="5"/>
        </w:numPr>
        <w:rPr>
          <w:rFonts w:ascii="Georgia" w:hAnsi="Georgia"/>
          <w:b/>
          <w:sz w:val="24"/>
          <w:szCs w:val="24"/>
        </w:rPr>
      </w:pPr>
      <w:r>
        <w:rPr>
          <w:rFonts w:ascii="Georgia" w:hAnsi="Georgia"/>
          <w:b/>
          <w:sz w:val="24"/>
          <w:szCs w:val="24"/>
        </w:rPr>
        <w:t>CLIENT EXPERIENCE</w:t>
      </w:r>
      <w:r w:rsidR="006D21A8" w:rsidRPr="006D21A8">
        <w:rPr>
          <w:rFonts w:ascii="Georgia" w:hAnsi="Georgia"/>
          <w:b/>
          <w:sz w:val="24"/>
          <w:szCs w:val="24"/>
        </w:rPr>
        <w:t xml:space="preserve"> </w:t>
      </w:r>
    </w:p>
    <w:tbl>
      <w:tblPr>
        <w:tblStyle w:val="TableGrid"/>
        <w:tblW w:w="15030" w:type="dxa"/>
        <w:tblInd w:w="-972" w:type="dxa"/>
        <w:tblLayout w:type="fixed"/>
        <w:tblLook w:val="04A0"/>
      </w:tblPr>
      <w:tblGrid>
        <w:gridCol w:w="2700"/>
        <w:gridCol w:w="2160"/>
        <w:gridCol w:w="1800"/>
        <w:gridCol w:w="2070"/>
        <w:gridCol w:w="3060"/>
        <w:gridCol w:w="3240"/>
      </w:tblGrid>
      <w:tr w:rsidR="006D21A8" w:rsidTr="00B114B6">
        <w:tc>
          <w:tcPr>
            <w:tcW w:w="2700" w:type="dxa"/>
          </w:tcPr>
          <w:p w:rsidR="006D21A8" w:rsidRPr="000D3BA4" w:rsidRDefault="006D21A8" w:rsidP="00B114B6">
            <w:pPr>
              <w:jc w:val="center"/>
              <w:rPr>
                <w:rFonts w:ascii="Georgia" w:hAnsi="Georgia"/>
                <w:b/>
                <w:sz w:val="24"/>
                <w:szCs w:val="24"/>
              </w:rPr>
            </w:pPr>
            <w:r w:rsidRPr="000D3BA4">
              <w:rPr>
                <w:rFonts w:ascii="Georgia" w:hAnsi="Georgia"/>
                <w:b/>
                <w:sz w:val="24"/>
                <w:szCs w:val="24"/>
              </w:rPr>
              <w:t>Performance Indicator</w:t>
            </w:r>
          </w:p>
        </w:tc>
        <w:tc>
          <w:tcPr>
            <w:tcW w:w="2160" w:type="dxa"/>
          </w:tcPr>
          <w:p w:rsidR="006D21A8" w:rsidRPr="000D3BA4" w:rsidRDefault="006D21A8" w:rsidP="00B114B6">
            <w:pPr>
              <w:jc w:val="center"/>
              <w:rPr>
                <w:rFonts w:ascii="Georgia" w:hAnsi="Georgia"/>
                <w:b/>
                <w:sz w:val="24"/>
                <w:szCs w:val="24"/>
              </w:rPr>
            </w:pPr>
            <w:r>
              <w:rPr>
                <w:rFonts w:ascii="Georgia" w:hAnsi="Georgia"/>
                <w:b/>
                <w:sz w:val="24"/>
                <w:szCs w:val="24"/>
              </w:rPr>
              <w:t>Who will this apply to?</w:t>
            </w:r>
          </w:p>
        </w:tc>
        <w:tc>
          <w:tcPr>
            <w:tcW w:w="1800" w:type="dxa"/>
          </w:tcPr>
          <w:p w:rsidR="006D21A8" w:rsidRPr="000D3BA4" w:rsidRDefault="006D21A8" w:rsidP="00B114B6">
            <w:pPr>
              <w:jc w:val="center"/>
              <w:rPr>
                <w:rFonts w:ascii="Georgia" w:hAnsi="Georgia"/>
                <w:b/>
                <w:sz w:val="24"/>
                <w:szCs w:val="24"/>
              </w:rPr>
            </w:pPr>
            <w:r w:rsidRPr="000D3BA4">
              <w:rPr>
                <w:rFonts w:ascii="Georgia" w:hAnsi="Georgia"/>
                <w:b/>
                <w:sz w:val="24"/>
                <w:szCs w:val="24"/>
              </w:rPr>
              <w:t>Responsible Party</w:t>
            </w:r>
          </w:p>
        </w:tc>
        <w:tc>
          <w:tcPr>
            <w:tcW w:w="2070" w:type="dxa"/>
          </w:tcPr>
          <w:p w:rsidR="006D21A8" w:rsidRPr="000D3BA4" w:rsidRDefault="006D21A8" w:rsidP="00B114B6">
            <w:pPr>
              <w:jc w:val="center"/>
              <w:rPr>
                <w:rFonts w:ascii="Georgia" w:hAnsi="Georgia"/>
                <w:b/>
                <w:sz w:val="24"/>
                <w:szCs w:val="24"/>
              </w:rPr>
            </w:pPr>
            <w:r>
              <w:rPr>
                <w:rFonts w:ascii="Georgia" w:hAnsi="Georgia"/>
                <w:b/>
                <w:sz w:val="24"/>
                <w:szCs w:val="24"/>
              </w:rPr>
              <w:t>Data sources</w:t>
            </w:r>
          </w:p>
        </w:tc>
        <w:tc>
          <w:tcPr>
            <w:tcW w:w="3060" w:type="dxa"/>
          </w:tcPr>
          <w:p w:rsidR="006D21A8" w:rsidRPr="000D3BA4" w:rsidRDefault="006D21A8" w:rsidP="00B114B6">
            <w:pPr>
              <w:jc w:val="center"/>
              <w:rPr>
                <w:rFonts w:ascii="Georgia" w:hAnsi="Georgia"/>
                <w:b/>
                <w:sz w:val="24"/>
                <w:szCs w:val="24"/>
              </w:rPr>
            </w:pPr>
            <w:r>
              <w:rPr>
                <w:rFonts w:ascii="Georgia" w:hAnsi="Georgia"/>
                <w:b/>
                <w:sz w:val="24"/>
                <w:szCs w:val="24"/>
              </w:rPr>
              <w:t>Relevant time-frames for data collection</w:t>
            </w:r>
          </w:p>
        </w:tc>
        <w:tc>
          <w:tcPr>
            <w:tcW w:w="3240" w:type="dxa"/>
          </w:tcPr>
          <w:p w:rsidR="006D21A8" w:rsidRPr="000D3BA4" w:rsidRDefault="006D21A8" w:rsidP="00B114B6">
            <w:pPr>
              <w:jc w:val="center"/>
              <w:rPr>
                <w:rFonts w:ascii="Georgia" w:hAnsi="Georgia"/>
                <w:b/>
                <w:sz w:val="24"/>
                <w:szCs w:val="24"/>
              </w:rPr>
            </w:pPr>
            <w:r>
              <w:rPr>
                <w:rFonts w:ascii="Georgia" w:hAnsi="Georgia"/>
                <w:b/>
                <w:sz w:val="24"/>
                <w:szCs w:val="24"/>
              </w:rPr>
              <w:t>Performance Target</w:t>
            </w:r>
          </w:p>
        </w:tc>
      </w:tr>
      <w:tr w:rsidR="006D21A8" w:rsidTr="00B114B6">
        <w:tc>
          <w:tcPr>
            <w:tcW w:w="2700" w:type="dxa"/>
          </w:tcPr>
          <w:p w:rsidR="006D21A8" w:rsidRPr="00D62FAA" w:rsidRDefault="007553CC" w:rsidP="00B114B6">
            <w:pPr>
              <w:rPr>
                <w:rFonts w:ascii="Georgia" w:hAnsi="Georgia"/>
              </w:rPr>
            </w:pPr>
            <w:r>
              <w:rPr>
                <w:rFonts w:ascii="Georgia" w:hAnsi="Georgia"/>
              </w:rPr>
              <w:t>All grievances and/or concerns will be addressed and resolved.</w:t>
            </w:r>
          </w:p>
        </w:tc>
        <w:tc>
          <w:tcPr>
            <w:tcW w:w="2160" w:type="dxa"/>
          </w:tcPr>
          <w:p w:rsidR="006D21A8" w:rsidRPr="00D62FAA" w:rsidRDefault="007553CC" w:rsidP="00B114B6">
            <w:pPr>
              <w:rPr>
                <w:rFonts w:ascii="Georgia" w:hAnsi="Georgia"/>
              </w:rPr>
            </w:pPr>
            <w:r>
              <w:rPr>
                <w:rFonts w:ascii="Georgia" w:hAnsi="Georgia"/>
              </w:rPr>
              <w:t>DWU staff, clients, stakeholders who may come forward with a grievance or complaint.</w:t>
            </w:r>
          </w:p>
        </w:tc>
        <w:tc>
          <w:tcPr>
            <w:tcW w:w="1800" w:type="dxa"/>
          </w:tcPr>
          <w:p w:rsidR="006D21A8" w:rsidRPr="00D62FAA" w:rsidRDefault="007553CC" w:rsidP="00B114B6">
            <w:pPr>
              <w:rPr>
                <w:rFonts w:ascii="Georgia" w:hAnsi="Georgia"/>
              </w:rPr>
            </w:pPr>
            <w:proofErr w:type="spellStart"/>
            <w:r>
              <w:rPr>
                <w:rFonts w:ascii="Georgia" w:hAnsi="Georgia"/>
              </w:rPr>
              <w:t>Blayke</w:t>
            </w:r>
            <w:proofErr w:type="spellEnd"/>
            <w:r>
              <w:rPr>
                <w:rFonts w:ascii="Georgia" w:hAnsi="Georgia"/>
              </w:rPr>
              <w:t>, Betsy</w:t>
            </w:r>
          </w:p>
        </w:tc>
        <w:tc>
          <w:tcPr>
            <w:tcW w:w="2070" w:type="dxa"/>
          </w:tcPr>
          <w:p w:rsidR="006D21A8" w:rsidRPr="00D62FAA" w:rsidRDefault="007553CC" w:rsidP="00B114B6">
            <w:pPr>
              <w:rPr>
                <w:rFonts w:ascii="Georgia" w:hAnsi="Georgia"/>
              </w:rPr>
            </w:pPr>
            <w:r>
              <w:rPr>
                <w:rFonts w:ascii="Georgia" w:hAnsi="Georgia"/>
              </w:rPr>
              <w:t>Concern/Complaint/Grievance forms submitted and any quarterly analysis.</w:t>
            </w:r>
          </w:p>
        </w:tc>
        <w:tc>
          <w:tcPr>
            <w:tcW w:w="3060" w:type="dxa"/>
          </w:tcPr>
          <w:p w:rsidR="006D21A8" w:rsidRDefault="007553CC" w:rsidP="00B114B6">
            <w:pPr>
              <w:rPr>
                <w:rFonts w:ascii="Georgia" w:hAnsi="Georgia"/>
              </w:rPr>
            </w:pPr>
            <w:r>
              <w:rPr>
                <w:rFonts w:ascii="Georgia" w:hAnsi="Georgia"/>
              </w:rPr>
              <w:t>Reviewed immediately upon receipt.  Grievance reports reviewed at quarterly QA/QI meetings.</w:t>
            </w:r>
          </w:p>
        </w:tc>
        <w:tc>
          <w:tcPr>
            <w:tcW w:w="3240" w:type="dxa"/>
          </w:tcPr>
          <w:p w:rsidR="006D21A8" w:rsidRDefault="007553CC" w:rsidP="00B114B6">
            <w:pPr>
              <w:rPr>
                <w:rFonts w:ascii="Georgia" w:hAnsi="Georgia"/>
              </w:rPr>
            </w:pPr>
            <w:r>
              <w:rPr>
                <w:rFonts w:ascii="Georgia" w:hAnsi="Georgia"/>
              </w:rPr>
              <w:t>Zero complaints or 100% concern/complaints addressed and resolved.</w:t>
            </w:r>
          </w:p>
        </w:tc>
      </w:tr>
    </w:tbl>
    <w:p w:rsidR="006D21A8" w:rsidRPr="006D21A8" w:rsidRDefault="006D21A8" w:rsidP="006D21A8">
      <w:pPr>
        <w:rPr>
          <w:rFonts w:ascii="Georgia" w:hAnsi="Georgia"/>
          <w:b/>
        </w:rPr>
      </w:pPr>
      <w:r w:rsidRPr="006D21A8">
        <w:rPr>
          <w:rFonts w:ascii="Georgia" w:hAnsi="Georgia"/>
          <w:b/>
        </w:rPr>
        <w:t>Results/Updates:</w:t>
      </w:r>
    </w:p>
    <w:p w:rsidR="006D21A8" w:rsidRPr="006447EA" w:rsidRDefault="006D21A8" w:rsidP="006D21A8">
      <w:pPr>
        <w:pStyle w:val="ListParagraph"/>
        <w:rPr>
          <w:rFonts w:ascii="Georgia" w:hAnsi="Georgia"/>
        </w:rPr>
      </w:pPr>
      <w:r w:rsidRPr="006D21A8">
        <w:rPr>
          <w:rFonts w:ascii="Georgia" w:hAnsi="Georgia"/>
          <w:b/>
        </w:rPr>
        <w:t>Q1:</w:t>
      </w:r>
      <w:r w:rsidR="00C1273F">
        <w:rPr>
          <w:rFonts w:ascii="Georgia" w:hAnsi="Georgia"/>
          <w:b/>
        </w:rPr>
        <w:t xml:space="preserve"> </w:t>
      </w:r>
      <w:r w:rsidR="00C1273F" w:rsidRPr="006447EA">
        <w:rPr>
          <w:rFonts w:ascii="Georgia" w:hAnsi="Georgia"/>
        </w:rPr>
        <w:t>No grievances/complaints reported</w:t>
      </w:r>
    </w:p>
    <w:p w:rsidR="006D21A8" w:rsidRPr="006447EA" w:rsidRDefault="006D21A8" w:rsidP="006D21A8">
      <w:pPr>
        <w:pStyle w:val="ListParagraph"/>
        <w:rPr>
          <w:rFonts w:ascii="Georgia" w:hAnsi="Georgia"/>
        </w:rPr>
      </w:pPr>
      <w:r w:rsidRPr="006D21A8">
        <w:rPr>
          <w:rFonts w:ascii="Georgia" w:hAnsi="Georgia"/>
          <w:b/>
        </w:rPr>
        <w:t>Q2:</w:t>
      </w:r>
      <w:r w:rsidR="00C1273F">
        <w:rPr>
          <w:rFonts w:ascii="Georgia" w:hAnsi="Georgia"/>
          <w:b/>
        </w:rPr>
        <w:t xml:space="preserve"> </w:t>
      </w:r>
      <w:r w:rsidR="00C1273F" w:rsidRPr="006447EA">
        <w:rPr>
          <w:rFonts w:ascii="Georgia" w:hAnsi="Georgia"/>
        </w:rPr>
        <w:t>No grievances/complaints reported</w:t>
      </w:r>
    </w:p>
    <w:p w:rsidR="006D21A8" w:rsidRPr="006447EA" w:rsidRDefault="006D21A8" w:rsidP="006D21A8">
      <w:pPr>
        <w:pStyle w:val="ListParagraph"/>
        <w:rPr>
          <w:rFonts w:ascii="Georgia" w:hAnsi="Georgia"/>
        </w:rPr>
      </w:pPr>
      <w:r w:rsidRPr="006D21A8">
        <w:rPr>
          <w:rFonts w:ascii="Georgia" w:hAnsi="Georgia"/>
          <w:b/>
        </w:rPr>
        <w:t>Q3:</w:t>
      </w:r>
      <w:r w:rsidR="00C1273F">
        <w:rPr>
          <w:rFonts w:ascii="Georgia" w:hAnsi="Georgia"/>
          <w:b/>
        </w:rPr>
        <w:t xml:space="preserve"> </w:t>
      </w:r>
      <w:r w:rsidR="00C1273F" w:rsidRPr="006447EA">
        <w:rPr>
          <w:rFonts w:ascii="Georgia" w:hAnsi="Georgia"/>
        </w:rPr>
        <w:t xml:space="preserve">1 report of concerns with a speech therapist.  All procedures were followed and it was concluded that the complaint was unfounded. </w:t>
      </w:r>
    </w:p>
    <w:p w:rsidR="006D21A8" w:rsidRDefault="006D21A8" w:rsidP="006D21A8">
      <w:pPr>
        <w:pStyle w:val="ListParagraph"/>
        <w:rPr>
          <w:rFonts w:ascii="Georgia" w:hAnsi="Georgia"/>
          <w:b/>
        </w:rPr>
      </w:pPr>
      <w:r w:rsidRPr="006D21A8">
        <w:rPr>
          <w:rFonts w:ascii="Georgia" w:hAnsi="Georgia"/>
          <w:b/>
        </w:rPr>
        <w:t>Q4:</w:t>
      </w:r>
      <w:r w:rsidR="00C1273F">
        <w:rPr>
          <w:rFonts w:ascii="Georgia" w:hAnsi="Georgia"/>
          <w:b/>
        </w:rPr>
        <w:t xml:space="preserve"> </w:t>
      </w:r>
      <w:r w:rsidR="00C1273F" w:rsidRPr="006447EA">
        <w:rPr>
          <w:rFonts w:ascii="Georgia" w:hAnsi="Georgia"/>
        </w:rPr>
        <w:t>No grievances/complaints reported</w:t>
      </w:r>
    </w:p>
    <w:p w:rsidR="00C1273F" w:rsidRDefault="00C1273F" w:rsidP="006D21A8">
      <w:pPr>
        <w:pStyle w:val="ListParagraph"/>
        <w:rPr>
          <w:rFonts w:ascii="Georgia" w:hAnsi="Georgia"/>
          <w:b/>
        </w:rPr>
      </w:pPr>
    </w:p>
    <w:p w:rsidR="00C1273F" w:rsidRPr="006D21A8" w:rsidRDefault="00E75EA5" w:rsidP="006D21A8">
      <w:pPr>
        <w:pStyle w:val="ListParagraph"/>
        <w:rPr>
          <w:rFonts w:ascii="Georgia" w:hAnsi="Georgia"/>
          <w:b/>
        </w:rPr>
      </w:pPr>
      <w:r>
        <w:rPr>
          <w:rFonts w:ascii="Georgia" w:hAnsi="Georgia"/>
          <w:b/>
        </w:rPr>
        <w:t xml:space="preserve">Analysis: </w:t>
      </w:r>
      <w:r w:rsidR="00C1273F" w:rsidRPr="006447EA">
        <w:rPr>
          <w:rFonts w:ascii="Georgia" w:hAnsi="Georgia"/>
        </w:rPr>
        <w:t>Dreamweavers met the performance target of 100% concern/complaints addressed and resolved.</w:t>
      </w:r>
      <w:r w:rsidR="00C1273F">
        <w:rPr>
          <w:rFonts w:ascii="Georgia" w:hAnsi="Georgia"/>
          <w:b/>
        </w:rPr>
        <w:t xml:space="preserve">  </w:t>
      </w:r>
      <w:r w:rsidR="005E1D03" w:rsidRPr="005E1D03">
        <w:rPr>
          <w:rFonts w:ascii="Georgia" w:hAnsi="Georgia"/>
        </w:rPr>
        <w:t>No trends noted.</w:t>
      </w:r>
      <w:r w:rsidR="005E1D03">
        <w:rPr>
          <w:rFonts w:ascii="Georgia" w:hAnsi="Georgia"/>
          <w:b/>
        </w:rPr>
        <w:t xml:space="preserve"> </w:t>
      </w:r>
    </w:p>
    <w:p w:rsidR="00D670A5" w:rsidRDefault="00D670A5" w:rsidP="000D3BA4">
      <w:pPr>
        <w:pStyle w:val="ListParagraph"/>
        <w:rPr>
          <w:rFonts w:ascii="Georgia" w:hAnsi="Georgia"/>
          <w:b/>
          <w:sz w:val="24"/>
          <w:szCs w:val="24"/>
        </w:rPr>
      </w:pPr>
    </w:p>
    <w:p w:rsidR="00051078" w:rsidRDefault="00051078" w:rsidP="000D3BA4">
      <w:pPr>
        <w:pStyle w:val="ListParagraph"/>
        <w:rPr>
          <w:rFonts w:ascii="Georgia" w:hAnsi="Georgia"/>
          <w:b/>
          <w:sz w:val="24"/>
          <w:szCs w:val="24"/>
        </w:rPr>
      </w:pPr>
    </w:p>
    <w:p w:rsidR="00051078" w:rsidRPr="00320FE7" w:rsidRDefault="00051078" w:rsidP="00320FE7">
      <w:pPr>
        <w:rPr>
          <w:rFonts w:ascii="Georgia" w:hAnsi="Georgia"/>
          <w:b/>
          <w:sz w:val="24"/>
          <w:szCs w:val="24"/>
        </w:rPr>
      </w:pPr>
    </w:p>
    <w:p w:rsidR="006D21A8" w:rsidRPr="000D3BA4" w:rsidRDefault="00D670A5" w:rsidP="006D21A8">
      <w:pPr>
        <w:pStyle w:val="ListParagraph"/>
        <w:numPr>
          <w:ilvl w:val="0"/>
          <w:numId w:val="5"/>
        </w:numPr>
        <w:rPr>
          <w:rFonts w:ascii="Georgia" w:hAnsi="Georgia"/>
          <w:b/>
          <w:sz w:val="24"/>
          <w:szCs w:val="24"/>
        </w:rPr>
      </w:pPr>
      <w:r>
        <w:rPr>
          <w:rFonts w:ascii="Georgia" w:hAnsi="Georgia"/>
          <w:b/>
          <w:sz w:val="24"/>
          <w:szCs w:val="24"/>
        </w:rPr>
        <w:lastRenderedPageBreak/>
        <w:t>STAKEHOLDER EXPERIENCE</w:t>
      </w:r>
      <w:r w:rsidR="006D21A8" w:rsidRPr="006D21A8">
        <w:rPr>
          <w:rFonts w:ascii="Georgia" w:hAnsi="Georgia"/>
          <w:b/>
          <w:sz w:val="24"/>
          <w:szCs w:val="24"/>
        </w:rPr>
        <w:t xml:space="preserve"> </w:t>
      </w:r>
    </w:p>
    <w:tbl>
      <w:tblPr>
        <w:tblStyle w:val="TableGrid"/>
        <w:tblW w:w="15030" w:type="dxa"/>
        <w:tblInd w:w="-972" w:type="dxa"/>
        <w:tblLayout w:type="fixed"/>
        <w:tblLook w:val="04A0"/>
      </w:tblPr>
      <w:tblGrid>
        <w:gridCol w:w="2700"/>
        <w:gridCol w:w="2160"/>
        <w:gridCol w:w="1800"/>
        <w:gridCol w:w="2070"/>
        <w:gridCol w:w="3060"/>
        <w:gridCol w:w="3240"/>
      </w:tblGrid>
      <w:tr w:rsidR="006D21A8" w:rsidTr="00B114B6">
        <w:tc>
          <w:tcPr>
            <w:tcW w:w="2700" w:type="dxa"/>
          </w:tcPr>
          <w:p w:rsidR="006D21A8" w:rsidRPr="000D3BA4" w:rsidRDefault="006D21A8" w:rsidP="00B114B6">
            <w:pPr>
              <w:jc w:val="center"/>
              <w:rPr>
                <w:rFonts w:ascii="Georgia" w:hAnsi="Georgia"/>
                <w:b/>
                <w:sz w:val="24"/>
                <w:szCs w:val="24"/>
              </w:rPr>
            </w:pPr>
            <w:r w:rsidRPr="000D3BA4">
              <w:rPr>
                <w:rFonts w:ascii="Georgia" w:hAnsi="Georgia"/>
                <w:b/>
                <w:sz w:val="24"/>
                <w:szCs w:val="24"/>
              </w:rPr>
              <w:t>Performance Indicator</w:t>
            </w:r>
          </w:p>
        </w:tc>
        <w:tc>
          <w:tcPr>
            <w:tcW w:w="2160" w:type="dxa"/>
          </w:tcPr>
          <w:p w:rsidR="006D21A8" w:rsidRPr="000D3BA4" w:rsidRDefault="006D21A8" w:rsidP="00B114B6">
            <w:pPr>
              <w:jc w:val="center"/>
              <w:rPr>
                <w:rFonts w:ascii="Georgia" w:hAnsi="Georgia"/>
                <w:b/>
                <w:sz w:val="24"/>
                <w:szCs w:val="24"/>
              </w:rPr>
            </w:pPr>
            <w:r>
              <w:rPr>
                <w:rFonts w:ascii="Georgia" w:hAnsi="Georgia"/>
                <w:b/>
                <w:sz w:val="24"/>
                <w:szCs w:val="24"/>
              </w:rPr>
              <w:t>Who will this apply to?</w:t>
            </w:r>
          </w:p>
        </w:tc>
        <w:tc>
          <w:tcPr>
            <w:tcW w:w="1800" w:type="dxa"/>
          </w:tcPr>
          <w:p w:rsidR="006D21A8" w:rsidRPr="000D3BA4" w:rsidRDefault="006D21A8" w:rsidP="00B114B6">
            <w:pPr>
              <w:jc w:val="center"/>
              <w:rPr>
                <w:rFonts w:ascii="Georgia" w:hAnsi="Georgia"/>
                <w:b/>
                <w:sz w:val="24"/>
                <w:szCs w:val="24"/>
              </w:rPr>
            </w:pPr>
            <w:r w:rsidRPr="000D3BA4">
              <w:rPr>
                <w:rFonts w:ascii="Georgia" w:hAnsi="Georgia"/>
                <w:b/>
                <w:sz w:val="24"/>
                <w:szCs w:val="24"/>
              </w:rPr>
              <w:t>Responsible Party</w:t>
            </w:r>
          </w:p>
        </w:tc>
        <w:tc>
          <w:tcPr>
            <w:tcW w:w="2070" w:type="dxa"/>
          </w:tcPr>
          <w:p w:rsidR="006D21A8" w:rsidRPr="000D3BA4" w:rsidRDefault="006D21A8" w:rsidP="00B114B6">
            <w:pPr>
              <w:jc w:val="center"/>
              <w:rPr>
                <w:rFonts w:ascii="Georgia" w:hAnsi="Georgia"/>
                <w:b/>
                <w:sz w:val="24"/>
                <w:szCs w:val="24"/>
              </w:rPr>
            </w:pPr>
            <w:r>
              <w:rPr>
                <w:rFonts w:ascii="Georgia" w:hAnsi="Georgia"/>
                <w:b/>
                <w:sz w:val="24"/>
                <w:szCs w:val="24"/>
              </w:rPr>
              <w:t>Data sources</w:t>
            </w:r>
          </w:p>
        </w:tc>
        <w:tc>
          <w:tcPr>
            <w:tcW w:w="3060" w:type="dxa"/>
          </w:tcPr>
          <w:p w:rsidR="006D21A8" w:rsidRPr="000D3BA4" w:rsidRDefault="006D21A8" w:rsidP="00B114B6">
            <w:pPr>
              <w:jc w:val="center"/>
              <w:rPr>
                <w:rFonts w:ascii="Georgia" w:hAnsi="Georgia"/>
                <w:b/>
                <w:sz w:val="24"/>
                <w:szCs w:val="24"/>
              </w:rPr>
            </w:pPr>
            <w:r>
              <w:rPr>
                <w:rFonts w:ascii="Georgia" w:hAnsi="Georgia"/>
                <w:b/>
                <w:sz w:val="24"/>
                <w:szCs w:val="24"/>
              </w:rPr>
              <w:t>Relevant time-frames for data collection</w:t>
            </w:r>
          </w:p>
        </w:tc>
        <w:tc>
          <w:tcPr>
            <w:tcW w:w="3240" w:type="dxa"/>
          </w:tcPr>
          <w:p w:rsidR="006D21A8" w:rsidRPr="000D3BA4" w:rsidRDefault="006D21A8" w:rsidP="00B114B6">
            <w:pPr>
              <w:jc w:val="center"/>
              <w:rPr>
                <w:rFonts w:ascii="Georgia" w:hAnsi="Georgia"/>
                <w:b/>
                <w:sz w:val="24"/>
                <w:szCs w:val="24"/>
              </w:rPr>
            </w:pPr>
            <w:r>
              <w:rPr>
                <w:rFonts w:ascii="Georgia" w:hAnsi="Georgia"/>
                <w:b/>
                <w:sz w:val="24"/>
                <w:szCs w:val="24"/>
              </w:rPr>
              <w:t>Performance Target</w:t>
            </w:r>
          </w:p>
        </w:tc>
      </w:tr>
      <w:tr w:rsidR="006D21A8" w:rsidTr="00B114B6">
        <w:tc>
          <w:tcPr>
            <w:tcW w:w="2700" w:type="dxa"/>
          </w:tcPr>
          <w:p w:rsidR="006D21A8" w:rsidRPr="00D62FAA" w:rsidRDefault="00C1273F" w:rsidP="00C1273F">
            <w:pPr>
              <w:rPr>
                <w:rFonts w:ascii="Georgia" w:hAnsi="Georgia"/>
              </w:rPr>
            </w:pPr>
            <w:r>
              <w:rPr>
                <w:rFonts w:ascii="Georgia" w:hAnsi="Georgia"/>
              </w:rPr>
              <w:t>Satisfaction with services</w:t>
            </w:r>
          </w:p>
        </w:tc>
        <w:tc>
          <w:tcPr>
            <w:tcW w:w="2160" w:type="dxa"/>
          </w:tcPr>
          <w:p w:rsidR="006D21A8" w:rsidRPr="00D62FAA" w:rsidRDefault="00C1273F" w:rsidP="00B114B6">
            <w:pPr>
              <w:rPr>
                <w:rFonts w:ascii="Georgia" w:hAnsi="Georgia"/>
              </w:rPr>
            </w:pPr>
            <w:r>
              <w:rPr>
                <w:rFonts w:ascii="Georgia" w:hAnsi="Georgia"/>
              </w:rPr>
              <w:t>Innovations clients/ stakeholders</w:t>
            </w:r>
          </w:p>
        </w:tc>
        <w:tc>
          <w:tcPr>
            <w:tcW w:w="1800" w:type="dxa"/>
          </w:tcPr>
          <w:p w:rsidR="006D21A8" w:rsidRPr="00D62FAA" w:rsidRDefault="00C1273F" w:rsidP="00B114B6">
            <w:pPr>
              <w:rPr>
                <w:rFonts w:ascii="Georgia" w:hAnsi="Georgia"/>
              </w:rPr>
            </w:pPr>
            <w:proofErr w:type="spellStart"/>
            <w:r>
              <w:rPr>
                <w:rFonts w:ascii="Georgia" w:hAnsi="Georgia"/>
              </w:rPr>
              <w:t>Blayke</w:t>
            </w:r>
            <w:proofErr w:type="spellEnd"/>
          </w:p>
        </w:tc>
        <w:tc>
          <w:tcPr>
            <w:tcW w:w="2070" w:type="dxa"/>
          </w:tcPr>
          <w:p w:rsidR="006D21A8" w:rsidRPr="00D62FAA" w:rsidRDefault="00C1273F" w:rsidP="00B114B6">
            <w:pPr>
              <w:rPr>
                <w:rFonts w:ascii="Georgia" w:hAnsi="Georgia"/>
              </w:rPr>
            </w:pPr>
            <w:r>
              <w:rPr>
                <w:rFonts w:ascii="Georgia" w:hAnsi="Georgia"/>
              </w:rPr>
              <w:t>Surveys</w:t>
            </w:r>
          </w:p>
        </w:tc>
        <w:tc>
          <w:tcPr>
            <w:tcW w:w="3060" w:type="dxa"/>
          </w:tcPr>
          <w:p w:rsidR="006D21A8" w:rsidRDefault="00C1273F" w:rsidP="00B114B6">
            <w:pPr>
              <w:rPr>
                <w:rFonts w:ascii="Georgia" w:hAnsi="Georgia"/>
              </w:rPr>
            </w:pPr>
            <w:r>
              <w:rPr>
                <w:rFonts w:ascii="Georgia" w:hAnsi="Georgia"/>
              </w:rPr>
              <w:t>2x/year</w:t>
            </w:r>
          </w:p>
        </w:tc>
        <w:tc>
          <w:tcPr>
            <w:tcW w:w="3240" w:type="dxa"/>
          </w:tcPr>
          <w:p w:rsidR="006D21A8" w:rsidRDefault="00C1273F" w:rsidP="00B114B6">
            <w:pPr>
              <w:rPr>
                <w:rFonts w:ascii="Georgia" w:hAnsi="Georgia"/>
              </w:rPr>
            </w:pPr>
            <w:r>
              <w:rPr>
                <w:rFonts w:ascii="Georgia" w:hAnsi="Georgia"/>
              </w:rPr>
              <w:t>100% satisfaction</w:t>
            </w:r>
          </w:p>
        </w:tc>
      </w:tr>
    </w:tbl>
    <w:p w:rsidR="006D21A8" w:rsidRPr="006D21A8" w:rsidRDefault="006D21A8" w:rsidP="006D21A8">
      <w:pPr>
        <w:rPr>
          <w:rFonts w:ascii="Georgia" w:hAnsi="Georgia"/>
          <w:b/>
        </w:rPr>
      </w:pPr>
      <w:r w:rsidRPr="006D21A8">
        <w:rPr>
          <w:rFonts w:ascii="Georgia" w:hAnsi="Georgia"/>
          <w:b/>
        </w:rPr>
        <w:t>Results/Updates:</w:t>
      </w:r>
    </w:p>
    <w:p w:rsidR="00C1273F" w:rsidRDefault="006D21A8" w:rsidP="006D21A8">
      <w:pPr>
        <w:pStyle w:val="ListParagraph"/>
        <w:rPr>
          <w:rFonts w:ascii="Georgia" w:hAnsi="Georgia"/>
          <w:b/>
        </w:rPr>
      </w:pPr>
      <w:r w:rsidRPr="006D21A8">
        <w:rPr>
          <w:rFonts w:ascii="Georgia" w:hAnsi="Georgia"/>
          <w:b/>
        </w:rPr>
        <w:t>Q1:</w:t>
      </w:r>
      <w:r w:rsidR="00C1273F">
        <w:rPr>
          <w:rFonts w:ascii="Georgia" w:hAnsi="Georgia"/>
          <w:b/>
        </w:rPr>
        <w:t xml:space="preserve">  2 surveys returned this quarter.  All were satisfied with services. </w:t>
      </w:r>
    </w:p>
    <w:p w:rsidR="006D21A8" w:rsidRPr="006D21A8" w:rsidRDefault="00C1273F" w:rsidP="006D21A8">
      <w:pPr>
        <w:pStyle w:val="ListParagraph"/>
        <w:rPr>
          <w:rFonts w:ascii="Georgia" w:hAnsi="Georgia"/>
          <w:b/>
        </w:rPr>
      </w:pPr>
      <w:r>
        <w:rPr>
          <w:rFonts w:ascii="Georgia" w:hAnsi="Georgia"/>
          <w:b/>
        </w:rPr>
        <w:t xml:space="preserve"> </w:t>
      </w:r>
      <w:r w:rsidRPr="00C1273F">
        <w:rPr>
          <w:rFonts w:ascii="Georgia" w:hAnsi="Georgia"/>
          <w:b/>
          <w:noProof/>
        </w:rPr>
        <w:drawing>
          <wp:inline distT="0" distB="0" distL="0" distR="0">
            <wp:extent cx="5143500" cy="16764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1273F" w:rsidRDefault="00C1273F" w:rsidP="006D21A8">
      <w:pPr>
        <w:pStyle w:val="ListParagraph"/>
        <w:rPr>
          <w:rFonts w:ascii="Georgia" w:hAnsi="Georgia"/>
          <w:b/>
        </w:rPr>
      </w:pPr>
    </w:p>
    <w:p w:rsidR="00AA7EFA" w:rsidRDefault="00AA7EFA" w:rsidP="006D21A8">
      <w:pPr>
        <w:pStyle w:val="ListParagraph"/>
        <w:rPr>
          <w:rFonts w:ascii="Georgia" w:hAnsi="Georgia"/>
          <w:b/>
        </w:rPr>
      </w:pPr>
    </w:p>
    <w:p w:rsidR="006D21A8" w:rsidRDefault="006D21A8" w:rsidP="006D21A8">
      <w:pPr>
        <w:pStyle w:val="ListParagraph"/>
        <w:rPr>
          <w:rFonts w:ascii="Georgia" w:hAnsi="Georgia"/>
          <w:b/>
        </w:rPr>
      </w:pPr>
      <w:r w:rsidRPr="006D21A8">
        <w:rPr>
          <w:rFonts w:ascii="Georgia" w:hAnsi="Georgia"/>
          <w:b/>
        </w:rPr>
        <w:t>Q2:</w:t>
      </w:r>
      <w:r w:rsidR="00C1273F">
        <w:rPr>
          <w:rFonts w:ascii="Georgia" w:hAnsi="Georgia"/>
          <w:b/>
        </w:rPr>
        <w:t xml:space="preserve"> </w:t>
      </w:r>
      <w:r w:rsidR="00E75EA5">
        <w:rPr>
          <w:rFonts w:ascii="Georgia" w:hAnsi="Georgia"/>
          <w:b/>
        </w:rPr>
        <w:t>2 surveys returned this quarter.  All were satisfied with services.</w:t>
      </w:r>
    </w:p>
    <w:p w:rsidR="00E75EA5" w:rsidRDefault="00E75EA5" w:rsidP="006D21A8">
      <w:pPr>
        <w:pStyle w:val="ListParagraph"/>
        <w:rPr>
          <w:rFonts w:ascii="Georgia" w:hAnsi="Georgia"/>
          <w:b/>
        </w:rPr>
      </w:pPr>
      <w:r w:rsidRPr="00E75EA5">
        <w:rPr>
          <w:rFonts w:ascii="Georgia" w:hAnsi="Georgia"/>
          <w:b/>
          <w:noProof/>
        </w:rPr>
        <w:drawing>
          <wp:inline distT="0" distB="0" distL="0" distR="0">
            <wp:extent cx="5238750" cy="1743075"/>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D21A8" w:rsidRDefault="006D21A8" w:rsidP="006D21A8">
      <w:pPr>
        <w:pStyle w:val="ListParagraph"/>
        <w:rPr>
          <w:rFonts w:ascii="Georgia" w:hAnsi="Georgia"/>
          <w:b/>
        </w:rPr>
      </w:pPr>
      <w:r w:rsidRPr="006D21A8">
        <w:rPr>
          <w:rFonts w:ascii="Georgia" w:hAnsi="Georgia"/>
          <w:b/>
        </w:rPr>
        <w:lastRenderedPageBreak/>
        <w:t>Q3:</w:t>
      </w:r>
      <w:r w:rsidR="00E84D69">
        <w:rPr>
          <w:rFonts w:ascii="Georgia" w:hAnsi="Georgia"/>
          <w:b/>
        </w:rPr>
        <w:t xml:space="preserve"> </w:t>
      </w:r>
      <w:r w:rsidR="00D93C89">
        <w:rPr>
          <w:rFonts w:ascii="Georgia" w:hAnsi="Georgia"/>
          <w:b/>
        </w:rPr>
        <w:t xml:space="preserve"> 3 surveys were returned this quarter.  All were satisfied with services.</w:t>
      </w:r>
    </w:p>
    <w:p w:rsidR="00E84D69" w:rsidRPr="006D21A8" w:rsidRDefault="00E84D69" w:rsidP="006D21A8">
      <w:pPr>
        <w:pStyle w:val="ListParagraph"/>
        <w:rPr>
          <w:rFonts w:ascii="Georgia" w:hAnsi="Georgia"/>
          <w:b/>
        </w:rPr>
      </w:pPr>
      <w:r w:rsidRPr="00E84D69">
        <w:rPr>
          <w:rFonts w:ascii="Georgia" w:hAnsi="Georgia"/>
          <w:b/>
          <w:noProof/>
        </w:rPr>
        <w:drawing>
          <wp:inline distT="0" distB="0" distL="0" distR="0">
            <wp:extent cx="5238750" cy="18288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D21A8" w:rsidRDefault="006D21A8" w:rsidP="006D21A8">
      <w:pPr>
        <w:pStyle w:val="ListParagraph"/>
        <w:rPr>
          <w:rFonts w:ascii="Georgia" w:hAnsi="Georgia"/>
          <w:b/>
        </w:rPr>
      </w:pPr>
      <w:r w:rsidRPr="006D21A8">
        <w:rPr>
          <w:rFonts w:ascii="Georgia" w:hAnsi="Georgia"/>
          <w:b/>
        </w:rPr>
        <w:t>Q4:</w:t>
      </w:r>
      <w:r w:rsidR="003F35C0">
        <w:rPr>
          <w:rFonts w:ascii="Georgia" w:hAnsi="Georgia"/>
          <w:b/>
        </w:rPr>
        <w:t xml:space="preserve"> 2 surveys returned this quarter.  All were satisfied with services.</w:t>
      </w:r>
    </w:p>
    <w:p w:rsidR="003F35C0" w:rsidRDefault="003F35C0" w:rsidP="006D21A8">
      <w:pPr>
        <w:pStyle w:val="ListParagraph"/>
        <w:rPr>
          <w:rFonts w:ascii="Georgia" w:hAnsi="Georgia"/>
          <w:b/>
        </w:rPr>
      </w:pPr>
      <w:r w:rsidRPr="003F35C0">
        <w:rPr>
          <w:rFonts w:ascii="Georgia" w:hAnsi="Georgia"/>
          <w:b/>
          <w:noProof/>
        </w:rPr>
        <w:drawing>
          <wp:inline distT="0" distB="0" distL="0" distR="0">
            <wp:extent cx="5238750" cy="1743075"/>
            <wp:effectExtent l="19050" t="0" r="1905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1273F" w:rsidRDefault="00C1273F" w:rsidP="006D21A8">
      <w:pPr>
        <w:pStyle w:val="ListParagraph"/>
        <w:rPr>
          <w:rFonts w:ascii="Georgia" w:hAnsi="Georgia"/>
          <w:b/>
        </w:rPr>
      </w:pPr>
    </w:p>
    <w:p w:rsidR="00C1273F" w:rsidRDefault="00C1273F" w:rsidP="006D21A8">
      <w:pPr>
        <w:pStyle w:val="ListParagraph"/>
        <w:rPr>
          <w:rFonts w:ascii="Georgia" w:hAnsi="Georgia"/>
          <w:b/>
        </w:rPr>
      </w:pPr>
    </w:p>
    <w:p w:rsidR="00C1273F" w:rsidRDefault="00E75EA5" w:rsidP="006D21A8">
      <w:pPr>
        <w:pStyle w:val="ListParagraph"/>
        <w:rPr>
          <w:rFonts w:ascii="Georgia" w:hAnsi="Georgia"/>
        </w:rPr>
      </w:pPr>
      <w:r>
        <w:rPr>
          <w:rFonts w:ascii="Georgia" w:hAnsi="Georgia"/>
          <w:b/>
        </w:rPr>
        <w:t xml:space="preserve">Analysis: </w:t>
      </w:r>
      <w:r w:rsidRPr="006447EA">
        <w:rPr>
          <w:rFonts w:ascii="Georgia" w:hAnsi="Georgia"/>
        </w:rPr>
        <w:t>Overall return of surveys was down this year</w:t>
      </w:r>
      <w:r w:rsidR="006447EA">
        <w:rPr>
          <w:rFonts w:ascii="Georgia" w:hAnsi="Georgia"/>
        </w:rPr>
        <w:t xml:space="preserve"> compared to previous years</w:t>
      </w:r>
      <w:r w:rsidRPr="006447EA">
        <w:rPr>
          <w:rFonts w:ascii="Georgia" w:hAnsi="Georgia"/>
        </w:rPr>
        <w:t xml:space="preserve">.  This could </w:t>
      </w:r>
      <w:r w:rsidR="006447EA">
        <w:rPr>
          <w:rFonts w:ascii="Georgia" w:hAnsi="Georgia"/>
        </w:rPr>
        <w:t>be a result of</w:t>
      </w:r>
      <w:r w:rsidRPr="006447EA">
        <w:rPr>
          <w:rFonts w:ascii="Georgia" w:hAnsi="Georgia"/>
        </w:rPr>
        <w:t xml:space="preserve"> new methods of communicating electronically due to Covid.</w:t>
      </w:r>
      <w:r w:rsidR="006447EA">
        <w:rPr>
          <w:rFonts w:ascii="Georgia" w:hAnsi="Georgia"/>
        </w:rPr>
        <w:t xml:space="preserve">  Many of our families are continuing to learn to navigate all of the new electronic documents that have been put into place over this year.  No trends were noted.  </w:t>
      </w:r>
      <w:r w:rsidRPr="006447EA">
        <w:rPr>
          <w:rFonts w:ascii="Georgia" w:hAnsi="Georgia"/>
        </w:rPr>
        <w:t>Target was met as all surveys returned reported they were satisfied with services</w:t>
      </w:r>
      <w:r w:rsidR="006447EA">
        <w:rPr>
          <w:rFonts w:ascii="Georgia" w:hAnsi="Georgia"/>
        </w:rPr>
        <w:t xml:space="preserve">.  Meeting the target is </w:t>
      </w:r>
      <w:r w:rsidR="00760D03">
        <w:rPr>
          <w:rFonts w:ascii="Georgia" w:hAnsi="Georgia"/>
        </w:rPr>
        <w:t>encouraging</w:t>
      </w:r>
      <w:r w:rsidR="006447EA">
        <w:rPr>
          <w:rFonts w:ascii="Georgia" w:hAnsi="Georgia"/>
        </w:rPr>
        <w:t xml:space="preserve"> </w:t>
      </w:r>
      <w:r w:rsidR="00760D03">
        <w:rPr>
          <w:rFonts w:ascii="Georgia" w:hAnsi="Georgia"/>
        </w:rPr>
        <w:t xml:space="preserve">in that service delivery was still satisfactory after a difficult year full of changes caused by the Covid-19 pandemic and National Emergency. </w:t>
      </w:r>
      <w:r w:rsidR="006447EA">
        <w:rPr>
          <w:rFonts w:ascii="Georgia" w:hAnsi="Georgia"/>
        </w:rPr>
        <w:t xml:space="preserve"> Dreamweavers will continue to use electronic paperwork but will have paper copies available upon request from clients. </w:t>
      </w:r>
    </w:p>
    <w:p w:rsidR="006447EA" w:rsidRDefault="006447EA" w:rsidP="006D21A8">
      <w:pPr>
        <w:pStyle w:val="ListParagraph"/>
        <w:rPr>
          <w:rFonts w:ascii="Georgia" w:hAnsi="Georgia"/>
        </w:rPr>
      </w:pPr>
    </w:p>
    <w:p w:rsidR="006447EA" w:rsidRPr="000D3BA4" w:rsidRDefault="006447EA" w:rsidP="006447EA">
      <w:pPr>
        <w:pStyle w:val="ListParagraph"/>
        <w:numPr>
          <w:ilvl w:val="0"/>
          <w:numId w:val="5"/>
        </w:numPr>
        <w:rPr>
          <w:rFonts w:ascii="Georgia" w:hAnsi="Georgia"/>
          <w:b/>
          <w:sz w:val="24"/>
          <w:szCs w:val="24"/>
        </w:rPr>
      </w:pPr>
      <w:r>
        <w:rPr>
          <w:rFonts w:ascii="Georgia" w:hAnsi="Georgia"/>
          <w:b/>
          <w:sz w:val="24"/>
          <w:szCs w:val="24"/>
        </w:rPr>
        <w:lastRenderedPageBreak/>
        <w:t>EFFICIENCY</w:t>
      </w:r>
      <w:r w:rsidRPr="006D21A8">
        <w:rPr>
          <w:rFonts w:ascii="Georgia" w:hAnsi="Georgia"/>
          <w:b/>
          <w:sz w:val="24"/>
          <w:szCs w:val="24"/>
        </w:rPr>
        <w:t xml:space="preserve"> </w:t>
      </w:r>
    </w:p>
    <w:tbl>
      <w:tblPr>
        <w:tblStyle w:val="TableGrid"/>
        <w:tblW w:w="15030" w:type="dxa"/>
        <w:tblInd w:w="-972" w:type="dxa"/>
        <w:tblLayout w:type="fixed"/>
        <w:tblLook w:val="04A0"/>
      </w:tblPr>
      <w:tblGrid>
        <w:gridCol w:w="2700"/>
        <w:gridCol w:w="2160"/>
        <w:gridCol w:w="1800"/>
        <w:gridCol w:w="2070"/>
        <w:gridCol w:w="3060"/>
        <w:gridCol w:w="3240"/>
      </w:tblGrid>
      <w:tr w:rsidR="006447EA" w:rsidTr="006447EA">
        <w:tc>
          <w:tcPr>
            <w:tcW w:w="2700" w:type="dxa"/>
          </w:tcPr>
          <w:p w:rsidR="006447EA" w:rsidRPr="000D3BA4" w:rsidRDefault="006447EA" w:rsidP="006447EA">
            <w:pPr>
              <w:jc w:val="center"/>
              <w:rPr>
                <w:rFonts w:ascii="Georgia" w:hAnsi="Georgia"/>
                <w:b/>
                <w:sz w:val="24"/>
                <w:szCs w:val="24"/>
              </w:rPr>
            </w:pPr>
            <w:r w:rsidRPr="000D3BA4">
              <w:rPr>
                <w:rFonts w:ascii="Georgia" w:hAnsi="Georgia"/>
                <w:b/>
                <w:sz w:val="24"/>
                <w:szCs w:val="24"/>
              </w:rPr>
              <w:t>Performance Indicator</w:t>
            </w:r>
          </w:p>
        </w:tc>
        <w:tc>
          <w:tcPr>
            <w:tcW w:w="2160" w:type="dxa"/>
          </w:tcPr>
          <w:p w:rsidR="006447EA" w:rsidRPr="000D3BA4" w:rsidRDefault="006447EA" w:rsidP="006447EA">
            <w:pPr>
              <w:jc w:val="center"/>
              <w:rPr>
                <w:rFonts w:ascii="Georgia" w:hAnsi="Georgia"/>
                <w:b/>
                <w:sz w:val="24"/>
                <w:szCs w:val="24"/>
              </w:rPr>
            </w:pPr>
            <w:r>
              <w:rPr>
                <w:rFonts w:ascii="Georgia" w:hAnsi="Georgia"/>
                <w:b/>
                <w:sz w:val="24"/>
                <w:szCs w:val="24"/>
              </w:rPr>
              <w:t>Who will this apply to?</w:t>
            </w:r>
          </w:p>
        </w:tc>
        <w:tc>
          <w:tcPr>
            <w:tcW w:w="1800" w:type="dxa"/>
          </w:tcPr>
          <w:p w:rsidR="006447EA" w:rsidRPr="000D3BA4" w:rsidRDefault="006447EA" w:rsidP="006447EA">
            <w:pPr>
              <w:jc w:val="center"/>
              <w:rPr>
                <w:rFonts w:ascii="Georgia" w:hAnsi="Georgia"/>
                <w:b/>
                <w:sz w:val="24"/>
                <w:szCs w:val="24"/>
              </w:rPr>
            </w:pPr>
            <w:r w:rsidRPr="000D3BA4">
              <w:rPr>
                <w:rFonts w:ascii="Georgia" w:hAnsi="Georgia"/>
                <w:b/>
                <w:sz w:val="24"/>
                <w:szCs w:val="24"/>
              </w:rPr>
              <w:t>Responsible Party</w:t>
            </w:r>
          </w:p>
        </w:tc>
        <w:tc>
          <w:tcPr>
            <w:tcW w:w="2070" w:type="dxa"/>
          </w:tcPr>
          <w:p w:rsidR="006447EA" w:rsidRPr="000D3BA4" w:rsidRDefault="006447EA" w:rsidP="006447EA">
            <w:pPr>
              <w:jc w:val="center"/>
              <w:rPr>
                <w:rFonts w:ascii="Georgia" w:hAnsi="Georgia"/>
                <w:b/>
                <w:sz w:val="24"/>
                <w:szCs w:val="24"/>
              </w:rPr>
            </w:pPr>
            <w:r>
              <w:rPr>
                <w:rFonts w:ascii="Georgia" w:hAnsi="Georgia"/>
                <w:b/>
                <w:sz w:val="24"/>
                <w:szCs w:val="24"/>
              </w:rPr>
              <w:t>Data sources</w:t>
            </w:r>
          </w:p>
        </w:tc>
        <w:tc>
          <w:tcPr>
            <w:tcW w:w="3060" w:type="dxa"/>
          </w:tcPr>
          <w:p w:rsidR="006447EA" w:rsidRPr="000D3BA4" w:rsidRDefault="006447EA" w:rsidP="006447EA">
            <w:pPr>
              <w:jc w:val="center"/>
              <w:rPr>
                <w:rFonts w:ascii="Georgia" w:hAnsi="Georgia"/>
                <w:b/>
                <w:sz w:val="24"/>
                <w:szCs w:val="24"/>
              </w:rPr>
            </w:pPr>
            <w:r>
              <w:rPr>
                <w:rFonts w:ascii="Georgia" w:hAnsi="Georgia"/>
                <w:b/>
                <w:sz w:val="24"/>
                <w:szCs w:val="24"/>
              </w:rPr>
              <w:t>Relevant time-frames for data collection</w:t>
            </w:r>
          </w:p>
        </w:tc>
        <w:tc>
          <w:tcPr>
            <w:tcW w:w="3240" w:type="dxa"/>
          </w:tcPr>
          <w:p w:rsidR="006447EA" w:rsidRPr="000D3BA4" w:rsidRDefault="006447EA" w:rsidP="006447EA">
            <w:pPr>
              <w:jc w:val="center"/>
              <w:rPr>
                <w:rFonts w:ascii="Georgia" w:hAnsi="Georgia"/>
                <w:b/>
                <w:sz w:val="24"/>
                <w:szCs w:val="24"/>
              </w:rPr>
            </w:pPr>
            <w:r>
              <w:rPr>
                <w:rFonts w:ascii="Georgia" w:hAnsi="Georgia"/>
                <w:b/>
                <w:sz w:val="24"/>
                <w:szCs w:val="24"/>
              </w:rPr>
              <w:t>Performance Target</w:t>
            </w:r>
          </w:p>
        </w:tc>
      </w:tr>
      <w:tr w:rsidR="006447EA" w:rsidTr="006447EA">
        <w:tc>
          <w:tcPr>
            <w:tcW w:w="2700" w:type="dxa"/>
          </w:tcPr>
          <w:p w:rsidR="006447EA" w:rsidRPr="00D62FAA" w:rsidRDefault="006447EA" w:rsidP="006447EA">
            <w:pPr>
              <w:rPr>
                <w:rFonts w:ascii="Georgia" w:hAnsi="Georgia"/>
              </w:rPr>
            </w:pPr>
            <w:r>
              <w:rPr>
                <w:rFonts w:ascii="Georgia" w:hAnsi="Georgia"/>
              </w:rPr>
              <w:t>Percent of billable hours provided</w:t>
            </w:r>
          </w:p>
        </w:tc>
        <w:tc>
          <w:tcPr>
            <w:tcW w:w="2160" w:type="dxa"/>
          </w:tcPr>
          <w:p w:rsidR="006447EA" w:rsidRPr="00D62FAA" w:rsidRDefault="006447EA" w:rsidP="006447EA">
            <w:pPr>
              <w:rPr>
                <w:rFonts w:ascii="Georgia" w:hAnsi="Georgia"/>
              </w:rPr>
            </w:pPr>
            <w:r>
              <w:rPr>
                <w:rFonts w:ascii="Georgia" w:hAnsi="Georgia"/>
              </w:rPr>
              <w:t>Innovations staff and clients</w:t>
            </w:r>
          </w:p>
        </w:tc>
        <w:tc>
          <w:tcPr>
            <w:tcW w:w="1800" w:type="dxa"/>
          </w:tcPr>
          <w:p w:rsidR="006447EA" w:rsidRPr="00D62FAA" w:rsidRDefault="006447EA" w:rsidP="006447EA">
            <w:pPr>
              <w:rPr>
                <w:rFonts w:ascii="Georgia" w:hAnsi="Georgia"/>
              </w:rPr>
            </w:pPr>
            <w:r>
              <w:rPr>
                <w:rFonts w:ascii="Georgia" w:hAnsi="Georgia"/>
              </w:rPr>
              <w:t>Sarah</w:t>
            </w:r>
          </w:p>
        </w:tc>
        <w:tc>
          <w:tcPr>
            <w:tcW w:w="2070" w:type="dxa"/>
          </w:tcPr>
          <w:p w:rsidR="006447EA" w:rsidRPr="00D62FAA" w:rsidRDefault="006447EA" w:rsidP="006447EA">
            <w:pPr>
              <w:rPr>
                <w:rFonts w:ascii="Georgia" w:hAnsi="Georgia"/>
              </w:rPr>
            </w:pPr>
            <w:r>
              <w:rPr>
                <w:rFonts w:ascii="Georgia" w:hAnsi="Georgia"/>
              </w:rPr>
              <w:t>Utilization reports</w:t>
            </w:r>
          </w:p>
        </w:tc>
        <w:tc>
          <w:tcPr>
            <w:tcW w:w="3060" w:type="dxa"/>
          </w:tcPr>
          <w:p w:rsidR="006447EA" w:rsidRDefault="006447EA" w:rsidP="006447EA">
            <w:pPr>
              <w:rPr>
                <w:rFonts w:ascii="Georgia" w:hAnsi="Georgia"/>
              </w:rPr>
            </w:pPr>
            <w:r>
              <w:rPr>
                <w:rFonts w:ascii="Georgia" w:hAnsi="Georgia"/>
              </w:rPr>
              <w:t>Data collected daily, analyzed quarterly.</w:t>
            </w:r>
          </w:p>
        </w:tc>
        <w:tc>
          <w:tcPr>
            <w:tcW w:w="3240" w:type="dxa"/>
          </w:tcPr>
          <w:p w:rsidR="006447EA" w:rsidRDefault="006447EA" w:rsidP="006447EA">
            <w:pPr>
              <w:rPr>
                <w:rFonts w:ascii="Georgia" w:hAnsi="Georgia"/>
              </w:rPr>
            </w:pPr>
            <w:r>
              <w:rPr>
                <w:rFonts w:ascii="Georgia" w:hAnsi="Georgia"/>
              </w:rPr>
              <w:t>85% of authorized hours billed.  No more than 15% of authorized units remaining unused.</w:t>
            </w:r>
          </w:p>
        </w:tc>
      </w:tr>
    </w:tbl>
    <w:p w:rsidR="006447EA" w:rsidRDefault="006447EA" w:rsidP="006447EA">
      <w:pPr>
        <w:rPr>
          <w:rFonts w:ascii="Georgia" w:hAnsi="Georgia"/>
          <w:b/>
        </w:rPr>
      </w:pPr>
    </w:p>
    <w:p w:rsidR="006447EA" w:rsidRPr="006D21A8" w:rsidRDefault="006447EA" w:rsidP="006447EA">
      <w:pPr>
        <w:rPr>
          <w:rFonts w:ascii="Georgia" w:hAnsi="Georgia"/>
          <w:b/>
        </w:rPr>
      </w:pPr>
      <w:r w:rsidRPr="006D21A8">
        <w:rPr>
          <w:rFonts w:ascii="Georgia" w:hAnsi="Georgia"/>
          <w:b/>
        </w:rPr>
        <w:t>Results/Updates:</w:t>
      </w:r>
    </w:p>
    <w:p w:rsidR="006447EA" w:rsidRDefault="006447EA" w:rsidP="006447EA">
      <w:pPr>
        <w:pStyle w:val="ListParagraph"/>
        <w:rPr>
          <w:rFonts w:ascii="Georgia" w:hAnsi="Georgia"/>
          <w:b/>
        </w:rPr>
      </w:pPr>
      <w:r w:rsidRPr="006D21A8">
        <w:rPr>
          <w:rFonts w:ascii="Georgia" w:hAnsi="Georgia"/>
          <w:b/>
        </w:rPr>
        <w:t>Q1:</w:t>
      </w:r>
    </w:p>
    <w:p w:rsidR="006447EA" w:rsidRDefault="006447EA" w:rsidP="006447EA">
      <w:pPr>
        <w:pStyle w:val="ListParagraph"/>
        <w:rPr>
          <w:rFonts w:ascii="Book Antiqua" w:hAnsi="Book Antiqua"/>
        </w:rPr>
      </w:pPr>
      <w:r>
        <w:rPr>
          <w:rFonts w:ascii="Book Antiqua" w:hAnsi="Book Antiqua"/>
        </w:rPr>
        <w:t>Units Authorized vs. Units used (CLS, CN) (Approx.)</w:t>
      </w:r>
    </w:p>
    <w:p w:rsidR="006447EA" w:rsidRDefault="006447EA" w:rsidP="006447EA">
      <w:pPr>
        <w:numPr>
          <w:ilvl w:val="2"/>
          <w:numId w:val="6"/>
        </w:numPr>
        <w:spacing w:after="0" w:line="240" w:lineRule="auto"/>
        <w:rPr>
          <w:rFonts w:ascii="Book Antiqua" w:hAnsi="Book Antiqua"/>
        </w:rPr>
      </w:pPr>
      <w:r>
        <w:rPr>
          <w:rFonts w:ascii="Book Antiqua" w:hAnsi="Book Antiqua"/>
        </w:rPr>
        <w:t>Jan 2020:</w:t>
      </w:r>
    </w:p>
    <w:p w:rsidR="006447EA" w:rsidRDefault="006447EA" w:rsidP="006447EA">
      <w:pPr>
        <w:numPr>
          <w:ilvl w:val="3"/>
          <w:numId w:val="6"/>
        </w:numPr>
        <w:spacing w:after="0" w:line="240" w:lineRule="auto"/>
        <w:rPr>
          <w:rFonts w:ascii="Book Antiqua" w:hAnsi="Book Antiqua"/>
        </w:rPr>
      </w:pPr>
      <w:r>
        <w:rPr>
          <w:rFonts w:ascii="Book Antiqua" w:hAnsi="Book Antiqua"/>
        </w:rPr>
        <w:t>CLS Authorized Units: 8,425</w:t>
      </w:r>
    </w:p>
    <w:p w:rsidR="006447EA" w:rsidRDefault="006447EA" w:rsidP="006447EA">
      <w:pPr>
        <w:numPr>
          <w:ilvl w:val="3"/>
          <w:numId w:val="6"/>
        </w:numPr>
        <w:spacing w:after="0" w:line="240" w:lineRule="auto"/>
        <w:rPr>
          <w:rFonts w:ascii="Book Antiqua" w:hAnsi="Book Antiqua"/>
        </w:rPr>
      </w:pPr>
      <w:r>
        <w:rPr>
          <w:rFonts w:ascii="Book Antiqua" w:hAnsi="Book Antiqua"/>
        </w:rPr>
        <w:t xml:space="preserve">CLS Units </w:t>
      </w:r>
      <w:r w:rsidRPr="00073A12">
        <w:rPr>
          <w:rFonts w:ascii="Book Antiqua" w:hAnsi="Book Antiqua"/>
          <w:b/>
        </w:rPr>
        <w:t>NOT</w:t>
      </w:r>
      <w:r>
        <w:rPr>
          <w:rFonts w:ascii="Book Antiqua" w:hAnsi="Book Antiqua"/>
        </w:rPr>
        <w:t xml:space="preserve"> used: 601</w:t>
      </w:r>
    </w:p>
    <w:p w:rsidR="006447EA" w:rsidRDefault="006447EA" w:rsidP="006447EA">
      <w:pPr>
        <w:numPr>
          <w:ilvl w:val="3"/>
          <w:numId w:val="6"/>
        </w:numPr>
        <w:spacing w:after="0" w:line="240" w:lineRule="auto"/>
        <w:rPr>
          <w:rFonts w:ascii="Book Antiqua" w:hAnsi="Book Antiqua"/>
        </w:rPr>
      </w:pPr>
      <w:r>
        <w:rPr>
          <w:rFonts w:ascii="Book Antiqua" w:hAnsi="Book Antiqua"/>
        </w:rPr>
        <w:t>CLS Units used: 7,824</w:t>
      </w:r>
    </w:p>
    <w:p w:rsidR="006447EA" w:rsidRDefault="006447EA" w:rsidP="006447EA">
      <w:pPr>
        <w:numPr>
          <w:ilvl w:val="3"/>
          <w:numId w:val="6"/>
        </w:numPr>
        <w:spacing w:after="0" w:line="240" w:lineRule="auto"/>
        <w:rPr>
          <w:rFonts w:ascii="Book Antiqua" w:hAnsi="Book Antiqua"/>
        </w:rPr>
      </w:pPr>
      <w:r>
        <w:rPr>
          <w:rFonts w:ascii="Book Antiqua" w:hAnsi="Book Antiqua"/>
        </w:rPr>
        <w:t>CLS Approx. Loss: $3,050</w:t>
      </w:r>
    </w:p>
    <w:p w:rsidR="006447EA" w:rsidRDefault="006447EA" w:rsidP="006447EA">
      <w:pPr>
        <w:numPr>
          <w:ilvl w:val="4"/>
          <w:numId w:val="6"/>
        </w:numPr>
        <w:spacing w:after="0" w:line="240" w:lineRule="auto"/>
        <w:rPr>
          <w:rFonts w:ascii="Book Antiqua" w:hAnsi="Book Antiqua"/>
        </w:rPr>
      </w:pPr>
      <w:r>
        <w:rPr>
          <w:rFonts w:ascii="Book Antiqua" w:hAnsi="Book Antiqua"/>
        </w:rPr>
        <w:t>CN Authorized Units: 1,028</w:t>
      </w:r>
    </w:p>
    <w:p w:rsidR="006447EA" w:rsidRDefault="006447EA" w:rsidP="006447EA">
      <w:pPr>
        <w:numPr>
          <w:ilvl w:val="4"/>
          <w:numId w:val="6"/>
        </w:numPr>
        <w:spacing w:after="0" w:line="240" w:lineRule="auto"/>
        <w:rPr>
          <w:rFonts w:ascii="Book Antiqua" w:hAnsi="Book Antiqua"/>
        </w:rPr>
      </w:pPr>
      <w:r>
        <w:rPr>
          <w:rFonts w:ascii="Book Antiqua" w:hAnsi="Book Antiqua"/>
        </w:rPr>
        <w:t xml:space="preserve">CN Units </w:t>
      </w:r>
      <w:r w:rsidRPr="00B74569">
        <w:rPr>
          <w:rFonts w:ascii="Book Antiqua" w:hAnsi="Book Antiqua"/>
          <w:b/>
        </w:rPr>
        <w:t>NOT</w:t>
      </w:r>
      <w:r>
        <w:rPr>
          <w:rFonts w:ascii="Book Antiqua" w:hAnsi="Book Antiqua"/>
        </w:rPr>
        <w:t xml:space="preserve"> used: 115</w:t>
      </w:r>
    </w:p>
    <w:p w:rsidR="006447EA" w:rsidRDefault="006447EA" w:rsidP="006447EA">
      <w:pPr>
        <w:numPr>
          <w:ilvl w:val="4"/>
          <w:numId w:val="6"/>
        </w:numPr>
        <w:spacing w:after="0" w:line="240" w:lineRule="auto"/>
        <w:rPr>
          <w:rFonts w:ascii="Book Antiqua" w:hAnsi="Book Antiqua"/>
        </w:rPr>
      </w:pPr>
      <w:r>
        <w:rPr>
          <w:rFonts w:ascii="Book Antiqua" w:hAnsi="Book Antiqua"/>
        </w:rPr>
        <w:t>CN Units used: 913</w:t>
      </w:r>
    </w:p>
    <w:p w:rsidR="006447EA" w:rsidRPr="00B74569" w:rsidRDefault="006447EA" w:rsidP="006447EA">
      <w:pPr>
        <w:numPr>
          <w:ilvl w:val="4"/>
          <w:numId w:val="6"/>
        </w:numPr>
        <w:spacing w:after="0" w:line="240" w:lineRule="auto"/>
        <w:rPr>
          <w:rFonts w:ascii="Book Antiqua" w:hAnsi="Book Antiqua"/>
        </w:rPr>
      </w:pPr>
      <w:r>
        <w:rPr>
          <w:rFonts w:ascii="Book Antiqua" w:hAnsi="Book Antiqua"/>
        </w:rPr>
        <w:t>CN Approx. Loss: $605</w:t>
      </w:r>
    </w:p>
    <w:p w:rsidR="006447EA" w:rsidRDefault="006447EA" w:rsidP="006447EA">
      <w:pPr>
        <w:numPr>
          <w:ilvl w:val="2"/>
          <w:numId w:val="6"/>
        </w:numPr>
        <w:spacing w:after="0" w:line="240" w:lineRule="auto"/>
        <w:rPr>
          <w:rFonts w:ascii="Book Antiqua" w:hAnsi="Book Antiqua"/>
        </w:rPr>
      </w:pPr>
      <w:r>
        <w:rPr>
          <w:rFonts w:ascii="Book Antiqua" w:hAnsi="Book Antiqua"/>
        </w:rPr>
        <w:t>Feb 2020:</w:t>
      </w:r>
    </w:p>
    <w:p w:rsidR="006447EA" w:rsidRDefault="006447EA" w:rsidP="006447EA">
      <w:pPr>
        <w:numPr>
          <w:ilvl w:val="3"/>
          <w:numId w:val="6"/>
        </w:numPr>
        <w:spacing w:after="0" w:line="240" w:lineRule="auto"/>
        <w:rPr>
          <w:rFonts w:ascii="Book Antiqua" w:hAnsi="Book Antiqua"/>
        </w:rPr>
      </w:pPr>
      <w:r>
        <w:rPr>
          <w:rFonts w:ascii="Book Antiqua" w:hAnsi="Book Antiqua"/>
        </w:rPr>
        <w:t>CLS Authorized Units: 7,836</w:t>
      </w:r>
    </w:p>
    <w:p w:rsidR="006447EA" w:rsidRDefault="006447EA" w:rsidP="006447EA">
      <w:pPr>
        <w:numPr>
          <w:ilvl w:val="3"/>
          <w:numId w:val="6"/>
        </w:numPr>
        <w:spacing w:after="0" w:line="240" w:lineRule="auto"/>
        <w:rPr>
          <w:rFonts w:ascii="Book Antiqua" w:hAnsi="Book Antiqua"/>
        </w:rPr>
      </w:pPr>
      <w:r>
        <w:rPr>
          <w:rFonts w:ascii="Book Antiqua" w:hAnsi="Book Antiqua"/>
        </w:rPr>
        <w:t xml:space="preserve">CLS Units </w:t>
      </w:r>
      <w:r w:rsidRPr="00073A12">
        <w:rPr>
          <w:rFonts w:ascii="Book Antiqua" w:hAnsi="Book Antiqua"/>
          <w:b/>
        </w:rPr>
        <w:t>NOT</w:t>
      </w:r>
      <w:r>
        <w:rPr>
          <w:rFonts w:ascii="Book Antiqua" w:hAnsi="Book Antiqua"/>
        </w:rPr>
        <w:t xml:space="preserve"> used: 1,428</w:t>
      </w:r>
    </w:p>
    <w:p w:rsidR="006447EA" w:rsidRDefault="006447EA" w:rsidP="006447EA">
      <w:pPr>
        <w:numPr>
          <w:ilvl w:val="3"/>
          <w:numId w:val="6"/>
        </w:numPr>
        <w:spacing w:after="0" w:line="240" w:lineRule="auto"/>
        <w:rPr>
          <w:rFonts w:ascii="Book Antiqua" w:hAnsi="Book Antiqua"/>
        </w:rPr>
      </w:pPr>
      <w:r>
        <w:rPr>
          <w:rFonts w:ascii="Book Antiqua" w:hAnsi="Book Antiqua"/>
        </w:rPr>
        <w:t>CLS Units used: 6,408</w:t>
      </w:r>
    </w:p>
    <w:p w:rsidR="006447EA" w:rsidRDefault="006447EA" w:rsidP="006447EA">
      <w:pPr>
        <w:numPr>
          <w:ilvl w:val="3"/>
          <w:numId w:val="6"/>
        </w:numPr>
        <w:spacing w:after="0" w:line="240" w:lineRule="auto"/>
        <w:rPr>
          <w:rFonts w:ascii="Book Antiqua" w:hAnsi="Book Antiqua"/>
        </w:rPr>
      </w:pPr>
      <w:r>
        <w:rPr>
          <w:rFonts w:ascii="Book Antiqua" w:hAnsi="Book Antiqua"/>
        </w:rPr>
        <w:t>CLS Approx. Loss: $7,240</w:t>
      </w:r>
    </w:p>
    <w:p w:rsidR="006447EA" w:rsidRDefault="006447EA" w:rsidP="006447EA">
      <w:pPr>
        <w:numPr>
          <w:ilvl w:val="4"/>
          <w:numId w:val="6"/>
        </w:numPr>
        <w:spacing w:after="0" w:line="240" w:lineRule="auto"/>
        <w:rPr>
          <w:rFonts w:ascii="Book Antiqua" w:hAnsi="Book Antiqua"/>
        </w:rPr>
      </w:pPr>
      <w:r>
        <w:rPr>
          <w:rFonts w:ascii="Book Antiqua" w:hAnsi="Book Antiqua"/>
        </w:rPr>
        <w:t>CN Authorized Units: 912</w:t>
      </w:r>
    </w:p>
    <w:p w:rsidR="006447EA" w:rsidRDefault="006447EA" w:rsidP="006447EA">
      <w:pPr>
        <w:numPr>
          <w:ilvl w:val="4"/>
          <w:numId w:val="6"/>
        </w:numPr>
        <w:spacing w:after="0" w:line="240" w:lineRule="auto"/>
        <w:rPr>
          <w:rFonts w:ascii="Book Antiqua" w:hAnsi="Book Antiqua"/>
        </w:rPr>
      </w:pPr>
      <w:r>
        <w:rPr>
          <w:rFonts w:ascii="Book Antiqua" w:hAnsi="Book Antiqua"/>
        </w:rPr>
        <w:t xml:space="preserve">CN Units </w:t>
      </w:r>
      <w:r w:rsidRPr="00B74569">
        <w:rPr>
          <w:rFonts w:ascii="Book Antiqua" w:hAnsi="Book Antiqua"/>
          <w:b/>
        </w:rPr>
        <w:t>NOT</w:t>
      </w:r>
      <w:r>
        <w:rPr>
          <w:rFonts w:ascii="Book Antiqua" w:hAnsi="Book Antiqua"/>
        </w:rPr>
        <w:t xml:space="preserve"> used: 93</w:t>
      </w:r>
    </w:p>
    <w:p w:rsidR="006447EA" w:rsidRDefault="006447EA" w:rsidP="006447EA">
      <w:pPr>
        <w:numPr>
          <w:ilvl w:val="4"/>
          <w:numId w:val="6"/>
        </w:numPr>
        <w:spacing w:after="0" w:line="240" w:lineRule="auto"/>
        <w:rPr>
          <w:rFonts w:ascii="Book Antiqua" w:hAnsi="Book Antiqua"/>
        </w:rPr>
      </w:pPr>
      <w:r>
        <w:rPr>
          <w:rFonts w:ascii="Book Antiqua" w:hAnsi="Book Antiqua"/>
        </w:rPr>
        <w:t>CN Units used: 819</w:t>
      </w:r>
    </w:p>
    <w:p w:rsidR="006447EA" w:rsidRDefault="006447EA" w:rsidP="006447EA">
      <w:pPr>
        <w:numPr>
          <w:ilvl w:val="4"/>
          <w:numId w:val="6"/>
        </w:numPr>
        <w:spacing w:after="0" w:line="240" w:lineRule="auto"/>
        <w:rPr>
          <w:rFonts w:ascii="Book Antiqua" w:hAnsi="Book Antiqua"/>
        </w:rPr>
      </w:pPr>
      <w:r>
        <w:rPr>
          <w:rFonts w:ascii="Book Antiqua" w:hAnsi="Book Antiqua"/>
        </w:rPr>
        <w:t>CN Approx. Loss: $490</w:t>
      </w:r>
    </w:p>
    <w:p w:rsidR="006447EA" w:rsidRDefault="006447EA" w:rsidP="006447EA">
      <w:pPr>
        <w:numPr>
          <w:ilvl w:val="2"/>
          <w:numId w:val="6"/>
        </w:numPr>
        <w:spacing w:after="0" w:line="240" w:lineRule="auto"/>
        <w:rPr>
          <w:rFonts w:ascii="Book Antiqua" w:hAnsi="Book Antiqua"/>
        </w:rPr>
      </w:pPr>
      <w:r>
        <w:rPr>
          <w:rFonts w:ascii="Book Antiqua" w:hAnsi="Book Antiqua"/>
        </w:rPr>
        <w:lastRenderedPageBreak/>
        <w:t>Mar 2020:</w:t>
      </w:r>
    </w:p>
    <w:p w:rsidR="006447EA" w:rsidRDefault="006447EA" w:rsidP="006447EA">
      <w:pPr>
        <w:numPr>
          <w:ilvl w:val="3"/>
          <w:numId w:val="6"/>
        </w:numPr>
        <w:spacing w:after="0" w:line="240" w:lineRule="auto"/>
        <w:rPr>
          <w:rFonts w:ascii="Book Antiqua" w:hAnsi="Book Antiqua"/>
        </w:rPr>
      </w:pPr>
      <w:r>
        <w:rPr>
          <w:rFonts w:ascii="Book Antiqua" w:hAnsi="Book Antiqua"/>
        </w:rPr>
        <w:t>CLS Authorized Units: 11,216</w:t>
      </w:r>
    </w:p>
    <w:p w:rsidR="006447EA" w:rsidRDefault="006447EA" w:rsidP="006447EA">
      <w:pPr>
        <w:numPr>
          <w:ilvl w:val="3"/>
          <w:numId w:val="6"/>
        </w:numPr>
        <w:spacing w:after="0" w:line="240" w:lineRule="auto"/>
        <w:rPr>
          <w:rFonts w:ascii="Book Antiqua" w:hAnsi="Book Antiqua"/>
        </w:rPr>
      </w:pPr>
      <w:r>
        <w:rPr>
          <w:rFonts w:ascii="Book Antiqua" w:hAnsi="Book Antiqua"/>
        </w:rPr>
        <w:t xml:space="preserve">CLS Units </w:t>
      </w:r>
      <w:r w:rsidRPr="00073A12">
        <w:rPr>
          <w:rFonts w:ascii="Book Antiqua" w:hAnsi="Book Antiqua"/>
          <w:b/>
        </w:rPr>
        <w:t>NOT</w:t>
      </w:r>
      <w:r>
        <w:rPr>
          <w:rFonts w:ascii="Book Antiqua" w:hAnsi="Book Antiqua"/>
        </w:rPr>
        <w:t xml:space="preserve"> used: 3,200</w:t>
      </w:r>
    </w:p>
    <w:p w:rsidR="006447EA" w:rsidRDefault="006447EA" w:rsidP="006447EA">
      <w:pPr>
        <w:numPr>
          <w:ilvl w:val="3"/>
          <w:numId w:val="6"/>
        </w:numPr>
        <w:spacing w:after="0" w:line="240" w:lineRule="auto"/>
        <w:rPr>
          <w:rFonts w:ascii="Book Antiqua" w:hAnsi="Book Antiqua"/>
        </w:rPr>
      </w:pPr>
      <w:r>
        <w:rPr>
          <w:rFonts w:ascii="Book Antiqua" w:hAnsi="Book Antiqua"/>
        </w:rPr>
        <w:t>CLS Units used: 8,016</w:t>
      </w:r>
    </w:p>
    <w:p w:rsidR="006447EA" w:rsidRDefault="006447EA" w:rsidP="006447EA">
      <w:pPr>
        <w:numPr>
          <w:ilvl w:val="3"/>
          <w:numId w:val="6"/>
        </w:numPr>
        <w:spacing w:after="0" w:line="240" w:lineRule="auto"/>
        <w:rPr>
          <w:rFonts w:ascii="Book Antiqua" w:hAnsi="Book Antiqua"/>
        </w:rPr>
      </w:pPr>
      <w:r>
        <w:rPr>
          <w:rFonts w:ascii="Book Antiqua" w:hAnsi="Book Antiqua"/>
        </w:rPr>
        <w:t>CLS Approx. Loss: $16,225</w:t>
      </w:r>
    </w:p>
    <w:p w:rsidR="006447EA" w:rsidRDefault="006447EA" w:rsidP="006447EA">
      <w:pPr>
        <w:numPr>
          <w:ilvl w:val="4"/>
          <w:numId w:val="6"/>
        </w:numPr>
        <w:spacing w:after="0" w:line="240" w:lineRule="auto"/>
        <w:rPr>
          <w:rFonts w:ascii="Book Antiqua" w:hAnsi="Book Antiqua"/>
        </w:rPr>
      </w:pPr>
      <w:r>
        <w:rPr>
          <w:rFonts w:ascii="Book Antiqua" w:hAnsi="Book Antiqua"/>
        </w:rPr>
        <w:t>CN Authorized Units: 979</w:t>
      </w:r>
    </w:p>
    <w:p w:rsidR="006447EA" w:rsidRDefault="006447EA" w:rsidP="006447EA">
      <w:pPr>
        <w:numPr>
          <w:ilvl w:val="4"/>
          <w:numId w:val="6"/>
        </w:numPr>
        <w:spacing w:after="0" w:line="240" w:lineRule="auto"/>
        <w:rPr>
          <w:rFonts w:ascii="Book Antiqua" w:hAnsi="Book Antiqua"/>
        </w:rPr>
      </w:pPr>
      <w:r>
        <w:rPr>
          <w:rFonts w:ascii="Book Antiqua" w:hAnsi="Book Antiqua"/>
        </w:rPr>
        <w:t xml:space="preserve">CN Units </w:t>
      </w:r>
      <w:r w:rsidRPr="00B74569">
        <w:rPr>
          <w:rFonts w:ascii="Book Antiqua" w:hAnsi="Book Antiqua"/>
          <w:b/>
        </w:rPr>
        <w:t>NOT</w:t>
      </w:r>
      <w:r>
        <w:rPr>
          <w:rFonts w:ascii="Book Antiqua" w:hAnsi="Book Antiqua"/>
        </w:rPr>
        <w:t xml:space="preserve"> used: 199</w:t>
      </w:r>
    </w:p>
    <w:p w:rsidR="006447EA" w:rsidRDefault="006447EA" w:rsidP="006447EA">
      <w:pPr>
        <w:numPr>
          <w:ilvl w:val="4"/>
          <w:numId w:val="6"/>
        </w:numPr>
        <w:spacing w:after="0" w:line="240" w:lineRule="auto"/>
        <w:rPr>
          <w:rFonts w:ascii="Book Antiqua" w:hAnsi="Book Antiqua"/>
        </w:rPr>
      </w:pPr>
      <w:r>
        <w:rPr>
          <w:rFonts w:ascii="Book Antiqua" w:hAnsi="Book Antiqua"/>
        </w:rPr>
        <w:t>CN Units used: 780</w:t>
      </w:r>
    </w:p>
    <w:p w:rsidR="006447EA" w:rsidRDefault="006447EA" w:rsidP="006447EA">
      <w:pPr>
        <w:numPr>
          <w:ilvl w:val="4"/>
          <w:numId w:val="6"/>
        </w:numPr>
        <w:spacing w:after="0" w:line="240" w:lineRule="auto"/>
        <w:rPr>
          <w:rFonts w:ascii="Book Antiqua" w:hAnsi="Book Antiqua"/>
        </w:rPr>
      </w:pPr>
      <w:r>
        <w:rPr>
          <w:rFonts w:ascii="Book Antiqua" w:hAnsi="Book Antiqua"/>
        </w:rPr>
        <w:t>CN Approx. Loss: $1,045</w:t>
      </w:r>
    </w:p>
    <w:p w:rsidR="006447EA" w:rsidRDefault="006447EA" w:rsidP="006447EA">
      <w:pPr>
        <w:spacing w:after="0" w:line="240" w:lineRule="auto"/>
        <w:ind w:left="720"/>
        <w:rPr>
          <w:rFonts w:ascii="Book Antiqua" w:hAnsi="Book Antiqua"/>
          <w:u w:val="single"/>
        </w:rPr>
      </w:pPr>
    </w:p>
    <w:p w:rsidR="006447EA" w:rsidRDefault="006447EA" w:rsidP="006447EA">
      <w:pPr>
        <w:numPr>
          <w:ilvl w:val="0"/>
          <w:numId w:val="6"/>
        </w:numPr>
        <w:spacing w:after="0" w:line="240" w:lineRule="auto"/>
        <w:rPr>
          <w:rFonts w:ascii="Book Antiqua" w:hAnsi="Book Antiqua"/>
          <w:u w:val="single"/>
        </w:rPr>
      </w:pPr>
      <w:r>
        <w:rPr>
          <w:rFonts w:ascii="Book Antiqua" w:hAnsi="Book Antiqua"/>
          <w:u w:val="single"/>
        </w:rPr>
        <w:t>Innovations– Number of Total Authorized Units Used</w:t>
      </w:r>
    </w:p>
    <w:p w:rsidR="006447EA" w:rsidRDefault="006447EA" w:rsidP="006447EA">
      <w:pPr>
        <w:numPr>
          <w:ilvl w:val="1"/>
          <w:numId w:val="6"/>
        </w:numPr>
        <w:spacing w:after="0" w:line="240" w:lineRule="auto"/>
        <w:rPr>
          <w:rFonts w:ascii="Book Antiqua" w:hAnsi="Book Antiqua"/>
          <w:u w:val="single"/>
        </w:rPr>
      </w:pPr>
      <w:r>
        <w:rPr>
          <w:rFonts w:ascii="Book Antiqua" w:hAnsi="Book Antiqua"/>
        </w:rPr>
        <w:t>2020 compared to 2019 data</w:t>
      </w:r>
    </w:p>
    <w:p w:rsidR="006447EA" w:rsidRDefault="006447EA" w:rsidP="006447EA">
      <w:pPr>
        <w:rPr>
          <w:rFonts w:ascii="Book Antiqua" w:hAnsi="Book Antiqua"/>
        </w:rPr>
      </w:pPr>
      <w:r>
        <w:rPr>
          <w:rFonts w:ascii="Book Antiqua" w:hAnsi="Book Antiqua"/>
          <w:noProof/>
        </w:rPr>
        <w:drawing>
          <wp:inline distT="0" distB="0" distL="0" distR="0">
            <wp:extent cx="6257925" cy="1933575"/>
            <wp:effectExtent l="19050" t="0" r="0" b="0"/>
            <wp:docPr id="5"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447EA" w:rsidRDefault="006447EA" w:rsidP="006447EA">
      <w:pPr>
        <w:pStyle w:val="ListParagraph"/>
        <w:spacing w:after="0" w:line="240" w:lineRule="auto"/>
        <w:ind w:left="2160"/>
        <w:rPr>
          <w:rFonts w:ascii="Book Antiqua" w:hAnsi="Book Antiqua"/>
        </w:rPr>
      </w:pPr>
    </w:p>
    <w:p w:rsidR="006447EA" w:rsidRDefault="006447EA" w:rsidP="006447EA">
      <w:pPr>
        <w:pStyle w:val="ListParagraph"/>
        <w:rPr>
          <w:rFonts w:ascii="Georgia" w:hAnsi="Georgia"/>
          <w:b/>
        </w:rPr>
      </w:pPr>
      <w:r>
        <w:rPr>
          <w:rFonts w:ascii="Georgia" w:hAnsi="Georgia"/>
          <w:b/>
        </w:rPr>
        <w:t>1</w:t>
      </w:r>
      <w:r w:rsidRPr="005A36E9">
        <w:rPr>
          <w:rFonts w:ascii="Georgia" w:hAnsi="Georgia"/>
          <w:b/>
          <w:vertAlign w:val="superscript"/>
        </w:rPr>
        <w:t>st</w:t>
      </w:r>
      <w:r>
        <w:rPr>
          <w:rFonts w:ascii="Georgia" w:hAnsi="Georgia"/>
          <w:b/>
        </w:rPr>
        <w:t xml:space="preserve"> Quarter Analysis:</w:t>
      </w:r>
    </w:p>
    <w:p w:rsidR="006447EA" w:rsidRPr="00811D09" w:rsidRDefault="006447EA" w:rsidP="006447EA">
      <w:pPr>
        <w:pStyle w:val="ListParagraph"/>
        <w:numPr>
          <w:ilvl w:val="2"/>
          <w:numId w:val="6"/>
        </w:numPr>
        <w:spacing w:after="0" w:line="240" w:lineRule="auto"/>
        <w:rPr>
          <w:rFonts w:ascii="Book Antiqua" w:hAnsi="Book Antiqua"/>
        </w:rPr>
      </w:pPr>
      <w:r>
        <w:rPr>
          <w:rFonts w:ascii="Book Antiqua" w:hAnsi="Book Antiqua"/>
          <w:u w:val="single"/>
        </w:rPr>
        <w:t xml:space="preserve">Jan 2020 – 8% of authorized units were </w:t>
      </w:r>
      <w:proofErr w:type="gramStart"/>
      <w:r>
        <w:rPr>
          <w:rFonts w:ascii="Book Antiqua" w:hAnsi="Book Antiqua"/>
          <w:u w:val="single"/>
        </w:rPr>
        <w:t>not  used</w:t>
      </w:r>
      <w:proofErr w:type="gramEnd"/>
      <w:r>
        <w:rPr>
          <w:rFonts w:ascii="Book Antiqua" w:hAnsi="Book Antiqua"/>
          <w:u w:val="single"/>
        </w:rPr>
        <w:t>.  Possible reasons include:</w:t>
      </w:r>
    </w:p>
    <w:p w:rsidR="006447EA" w:rsidRDefault="006447EA" w:rsidP="006447EA">
      <w:pPr>
        <w:pStyle w:val="ListParagraph"/>
        <w:numPr>
          <w:ilvl w:val="3"/>
          <w:numId w:val="6"/>
        </w:numPr>
        <w:spacing w:after="0" w:line="240" w:lineRule="auto"/>
        <w:rPr>
          <w:rFonts w:ascii="Book Antiqua" w:hAnsi="Book Antiqua"/>
        </w:rPr>
      </w:pPr>
      <w:r>
        <w:rPr>
          <w:rFonts w:ascii="Book Antiqua" w:hAnsi="Book Antiqua"/>
        </w:rPr>
        <w:t>No significant change in usage to report.</w:t>
      </w:r>
    </w:p>
    <w:p w:rsidR="006447EA" w:rsidRPr="00811D09" w:rsidRDefault="006447EA" w:rsidP="006447EA">
      <w:pPr>
        <w:pStyle w:val="ListParagraph"/>
        <w:numPr>
          <w:ilvl w:val="2"/>
          <w:numId w:val="6"/>
        </w:numPr>
        <w:spacing w:after="0" w:line="240" w:lineRule="auto"/>
        <w:rPr>
          <w:rFonts w:ascii="Book Antiqua" w:hAnsi="Book Antiqua"/>
        </w:rPr>
      </w:pPr>
      <w:r>
        <w:rPr>
          <w:rFonts w:ascii="Book Antiqua" w:hAnsi="Book Antiqua"/>
          <w:u w:val="single"/>
        </w:rPr>
        <w:t xml:space="preserve">Feb 2020 – 17% of authorized units were </w:t>
      </w:r>
      <w:proofErr w:type="gramStart"/>
      <w:r>
        <w:rPr>
          <w:rFonts w:ascii="Book Antiqua" w:hAnsi="Book Antiqua"/>
          <w:u w:val="single"/>
        </w:rPr>
        <w:t>not  used</w:t>
      </w:r>
      <w:proofErr w:type="gramEnd"/>
      <w:r>
        <w:rPr>
          <w:rFonts w:ascii="Book Antiqua" w:hAnsi="Book Antiqua"/>
          <w:u w:val="single"/>
        </w:rPr>
        <w:t>.  Possible reasons include:</w:t>
      </w:r>
    </w:p>
    <w:p w:rsidR="006447EA" w:rsidRDefault="006447EA" w:rsidP="006447EA">
      <w:pPr>
        <w:pStyle w:val="ListParagraph"/>
        <w:numPr>
          <w:ilvl w:val="3"/>
          <w:numId w:val="6"/>
        </w:numPr>
        <w:spacing w:after="0" w:line="240" w:lineRule="auto"/>
        <w:rPr>
          <w:rFonts w:ascii="Book Antiqua" w:hAnsi="Book Antiqua"/>
        </w:rPr>
      </w:pPr>
      <w:r>
        <w:rPr>
          <w:rFonts w:ascii="Book Antiqua" w:hAnsi="Book Antiqua"/>
        </w:rPr>
        <w:t>BF inconsistent billing.</w:t>
      </w:r>
    </w:p>
    <w:p w:rsidR="006447EA" w:rsidRPr="00B849A3" w:rsidRDefault="006447EA" w:rsidP="006447EA">
      <w:pPr>
        <w:pStyle w:val="ListParagraph"/>
        <w:numPr>
          <w:ilvl w:val="3"/>
          <w:numId w:val="6"/>
        </w:numPr>
        <w:spacing w:after="0" w:line="240" w:lineRule="auto"/>
        <w:rPr>
          <w:rFonts w:ascii="Book Antiqua" w:hAnsi="Book Antiqua"/>
        </w:rPr>
      </w:pPr>
      <w:r>
        <w:rPr>
          <w:rFonts w:ascii="Book Antiqua" w:hAnsi="Book Antiqua"/>
        </w:rPr>
        <w:t>LM changed providers, last dos 1/31/2020.</w:t>
      </w:r>
    </w:p>
    <w:p w:rsidR="006447EA" w:rsidRPr="00811D09" w:rsidRDefault="006447EA" w:rsidP="006447EA">
      <w:pPr>
        <w:pStyle w:val="ListParagraph"/>
        <w:numPr>
          <w:ilvl w:val="2"/>
          <w:numId w:val="6"/>
        </w:numPr>
        <w:spacing w:after="0" w:line="240" w:lineRule="auto"/>
        <w:rPr>
          <w:rFonts w:ascii="Book Antiqua" w:hAnsi="Book Antiqua"/>
        </w:rPr>
      </w:pPr>
      <w:r>
        <w:rPr>
          <w:rFonts w:ascii="Book Antiqua" w:hAnsi="Book Antiqua"/>
          <w:u w:val="single"/>
        </w:rPr>
        <w:t xml:space="preserve">Mar 2020 – 28% of authorized units were </w:t>
      </w:r>
      <w:proofErr w:type="gramStart"/>
      <w:r>
        <w:rPr>
          <w:rFonts w:ascii="Book Antiqua" w:hAnsi="Book Antiqua"/>
          <w:u w:val="single"/>
        </w:rPr>
        <w:t>not  used</w:t>
      </w:r>
      <w:proofErr w:type="gramEnd"/>
      <w:r>
        <w:rPr>
          <w:rFonts w:ascii="Book Antiqua" w:hAnsi="Book Antiqua"/>
          <w:u w:val="single"/>
        </w:rPr>
        <w:t>.  Possible reasons include:</w:t>
      </w:r>
    </w:p>
    <w:p w:rsidR="006447EA" w:rsidRDefault="006447EA" w:rsidP="006447EA">
      <w:pPr>
        <w:pStyle w:val="ListParagraph"/>
        <w:numPr>
          <w:ilvl w:val="3"/>
          <w:numId w:val="6"/>
        </w:numPr>
        <w:spacing w:after="0" w:line="240" w:lineRule="auto"/>
        <w:rPr>
          <w:rFonts w:ascii="Book Antiqua" w:hAnsi="Book Antiqua"/>
        </w:rPr>
      </w:pPr>
      <w:r>
        <w:rPr>
          <w:rFonts w:ascii="Book Antiqua" w:hAnsi="Book Antiqua"/>
        </w:rPr>
        <w:lastRenderedPageBreak/>
        <w:t>BF no billing due to COVID-19. AB no billing 1 wk, staff at hospital with child.</w:t>
      </w:r>
    </w:p>
    <w:p w:rsidR="006447EA" w:rsidRDefault="006447EA" w:rsidP="006447EA">
      <w:pPr>
        <w:pStyle w:val="ListParagraph"/>
        <w:numPr>
          <w:ilvl w:val="3"/>
          <w:numId w:val="6"/>
        </w:numPr>
        <w:spacing w:after="0" w:line="240" w:lineRule="auto"/>
        <w:rPr>
          <w:rFonts w:ascii="Book Antiqua" w:hAnsi="Book Antiqua"/>
        </w:rPr>
      </w:pPr>
      <w:r>
        <w:rPr>
          <w:rFonts w:ascii="Book Antiqua" w:hAnsi="Book Antiqua"/>
        </w:rPr>
        <w:t>3 new consumers DA, LW, &amp; JS (SCS).</w:t>
      </w:r>
    </w:p>
    <w:p w:rsidR="006447EA" w:rsidRDefault="006447EA" w:rsidP="006447EA">
      <w:pPr>
        <w:spacing w:after="0" w:line="240" w:lineRule="auto"/>
        <w:ind w:left="1440"/>
        <w:rPr>
          <w:rFonts w:ascii="Book Antiqua" w:hAnsi="Book Antiqua"/>
        </w:rPr>
      </w:pPr>
    </w:p>
    <w:p w:rsidR="006447EA" w:rsidRPr="00811037" w:rsidRDefault="006447EA" w:rsidP="006447EA">
      <w:pPr>
        <w:spacing w:after="0" w:line="240" w:lineRule="auto"/>
        <w:ind w:left="1440"/>
        <w:rPr>
          <w:rFonts w:ascii="Book Antiqua" w:hAnsi="Book Antiqua"/>
          <w:b/>
        </w:rPr>
      </w:pPr>
      <w:r w:rsidRPr="00811037">
        <w:rPr>
          <w:rFonts w:ascii="Book Antiqua" w:hAnsi="Book Antiqua"/>
          <w:b/>
        </w:rPr>
        <w:t>Target only met during January 2020.</w:t>
      </w:r>
    </w:p>
    <w:p w:rsidR="006447EA" w:rsidRDefault="006447EA" w:rsidP="006447EA">
      <w:pPr>
        <w:pStyle w:val="ListParagraph"/>
        <w:rPr>
          <w:rFonts w:ascii="Georgia" w:hAnsi="Georgia"/>
          <w:b/>
        </w:rPr>
      </w:pPr>
    </w:p>
    <w:p w:rsidR="006447EA" w:rsidRDefault="006447EA" w:rsidP="006447EA">
      <w:pPr>
        <w:pStyle w:val="ListParagraph"/>
        <w:rPr>
          <w:rFonts w:ascii="Georgia" w:hAnsi="Georgia"/>
          <w:b/>
        </w:rPr>
      </w:pPr>
      <w:r w:rsidRPr="006D21A8">
        <w:rPr>
          <w:rFonts w:ascii="Georgia" w:hAnsi="Georgia"/>
          <w:b/>
        </w:rPr>
        <w:t>Q2:</w:t>
      </w:r>
    </w:p>
    <w:p w:rsidR="006447EA" w:rsidRPr="00E76838" w:rsidRDefault="006447EA" w:rsidP="006447EA">
      <w:pPr>
        <w:pStyle w:val="ListParagraph"/>
        <w:rPr>
          <w:rFonts w:ascii="Georgia" w:hAnsi="Georgia"/>
          <w:b/>
        </w:rPr>
      </w:pPr>
      <w:r>
        <w:rPr>
          <w:rFonts w:ascii="Book Antiqua" w:hAnsi="Book Antiqua"/>
        </w:rPr>
        <w:t>Units Authorized vs. Units used (CLS, CN) (Approx.)</w:t>
      </w:r>
    </w:p>
    <w:p w:rsidR="006447EA" w:rsidRDefault="006447EA" w:rsidP="006447EA">
      <w:pPr>
        <w:numPr>
          <w:ilvl w:val="2"/>
          <w:numId w:val="6"/>
        </w:numPr>
        <w:spacing w:after="0" w:line="240" w:lineRule="auto"/>
        <w:rPr>
          <w:rFonts w:ascii="Book Antiqua" w:hAnsi="Book Antiqua"/>
        </w:rPr>
      </w:pPr>
      <w:r>
        <w:rPr>
          <w:rFonts w:ascii="Book Antiqua" w:hAnsi="Book Antiqua"/>
        </w:rPr>
        <w:t>April 2020:</w:t>
      </w:r>
    </w:p>
    <w:p w:rsidR="006447EA" w:rsidRDefault="006447EA" w:rsidP="006447EA">
      <w:pPr>
        <w:numPr>
          <w:ilvl w:val="3"/>
          <w:numId w:val="6"/>
        </w:numPr>
        <w:spacing w:after="0" w:line="240" w:lineRule="auto"/>
        <w:rPr>
          <w:rFonts w:ascii="Book Antiqua" w:hAnsi="Book Antiqua"/>
        </w:rPr>
      </w:pPr>
      <w:r>
        <w:rPr>
          <w:rFonts w:ascii="Book Antiqua" w:hAnsi="Book Antiqua"/>
        </w:rPr>
        <w:t>CLS Authorized Units: 11,829</w:t>
      </w:r>
    </w:p>
    <w:p w:rsidR="006447EA" w:rsidRDefault="006447EA" w:rsidP="006447EA">
      <w:pPr>
        <w:numPr>
          <w:ilvl w:val="3"/>
          <w:numId w:val="6"/>
        </w:numPr>
        <w:spacing w:after="0" w:line="240" w:lineRule="auto"/>
        <w:rPr>
          <w:rFonts w:ascii="Book Antiqua" w:hAnsi="Book Antiqua"/>
        </w:rPr>
      </w:pPr>
      <w:r>
        <w:rPr>
          <w:rFonts w:ascii="Book Antiqua" w:hAnsi="Book Antiqua"/>
        </w:rPr>
        <w:t xml:space="preserve">CLS Units </w:t>
      </w:r>
      <w:r w:rsidRPr="00073A12">
        <w:rPr>
          <w:rFonts w:ascii="Book Antiqua" w:hAnsi="Book Antiqua"/>
          <w:b/>
        </w:rPr>
        <w:t>NOT</w:t>
      </w:r>
      <w:r>
        <w:rPr>
          <w:rFonts w:ascii="Book Antiqua" w:hAnsi="Book Antiqua"/>
        </w:rPr>
        <w:t xml:space="preserve"> used: 3,377</w:t>
      </w:r>
    </w:p>
    <w:p w:rsidR="006447EA" w:rsidRDefault="006447EA" w:rsidP="006447EA">
      <w:pPr>
        <w:numPr>
          <w:ilvl w:val="3"/>
          <w:numId w:val="6"/>
        </w:numPr>
        <w:spacing w:after="0" w:line="240" w:lineRule="auto"/>
        <w:rPr>
          <w:rFonts w:ascii="Book Antiqua" w:hAnsi="Book Antiqua"/>
        </w:rPr>
      </w:pPr>
      <w:r>
        <w:rPr>
          <w:rFonts w:ascii="Book Antiqua" w:hAnsi="Book Antiqua"/>
        </w:rPr>
        <w:t>CLS Units used: 8,452</w:t>
      </w:r>
    </w:p>
    <w:p w:rsidR="006447EA" w:rsidRDefault="006447EA" w:rsidP="006447EA">
      <w:pPr>
        <w:numPr>
          <w:ilvl w:val="3"/>
          <w:numId w:val="6"/>
        </w:numPr>
        <w:spacing w:after="0" w:line="240" w:lineRule="auto"/>
        <w:rPr>
          <w:rFonts w:ascii="Book Antiqua" w:hAnsi="Book Antiqua"/>
        </w:rPr>
      </w:pPr>
      <w:r>
        <w:rPr>
          <w:rFonts w:ascii="Book Antiqua" w:hAnsi="Book Antiqua"/>
        </w:rPr>
        <w:t>CLS Approx. Loss: $17,120</w:t>
      </w:r>
    </w:p>
    <w:p w:rsidR="006447EA" w:rsidRDefault="006447EA" w:rsidP="006447EA">
      <w:pPr>
        <w:numPr>
          <w:ilvl w:val="4"/>
          <w:numId w:val="6"/>
        </w:numPr>
        <w:spacing w:after="0" w:line="240" w:lineRule="auto"/>
        <w:rPr>
          <w:rFonts w:ascii="Book Antiqua" w:hAnsi="Book Antiqua"/>
        </w:rPr>
      </w:pPr>
      <w:r>
        <w:rPr>
          <w:rFonts w:ascii="Book Antiqua" w:hAnsi="Book Antiqua"/>
        </w:rPr>
        <w:t>CN Authorized Units: 979</w:t>
      </w:r>
    </w:p>
    <w:p w:rsidR="006447EA" w:rsidRDefault="006447EA" w:rsidP="006447EA">
      <w:pPr>
        <w:numPr>
          <w:ilvl w:val="4"/>
          <w:numId w:val="6"/>
        </w:numPr>
        <w:spacing w:after="0" w:line="240" w:lineRule="auto"/>
        <w:rPr>
          <w:rFonts w:ascii="Book Antiqua" w:hAnsi="Book Antiqua"/>
        </w:rPr>
      </w:pPr>
      <w:r>
        <w:rPr>
          <w:rFonts w:ascii="Book Antiqua" w:hAnsi="Book Antiqua"/>
        </w:rPr>
        <w:t xml:space="preserve">CN Units </w:t>
      </w:r>
      <w:r w:rsidRPr="00B74569">
        <w:rPr>
          <w:rFonts w:ascii="Book Antiqua" w:hAnsi="Book Antiqua"/>
          <w:b/>
        </w:rPr>
        <w:t>NOT</w:t>
      </w:r>
      <w:r>
        <w:rPr>
          <w:rFonts w:ascii="Book Antiqua" w:hAnsi="Book Antiqua"/>
        </w:rPr>
        <w:t xml:space="preserve"> used: -89</w:t>
      </w:r>
    </w:p>
    <w:p w:rsidR="006447EA" w:rsidRDefault="006447EA" w:rsidP="006447EA">
      <w:pPr>
        <w:numPr>
          <w:ilvl w:val="4"/>
          <w:numId w:val="6"/>
        </w:numPr>
        <w:spacing w:after="0" w:line="240" w:lineRule="auto"/>
        <w:rPr>
          <w:rFonts w:ascii="Book Antiqua" w:hAnsi="Book Antiqua"/>
        </w:rPr>
      </w:pPr>
      <w:r>
        <w:rPr>
          <w:rFonts w:ascii="Book Antiqua" w:hAnsi="Book Antiqua"/>
        </w:rPr>
        <w:t>CN Units used: 1,068</w:t>
      </w:r>
    </w:p>
    <w:p w:rsidR="006447EA" w:rsidRPr="00B74569" w:rsidRDefault="006447EA" w:rsidP="006447EA">
      <w:pPr>
        <w:numPr>
          <w:ilvl w:val="4"/>
          <w:numId w:val="6"/>
        </w:numPr>
        <w:spacing w:after="0" w:line="240" w:lineRule="auto"/>
        <w:rPr>
          <w:rFonts w:ascii="Book Antiqua" w:hAnsi="Book Antiqua"/>
        </w:rPr>
      </w:pPr>
      <w:r>
        <w:rPr>
          <w:rFonts w:ascii="Book Antiqua" w:hAnsi="Book Antiqua"/>
        </w:rPr>
        <w:t>CN Approx. Loss: +$465</w:t>
      </w:r>
    </w:p>
    <w:p w:rsidR="006447EA" w:rsidRDefault="006447EA" w:rsidP="006447EA">
      <w:pPr>
        <w:numPr>
          <w:ilvl w:val="2"/>
          <w:numId w:val="6"/>
        </w:numPr>
        <w:spacing w:after="0" w:line="240" w:lineRule="auto"/>
        <w:rPr>
          <w:rFonts w:ascii="Book Antiqua" w:hAnsi="Book Antiqua"/>
        </w:rPr>
      </w:pPr>
      <w:r>
        <w:rPr>
          <w:rFonts w:ascii="Book Antiqua" w:hAnsi="Book Antiqua"/>
        </w:rPr>
        <w:t>May 2020:</w:t>
      </w:r>
    </w:p>
    <w:p w:rsidR="006447EA" w:rsidRDefault="006447EA" w:rsidP="006447EA">
      <w:pPr>
        <w:numPr>
          <w:ilvl w:val="3"/>
          <w:numId w:val="6"/>
        </w:numPr>
        <w:spacing w:after="0" w:line="240" w:lineRule="auto"/>
        <w:rPr>
          <w:rFonts w:ascii="Book Antiqua" w:hAnsi="Book Antiqua"/>
        </w:rPr>
      </w:pPr>
      <w:r>
        <w:rPr>
          <w:rFonts w:ascii="Book Antiqua" w:hAnsi="Book Antiqua"/>
        </w:rPr>
        <w:t>CLS Authorized Units: 11,829</w:t>
      </w:r>
    </w:p>
    <w:p w:rsidR="006447EA" w:rsidRDefault="006447EA" w:rsidP="006447EA">
      <w:pPr>
        <w:numPr>
          <w:ilvl w:val="3"/>
          <w:numId w:val="6"/>
        </w:numPr>
        <w:spacing w:after="0" w:line="240" w:lineRule="auto"/>
        <w:rPr>
          <w:rFonts w:ascii="Book Antiqua" w:hAnsi="Book Antiqua"/>
        </w:rPr>
      </w:pPr>
      <w:r>
        <w:rPr>
          <w:rFonts w:ascii="Book Antiqua" w:hAnsi="Book Antiqua"/>
        </w:rPr>
        <w:t xml:space="preserve">CLS Units </w:t>
      </w:r>
      <w:r w:rsidRPr="00073A12">
        <w:rPr>
          <w:rFonts w:ascii="Book Antiqua" w:hAnsi="Book Antiqua"/>
          <w:b/>
        </w:rPr>
        <w:t>NOT</w:t>
      </w:r>
      <w:r>
        <w:rPr>
          <w:rFonts w:ascii="Book Antiqua" w:hAnsi="Book Antiqua"/>
        </w:rPr>
        <w:t xml:space="preserve"> used: 3,380</w:t>
      </w:r>
    </w:p>
    <w:p w:rsidR="006447EA" w:rsidRDefault="006447EA" w:rsidP="006447EA">
      <w:pPr>
        <w:numPr>
          <w:ilvl w:val="3"/>
          <w:numId w:val="6"/>
        </w:numPr>
        <w:spacing w:after="0" w:line="240" w:lineRule="auto"/>
        <w:rPr>
          <w:rFonts w:ascii="Book Antiqua" w:hAnsi="Book Antiqua"/>
        </w:rPr>
      </w:pPr>
      <w:r>
        <w:rPr>
          <w:rFonts w:ascii="Book Antiqua" w:hAnsi="Book Antiqua"/>
        </w:rPr>
        <w:t>CLS Units used: 8,459</w:t>
      </w:r>
    </w:p>
    <w:p w:rsidR="006447EA" w:rsidRDefault="006447EA" w:rsidP="006447EA">
      <w:pPr>
        <w:numPr>
          <w:ilvl w:val="3"/>
          <w:numId w:val="6"/>
        </w:numPr>
        <w:spacing w:after="0" w:line="240" w:lineRule="auto"/>
        <w:rPr>
          <w:rFonts w:ascii="Book Antiqua" w:hAnsi="Book Antiqua"/>
        </w:rPr>
      </w:pPr>
      <w:r>
        <w:rPr>
          <w:rFonts w:ascii="Book Antiqua" w:hAnsi="Book Antiqua"/>
        </w:rPr>
        <w:t>CLS Approx. Loss: $17,000</w:t>
      </w:r>
    </w:p>
    <w:p w:rsidR="006447EA" w:rsidRDefault="006447EA" w:rsidP="006447EA">
      <w:pPr>
        <w:numPr>
          <w:ilvl w:val="4"/>
          <w:numId w:val="6"/>
        </w:numPr>
        <w:spacing w:after="0" w:line="240" w:lineRule="auto"/>
        <w:rPr>
          <w:rFonts w:ascii="Book Antiqua" w:hAnsi="Book Antiqua"/>
        </w:rPr>
      </w:pPr>
      <w:r>
        <w:rPr>
          <w:rFonts w:ascii="Book Antiqua" w:hAnsi="Book Antiqua"/>
        </w:rPr>
        <w:t>CN Authorized Units: 979</w:t>
      </w:r>
    </w:p>
    <w:p w:rsidR="006447EA" w:rsidRDefault="006447EA" w:rsidP="006447EA">
      <w:pPr>
        <w:numPr>
          <w:ilvl w:val="4"/>
          <w:numId w:val="6"/>
        </w:numPr>
        <w:spacing w:after="0" w:line="240" w:lineRule="auto"/>
        <w:rPr>
          <w:rFonts w:ascii="Book Antiqua" w:hAnsi="Book Antiqua"/>
        </w:rPr>
      </w:pPr>
      <w:r>
        <w:rPr>
          <w:rFonts w:ascii="Book Antiqua" w:hAnsi="Book Antiqua"/>
        </w:rPr>
        <w:t xml:space="preserve">CN Units </w:t>
      </w:r>
      <w:r w:rsidRPr="00B74569">
        <w:rPr>
          <w:rFonts w:ascii="Book Antiqua" w:hAnsi="Book Antiqua"/>
          <w:b/>
        </w:rPr>
        <w:t>NOT</w:t>
      </w:r>
      <w:r>
        <w:rPr>
          <w:rFonts w:ascii="Book Antiqua" w:hAnsi="Book Antiqua"/>
        </w:rPr>
        <w:t xml:space="preserve"> used: -5</w:t>
      </w:r>
    </w:p>
    <w:p w:rsidR="006447EA" w:rsidRDefault="006447EA" w:rsidP="006447EA">
      <w:pPr>
        <w:numPr>
          <w:ilvl w:val="4"/>
          <w:numId w:val="6"/>
        </w:numPr>
        <w:spacing w:after="0" w:line="240" w:lineRule="auto"/>
        <w:rPr>
          <w:rFonts w:ascii="Book Antiqua" w:hAnsi="Book Antiqua"/>
        </w:rPr>
      </w:pPr>
      <w:r>
        <w:rPr>
          <w:rFonts w:ascii="Book Antiqua" w:hAnsi="Book Antiqua"/>
        </w:rPr>
        <w:t>CN Units used: 984</w:t>
      </w:r>
    </w:p>
    <w:p w:rsidR="006447EA" w:rsidRDefault="006447EA" w:rsidP="006447EA">
      <w:pPr>
        <w:numPr>
          <w:ilvl w:val="4"/>
          <w:numId w:val="6"/>
        </w:numPr>
        <w:spacing w:after="0" w:line="240" w:lineRule="auto"/>
        <w:rPr>
          <w:rFonts w:ascii="Book Antiqua" w:hAnsi="Book Antiqua"/>
        </w:rPr>
      </w:pPr>
      <w:r>
        <w:rPr>
          <w:rFonts w:ascii="Book Antiqua" w:hAnsi="Book Antiqua"/>
        </w:rPr>
        <w:t>CN Approx. Loss: +$26</w:t>
      </w:r>
    </w:p>
    <w:p w:rsidR="006447EA" w:rsidRDefault="006447EA" w:rsidP="006447EA">
      <w:pPr>
        <w:numPr>
          <w:ilvl w:val="2"/>
          <w:numId w:val="6"/>
        </w:numPr>
        <w:spacing w:after="0" w:line="240" w:lineRule="auto"/>
        <w:rPr>
          <w:rFonts w:ascii="Book Antiqua" w:hAnsi="Book Antiqua"/>
        </w:rPr>
      </w:pPr>
      <w:r>
        <w:rPr>
          <w:rFonts w:ascii="Book Antiqua" w:hAnsi="Book Antiqua"/>
        </w:rPr>
        <w:t>June 2020:</w:t>
      </w:r>
    </w:p>
    <w:p w:rsidR="006447EA" w:rsidRDefault="006447EA" w:rsidP="006447EA">
      <w:pPr>
        <w:numPr>
          <w:ilvl w:val="3"/>
          <w:numId w:val="6"/>
        </w:numPr>
        <w:spacing w:after="0" w:line="240" w:lineRule="auto"/>
        <w:rPr>
          <w:rFonts w:ascii="Book Antiqua" w:hAnsi="Book Antiqua"/>
        </w:rPr>
      </w:pPr>
      <w:r>
        <w:rPr>
          <w:rFonts w:ascii="Book Antiqua" w:hAnsi="Book Antiqua"/>
        </w:rPr>
        <w:t>CLS Authorized Units: 10,911</w:t>
      </w:r>
    </w:p>
    <w:p w:rsidR="006447EA" w:rsidRDefault="006447EA" w:rsidP="006447EA">
      <w:pPr>
        <w:numPr>
          <w:ilvl w:val="3"/>
          <w:numId w:val="6"/>
        </w:numPr>
        <w:spacing w:after="0" w:line="240" w:lineRule="auto"/>
        <w:rPr>
          <w:rFonts w:ascii="Book Antiqua" w:hAnsi="Book Antiqua"/>
        </w:rPr>
      </w:pPr>
      <w:r>
        <w:rPr>
          <w:rFonts w:ascii="Book Antiqua" w:hAnsi="Book Antiqua"/>
        </w:rPr>
        <w:t xml:space="preserve">CLS Units </w:t>
      </w:r>
      <w:r w:rsidRPr="00073A12">
        <w:rPr>
          <w:rFonts w:ascii="Book Antiqua" w:hAnsi="Book Antiqua"/>
          <w:b/>
        </w:rPr>
        <w:t>NOT</w:t>
      </w:r>
      <w:r>
        <w:rPr>
          <w:rFonts w:ascii="Book Antiqua" w:hAnsi="Book Antiqua"/>
        </w:rPr>
        <w:t xml:space="preserve"> used: 3,049</w:t>
      </w:r>
    </w:p>
    <w:p w:rsidR="006447EA" w:rsidRDefault="006447EA" w:rsidP="006447EA">
      <w:pPr>
        <w:numPr>
          <w:ilvl w:val="3"/>
          <w:numId w:val="6"/>
        </w:numPr>
        <w:spacing w:after="0" w:line="240" w:lineRule="auto"/>
        <w:rPr>
          <w:rFonts w:ascii="Book Antiqua" w:hAnsi="Book Antiqua"/>
        </w:rPr>
      </w:pPr>
      <w:r>
        <w:rPr>
          <w:rFonts w:ascii="Book Antiqua" w:hAnsi="Book Antiqua"/>
        </w:rPr>
        <w:t>CLS Units used: 7,862</w:t>
      </w:r>
    </w:p>
    <w:p w:rsidR="006447EA" w:rsidRDefault="006447EA" w:rsidP="006447EA">
      <w:pPr>
        <w:numPr>
          <w:ilvl w:val="3"/>
          <w:numId w:val="6"/>
        </w:numPr>
        <w:spacing w:after="0" w:line="240" w:lineRule="auto"/>
        <w:rPr>
          <w:rFonts w:ascii="Book Antiqua" w:hAnsi="Book Antiqua"/>
        </w:rPr>
      </w:pPr>
      <w:r>
        <w:rPr>
          <w:rFonts w:ascii="Book Antiqua" w:hAnsi="Book Antiqua"/>
        </w:rPr>
        <w:t>CLS Approx. Loss: $15,500</w:t>
      </w:r>
    </w:p>
    <w:p w:rsidR="006447EA" w:rsidRDefault="006447EA" w:rsidP="006447EA">
      <w:pPr>
        <w:numPr>
          <w:ilvl w:val="4"/>
          <w:numId w:val="6"/>
        </w:numPr>
        <w:spacing w:after="0" w:line="240" w:lineRule="auto"/>
        <w:rPr>
          <w:rFonts w:ascii="Book Antiqua" w:hAnsi="Book Antiqua"/>
        </w:rPr>
      </w:pPr>
      <w:r>
        <w:rPr>
          <w:rFonts w:ascii="Book Antiqua" w:hAnsi="Book Antiqua"/>
        </w:rPr>
        <w:t>CN Authorized Units: 979</w:t>
      </w:r>
    </w:p>
    <w:p w:rsidR="006447EA" w:rsidRDefault="006447EA" w:rsidP="006447EA">
      <w:pPr>
        <w:numPr>
          <w:ilvl w:val="4"/>
          <w:numId w:val="6"/>
        </w:numPr>
        <w:spacing w:after="0" w:line="240" w:lineRule="auto"/>
        <w:rPr>
          <w:rFonts w:ascii="Book Antiqua" w:hAnsi="Book Antiqua"/>
        </w:rPr>
      </w:pPr>
      <w:r>
        <w:rPr>
          <w:rFonts w:ascii="Book Antiqua" w:hAnsi="Book Antiqua"/>
        </w:rPr>
        <w:lastRenderedPageBreak/>
        <w:t xml:space="preserve">CN Units </w:t>
      </w:r>
      <w:r w:rsidRPr="00B74569">
        <w:rPr>
          <w:rFonts w:ascii="Book Antiqua" w:hAnsi="Book Antiqua"/>
          <w:b/>
        </w:rPr>
        <w:t>NOT</w:t>
      </w:r>
      <w:r>
        <w:rPr>
          <w:rFonts w:ascii="Book Antiqua" w:hAnsi="Book Antiqua"/>
        </w:rPr>
        <w:t xml:space="preserve"> used: -131</w:t>
      </w:r>
    </w:p>
    <w:p w:rsidR="006447EA" w:rsidRDefault="006447EA" w:rsidP="006447EA">
      <w:pPr>
        <w:numPr>
          <w:ilvl w:val="4"/>
          <w:numId w:val="6"/>
        </w:numPr>
        <w:spacing w:after="0" w:line="240" w:lineRule="auto"/>
        <w:rPr>
          <w:rFonts w:ascii="Book Antiqua" w:hAnsi="Book Antiqua"/>
        </w:rPr>
      </w:pPr>
      <w:r>
        <w:rPr>
          <w:rFonts w:ascii="Book Antiqua" w:hAnsi="Book Antiqua"/>
        </w:rPr>
        <w:t>CN Units used: 1,110</w:t>
      </w:r>
    </w:p>
    <w:p w:rsidR="006447EA" w:rsidRDefault="006447EA" w:rsidP="006447EA">
      <w:pPr>
        <w:numPr>
          <w:ilvl w:val="4"/>
          <w:numId w:val="6"/>
        </w:numPr>
        <w:spacing w:after="0" w:line="240" w:lineRule="auto"/>
        <w:rPr>
          <w:rFonts w:ascii="Book Antiqua" w:hAnsi="Book Antiqua"/>
        </w:rPr>
      </w:pPr>
      <w:r>
        <w:rPr>
          <w:rFonts w:ascii="Book Antiqua" w:hAnsi="Book Antiqua"/>
        </w:rPr>
        <w:t>CN Approx. Loss: +$685</w:t>
      </w:r>
    </w:p>
    <w:p w:rsidR="006447EA" w:rsidRPr="00862D51" w:rsidRDefault="006447EA" w:rsidP="006447EA">
      <w:pPr>
        <w:rPr>
          <w:rFonts w:ascii="Book Antiqua" w:hAnsi="Book Antiqua"/>
        </w:rPr>
      </w:pPr>
    </w:p>
    <w:p w:rsidR="006447EA" w:rsidRDefault="006447EA" w:rsidP="006447EA">
      <w:pPr>
        <w:numPr>
          <w:ilvl w:val="0"/>
          <w:numId w:val="6"/>
        </w:numPr>
        <w:spacing w:after="0" w:line="240" w:lineRule="auto"/>
        <w:rPr>
          <w:rFonts w:ascii="Book Antiqua" w:hAnsi="Book Antiqua"/>
          <w:u w:val="single"/>
        </w:rPr>
      </w:pPr>
      <w:r>
        <w:rPr>
          <w:rFonts w:ascii="Book Antiqua" w:hAnsi="Book Antiqua"/>
          <w:u w:val="single"/>
        </w:rPr>
        <w:t>Innovations– Number of Total Authorized Units Used</w:t>
      </w:r>
    </w:p>
    <w:p w:rsidR="006447EA" w:rsidRDefault="006447EA" w:rsidP="006447EA">
      <w:pPr>
        <w:numPr>
          <w:ilvl w:val="1"/>
          <w:numId w:val="6"/>
        </w:numPr>
        <w:spacing w:after="0" w:line="240" w:lineRule="auto"/>
        <w:rPr>
          <w:rFonts w:ascii="Book Antiqua" w:hAnsi="Book Antiqua"/>
          <w:u w:val="single"/>
        </w:rPr>
      </w:pPr>
      <w:r>
        <w:rPr>
          <w:rFonts w:ascii="Book Antiqua" w:hAnsi="Book Antiqua"/>
        </w:rPr>
        <w:t>2020 compared to 2019 data</w:t>
      </w:r>
    </w:p>
    <w:p w:rsidR="006447EA" w:rsidRDefault="006447EA" w:rsidP="006447EA">
      <w:pPr>
        <w:rPr>
          <w:rFonts w:ascii="Book Antiqua" w:hAnsi="Book Antiqua"/>
        </w:rPr>
      </w:pPr>
      <w:r>
        <w:rPr>
          <w:rFonts w:ascii="Book Antiqua" w:hAnsi="Book Antiqua"/>
          <w:noProof/>
        </w:rPr>
        <w:drawing>
          <wp:inline distT="0" distB="0" distL="0" distR="0">
            <wp:extent cx="6257925" cy="1933575"/>
            <wp:effectExtent l="19050" t="0" r="0" b="0"/>
            <wp:docPr id="6"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447EA" w:rsidRDefault="006447EA" w:rsidP="006447EA">
      <w:pPr>
        <w:pStyle w:val="ListParagraph"/>
        <w:rPr>
          <w:rFonts w:ascii="Georgia" w:hAnsi="Georgia"/>
          <w:b/>
        </w:rPr>
      </w:pPr>
      <w:r>
        <w:rPr>
          <w:rFonts w:ascii="Georgia" w:hAnsi="Georgia"/>
          <w:b/>
        </w:rPr>
        <w:t>2</w:t>
      </w:r>
      <w:r w:rsidRPr="005A36E9">
        <w:rPr>
          <w:rFonts w:ascii="Georgia" w:hAnsi="Georgia"/>
          <w:b/>
          <w:vertAlign w:val="superscript"/>
        </w:rPr>
        <w:t>nd</w:t>
      </w:r>
      <w:r>
        <w:rPr>
          <w:rFonts w:ascii="Georgia" w:hAnsi="Georgia"/>
          <w:b/>
        </w:rPr>
        <w:t xml:space="preserve"> Quarter Analysis:</w:t>
      </w:r>
    </w:p>
    <w:p w:rsidR="006447EA" w:rsidRPr="00811D09" w:rsidRDefault="006447EA" w:rsidP="006447EA">
      <w:pPr>
        <w:pStyle w:val="ListParagraph"/>
        <w:numPr>
          <w:ilvl w:val="2"/>
          <w:numId w:val="6"/>
        </w:numPr>
        <w:spacing w:after="0" w:line="240" w:lineRule="auto"/>
        <w:rPr>
          <w:rFonts w:ascii="Book Antiqua" w:hAnsi="Book Antiqua"/>
        </w:rPr>
      </w:pPr>
      <w:r>
        <w:rPr>
          <w:rFonts w:ascii="Book Antiqua" w:hAnsi="Book Antiqua"/>
          <w:u w:val="single"/>
        </w:rPr>
        <w:t xml:space="preserve">April 2020 – 20% of authorized units were </w:t>
      </w:r>
      <w:proofErr w:type="gramStart"/>
      <w:r>
        <w:rPr>
          <w:rFonts w:ascii="Book Antiqua" w:hAnsi="Book Antiqua"/>
          <w:u w:val="single"/>
        </w:rPr>
        <w:t>not  used</w:t>
      </w:r>
      <w:proofErr w:type="gramEnd"/>
      <w:r>
        <w:rPr>
          <w:rFonts w:ascii="Book Antiqua" w:hAnsi="Book Antiqua"/>
          <w:u w:val="single"/>
        </w:rPr>
        <w:t>.  Possible reasons include:</w:t>
      </w:r>
    </w:p>
    <w:p w:rsidR="006447EA" w:rsidRDefault="006447EA" w:rsidP="006447EA">
      <w:pPr>
        <w:pStyle w:val="ListParagraph"/>
        <w:numPr>
          <w:ilvl w:val="3"/>
          <w:numId w:val="6"/>
        </w:numPr>
        <w:spacing w:after="0" w:line="240" w:lineRule="auto"/>
        <w:rPr>
          <w:rFonts w:ascii="Book Antiqua" w:hAnsi="Book Antiqua"/>
        </w:rPr>
      </w:pPr>
      <w:r>
        <w:rPr>
          <w:rFonts w:ascii="Book Antiqua" w:hAnsi="Book Antiqua"/>
        </w:rPr>
        <w:t>COVID-19. Hours increased for some. Services provided in-home by parent/guardian for some. Many staff not working. Unit usage has been consistent even during the pandemic.</w:t>
      </w:r>
    </w:p>
    <w:p w:rsidR="006447EA" w:rsidRPr="00811D09" w:rsidRDefault="006447EA" w:rsidP="006447EA">
      <w:pPr>
        <w:pStyle w:val="ListParagraph"/>
        <w:numPr>
          <w:ilvl w:val="2"/>
          <w:numId w:val="6"/>
        </w:numPr>
        <w:spacing w:after="0" w:line="240" w:lineRule="auto"/>
        <w:rPr>
          <w:rFonts w:ascii="Book Antiqua" w:hAnsi="Book Antiqua"/>
        </w:rPr>
      </w:pPr>
      <w:r>
        <w:rPr>
          <w:rFonts w:ascii="Book Antiqua" w:hAnsi="Book Antiqua"/>
          <w:u w:val="single"/>
        </w:rPr>
        <w:t xml:space="preserve">May 2020 – 20% of authorized units were </w:t>
      </w:r>
      <w:proofErr w:type="gramStart"/>
      <w:r>
        <w:rPr>
          <w:rFonts w:ascii="Book Antiqua" w:hAnsi="Book Antiqua"/>
          <w:u w:val="single"/>
        </w:rPr>
        <w:t>not  used</w:t>
      </w:r>
      <w:proofErr w:type="gramEnd"/>
      <w:r>
        <w:rPr>
          <w:rFonts w:ascii="Book Antiqua" w:hAnsi="Book Antiqua"/>
          <w:u w:val="single"/>
        </w:rPr>
        <w:t>.  Possible reasons include:</w:t>
      </w:r>
    </w:p>
    <w:p w:rsidR="006447EA" w:rsidRPr="000853F8" w:rsidRDefault="006447EA" w:rsidP="006447EA">
      <w:pPr>
        <w:pStyle w:val="ListParagraph"/>
        <w:numPr>
          <w:ilvl w:val="3"/>
          <w:numId w:val="6"/>
        </w:numPr>
        <w:spacing w:after="0" w:line="240" w:lineRule="auto"/>
        <w:rPr>
          <w:rFonts w:ascii="Book Antiqua" w:hAnsi="Book Antiqua"/>
        </w:rPr>
      </w:pPr>
      <w:r>
        <w:rPr>
          <w:rFonts w:ascii="Book Antiqua" w:hAnsi="Book Antiqua"/>
        </w:rPr>
        <w:t xml:space="preserve">COVID-19. Hours increased for some. Services provided in-home by parent/guardian for some. Many staff not working. Unit usage has been consistent even during the pandemic. </w:t>
      </w:r>
    </w:p>
    <w:p w:rsidR="006447EA" w:rsidRPr="00811D09" w:rsidRDefault="006447EA" w:rsidP="006447EA">
      <w:pPr>
        <w:pStyle w:val="ListParagraph"/>
        <w:numPr>
          <w:ilvl w:val="2"/>
          <w:numId w:val="6"/>
        </w:numPr>
        <w:spacing w:after="0" w:line="240" w:lineRule="auto"/>
        <w:rPr>
          <w:rFonts w:ascii="Book Antiqua" w:hAnsi="Book Antiqua"/>
        </w:rPr>
      </w:pPr>
      <w:r>
        <w:rPr>
          <w:rFonts w:ascii="Book Antiqua" w:hAnsi="Book Antiqua"/>
          <w:u w:val="single"/>
        </w:rPr>
        <w:t xml:space="preserve">June 2020 – 25% of authorized units were </w:t>
      </w:r>
      <w:proofErr w:type="gramStart"/>
      <w:r>
        <w:rPr>
          <w:rFonts w:ascii="Book Antiqua" w:hAnsi="Book Antiqua"/>
          <w:u w:val="single"/>
        </w:rPr>
        <w:t>not  used</w:t>
      </w:r>
      <w:proofErr w:type="gramEnd"/>
      <w:r>
        <w:rPr>
          <w:rFonts w:ascii="Book Antiqua" w:hAnsi="Book Antiqua"/>
          <w:u w:val="single"/>
        </w:rPr>
        <w:t>.  Possible reasons include:</w:t>
      </w:r>
    </w:p>
    <w:p w:rsidR="006447EA" w:rsidRPr="009629AD" w:rsidRDefault="006447EA" w:rsidP="006447EA">
      <w:pPr>
        <w:pStyle w:val="ListParagraph"/>
        <w:numPr>
          <w:ilvl w:val="3"/>
          <w:numId w:val="6"/>
        </w:numPr>
        <w:spacing w:after="0" w:line="240" w:lineRule="auto"/>
        <w:rPr>
          <w:rFonts w:ascii="Georgia" w:hAnsi="Georgia"/>
          <w:b/>
        </w:rPr>
      </w:pPr>
      <w:r w:rsidRPr="009629AD">
        <w:rPr>
          <w:rFonts w:ascii="Book Antiqua" w:hAnsi="Book Antiqua"/>
        </w:rPr>
        <w:t xml:space="preserve">COVID-19. Hours increased for some. Services provided in-home by parent/guardian for some. Many staff not working. Unit usage has been consistent even during the pandemic. </w:t>
      </w:r>
    </w:p>
    <w:p w:rsidR="006447EA" w:rsidRDefault="006447EA" w:rsidP="006447EA">
      <w:pPr>
        <w:pStyle w:val="ListParagraph"/>
        <w:spacing w:after="0" w:line="240" w:lineRule="auto"/>
        <w:rPr>
          <w:rFonts w:ascii="Book Antiqua" w:hAnsi="Book Antiqua"/>
          <w:b/>
        </w:rPr>
      </w:pPr>
    </w:p>
    <w:p w:rsidR="006447EA" w:rsidRPr="00811037" w:rsidRDefault="006447EA" w:rsidP="006447EA">
      <w:pPr>
        <w:pStyle w:val="ListParagraph"/>
        <w:spacing w:after="0" w:line="240" w:lineRule="auto"/>
        <w:rPr>
          <w:rFonts w:ascii="Book Antiqua" w:hAnsi="Book Antiqua"/>
          <w:b/>
        </w:rPr>
      </w:pPr>
      <w:r>
        <w:rPr>
          <w:rFonts w:ascii="Book Antiqua" w:hAnsi="Book Antiqua"/>
          <w:b/>
        </w:rPr>
        <w:t>2</w:t>
      </w:r>
      <w:r w:rsidRPr="00811037">
        <w:rPr>
          <w:rFonts w:ascii="Book Antiqua" w:hAnsi="Book Antiqua"/>
          <w:b/>
          <w:vertAlign w:val="superscript"/>
        </w:rPr>
        <w:t>nd</w:t>
      </w:r>
      <w:r>
        <w:rPr>
          <w:rFonts w:ascii="Book Antiqua" w:hAnsi="Book Antiqua"/>
          <w:b/>
        </w:rPr>
        <w:t xml:space="preserve"> quarter was greatly affected by Covid-19.  Target not met during any month in second quarter.</w:t>
      </w:r>
    </w:p>
    <w:p w:rsidR="006447EA" w:rsidRDefault="006447EA" w:rsidP="006447EA">
      <w:pPr>
        <w:pStyle w:val="ListParagraph"/>
        <w:rPr>
          <w:rFonts w:ascii="Georgia" w:hAnsi="Georgia"/>
          <w:b/>
        </w:rPr>
      </w:pPr>
    </w:p>
    <w:p w:rsidR="006447EA" w:rsidRDefault="006447EA" w:rsidP="006447EA">
      <w:pPr>
        <w:pStyle w:val="ListParagraph"/>
        <w:rPr>
          <w:rFonts w:ascii="Georgia" w:hAnsi="Georgia"/>
          <w:b/>
        </w:rPr>
      </w:pPr>
      <w:r w:rsidRPr="006D21A8">
        <w:rPr>
          <w:rFonts w:ascii="Georgia" w:hAnsi="Georgia"/>
          <w:b/>
        </w:rPr>
        <w:lastRenderedPageBreak/>
        <w:t>Q3:</w:t>
      </w:r>
    </w:p>
    <w:p w:rsidR="006447EA" w:rsidRPr="00E76838" w:rsidRDefault="006447EA" w:rsidP="006447EA">
      <w:pPr>
        <w:pStyle w:val="ListParagraph"/>
        <w:rPr>
          <w:rFonts w:ascii="Georgia" w:hAnsi="Georgia"/>
          <w:b/>
        </w:rPr>
      </w:pPr>
      <w:r>
        <w:rPr>
          <w:rFonts w:ascii="Book Antiqua" w:hAnsi="Book Antiqua"/>
        </w:rPr>
        <w:t>Units Authorized vs. Units used (CLS, CN) (Approx.)</w:t>
      </w:r>
    </w:p>
    <w:p w:rsidR="006447EA" w:rsidRDefault="006447EA" w:rsidP="006447EA">
      <w:pPr>
        <w:numPr>
          <w:ilvl w:val="2"/>
          <w:numId w:val="6"/>
        </w:numPr>
        <w:spacing w:after="0" w:line="240" w:lineRule="auto"/>
        <w:rPr>
          <w:rFonts w:ascii="Book Antiqua" w:hAnsi="Book Antiqua"/>
        </w:rPr>
      </w:pPr>
      <w:r>
        <w:rPr>
          <w:rFonts w:ascii="Book Antiqua" w:hAnsi="Book Antiqua"/>
        </w:rPr>
        <w:t>July 2020:</w:t>
      </w:r>
    </w:p>
    <w:p w:rsidR="006447EA" w:rsidRDefault="006447EA" w:rsidP="006447EA">
      <w:pPr>
        <w:numPr>
          <w:ilvl w:val="3"/>
          <w:numId w:val="6"/>
        </w:numPr>
        <w:spacing w:after="0" w:line="240" w:lineRule="auto"/>
        <w:rPr>
          <w:rFonts w:ascii="Book Antiqua" w:hAnsi="Book Antiqua"/>
        </w:rPr>
      </w:pPr>
      <w:r>
        <w:rPr>
          <w:rFonts w:ascii="Book Antiqua" w:hAnsi="Book Antiqua"/>
        </w:rPr>
        <w:t>CLS Authorized Units: 10,116</w:t>
      </w:r>
    </w:p>
    <w:p w:rsidR="006447EA" w:rsidRDefault="006447EA" w:rsidP="006447EA">
      <w:pPr>
        <w:numPr>
          <w:ilvl w:val="3"/>
          <w:numId w:val="6"/>
        </w:numPr>
        <w:spacing w:after="0" w:line="240" w:lineRule="auto"/>
        <w:rPr>
          <w:rFonts w:ascii="Book Antiqua" w:hAnsi="Book Antiqua"/>
        </w:rPr>
      </w:pPr>
      <w:r>
        <w:rPr>
          <w:rFonts w:ascii="Book Antiqua" w:hAnsi="Book Antiqua"/>
        </w:rPr>
        <w:t xml:space="preserve">CLS Units </w:t>
      </w:r>
      <w:r w:rsidRPr="00073A12">
        <w:rPr>
          <w:rFonts w:ascii="Book Antiqua" w:hAnsi="Book Antiqua"/>
          <w:b/>
        </w:rPr>
        <w:t>NOT</w:t>
      </w:r>
      <w:r>
        <w:rPr>
          <w:rFonts w:ascii="Book Antiqua" w:hAnsi="Book Antiqua"/>
        </w:rPr>
        <w:t xml:space="preserve"> used: 1,860</w:t>
      </w:r>
    </w:p>
    <w:p w:rsidR="006447EA" w:rsidRDefault="006447EA" w:rsidP="006447EA">
      <w:pPr>
        <w:numPr>
          <w:ilvl w:val="3"/>
          <w:numId w:val="6"/>
        </w:numPr>
        <w:spacing w:after="0" w:line="240" w:lineRule="auto"/>
        <w:rPr>
          <w:rFonts w:ascii="Book Antiqua" w:hAnsi="Book Antiqua"/>
        </w:rPr>
      </w:pPr>
      <w:r>
        <w:rPr>
          <w:rFonts w:ascii="Book Antiqua" w:hAnsi="Book Antiqua"/>
        </w:rPr>
        <w:t>CLS Units used: 8,256</w:t>
      </w:r>
    </w:p>
    <w:p w:rsidR="006447EA" w:rsidRDefault="006447EA" w:rsidP="006447EA">
      <w:pPr>
        <w:numPr>
          <w:ilvl w:val="3"/>
          <w:numId w:val="6"/>
        </w:numPr>
        <w:spacing w:after="0" w:line="240" w:lineRule="auto"/>
        <w:rPr>
          <w:rFonts w:ascii="Book Antiqua" w:hAnsi="Book Antiqua"/>
        </w:rPr>
      </w:pPr>
      <w:r>
        <w:rPr>
          <w:rFonts w:ascii="Book Antiqua" w:hAnsi="Book Antiqua"/>
        </w:rPr>
        <w:t>CLS Approx. Loss: $9,430</w:t>
      </w:r>
    </w:p>
    <w:p w:rsidR="006447EA" w:rsidRDefault="006447EA" w:rsidP="006447EA">
      <w:pPr>
        <w:numPr>
          <w:ilvl w:val="4"/>
          <w:numId w:val="6"/>
        </w:numPr>
        <w:spacing w:after="0" w:line="240" w:lineRule="auto"/>
        <w:rPr>
          <w:rFonts w:ascii="Book Antiqua" w:hAnsi="Book Antiqua"/>
        </w:rPr>
      </w:pPr>
      <w:r>
        <w:rPr>
          <w:rFonts w:ascii="Book Antiqua" w:hAnsi="Book Antiqua"/>
        </w:rPr>
        <w:t>CN Authorized Units: 979</w:t>
      </w:r>
    </w:p>
    <w:p w:rsidR="006447EA" w:rsidRDefault="006447EA" w:rsidP="006447EA">
      <w:pPr>
        <w:numPr>
          <w:ilvl w:val="4"/>
          <w:numId w:val="6"/>
        </w:numPr>
        <w:spacing w:after="0" w:line="240" w:lineRule="auto"/>
        <w:rPr>
          <w:rFonts w:ascii="Book Antiqua" w:hAnsi="Book Antiqua"/>
        </w:rPr>
      </w:pPr>
      <w:r>
        <w:rPr>
          <w:rFonts w:ascii="Book Antiqua" w:hAnsi="Book Antiqua"/>
        </w:rPr>
        <w:t xml:space="preserve">CN Units </w:t>
      </w:r>
      <w:r w:rsidRPr="00B74569">
        <w:rPr>
          <w:rFonts w:ascii="Book Antiqua" w:hAnsi="Book Antiqua"/>
          <w:b/>
        </w:rPr>
        <w:t>NOT</w:t>
      </w:r>
      <w:r>
        <w:rPr>
          <w:rFonts w:ascii="Book Antiqua" w:hAnsi="Book Antiqua"/>
        </w:rPr>
        <w:t xml:space="preserve"> used: +179</w:t>
      </w:r>
    </w:p>
    <w:p w:rsidR="006447EA" w:rsidRDefault="006447EA" w:rsidP="006447EA">
      <w:pPr>
        <w:numPr>
          <w:ilvl w:val="4"/>
          <w:numId w:val="6"/>
        </w:numPr>
        <w:spacing w:after="0" w:line="240" w:lineRule="auto"/>
        <w:rPr>
          <w:rFonts w:ascii="Book Antiqua" w:hAnsi="Book Antiqua"/>
        </w:rPr>
      </w:pPr>
      <w:r>
        <w:rPr>
          <w:rFonts w:ascii="Book Antiqua" w:hAnsi="Book Antiqua"/>
        </w:rPr>
        <w:t>CN Units used: 1,158</w:t>
      </w:r>
    </w:p>
    <w:p w:rsidR="006447EA" w:rsidRPr="00B74569" w:rsidRDefault="006447EA" w:rsidP="006447EA">
      <w:pPr>
        <w:numPr>
          <w:ilvl w:val="4"/>
          <w:numId w:val="6"/>
        </w:numPr>
        <w:spacing w:after="0" w:line="240" w:lineRule="auto"/>
        <w:rPr>
          <w:rFonts w:ascii="Book Antiqua" w:hAnsi="Book Antiqua"/>
        </w:rPr>
      </w:pPr>
      <w:r>
        <w:rPr>
          <w:rFonts w:ascii="Book Antiqua" w:hAnsi="Book Antiqua"/>
        </w:rPr>
        <w:t>CN Approx. Loss: +$940</w:t>
      </w:r>
    </w:p>
    <w:p w:rsidR="006447EA" w:rsidRDefault="006447EA" w:rsidP="006447EA">
      <w:pPr>
        <w:numPr>
          <w:ilvl w:val="2"/>
          <w:numId w:val="6"/>
        </w:numPr>
        <w:spacing w:after="0" w:line="240" w:lineRule="auto"/>
        <w:rPr>
          <w:rFonts w:ascii="Book Antiqua" w:hAnsi="Book Antiqua"/>
        </w:rPr>
      </w:pPr>
      <w:r>
        <w:rPr>
          <w:rFonts w:ascii="Book Antiqua" w:hAnsi="Book Antiqua"/>
        </w:rPr>
        <w:t>Aug 2020:</w:t>
      </w:r>
    </w:p>
    <w:p w:rsidR="006447EA" w:rsidRDefault="006447EA" w:rsidP="006447EA">
      <w:pPr>
        <w:numPr>
          <w:ilvl w:val="3"/>
          <w:numId w:val="6"/>
        </w:numPr>
        <w:spacing w:after="0" w:line="240" w:lineRule="auto"/>
        <w:rPr>
          <w:rFonts w:ascii="Book Antiqua" w:hAnsi="Book Antiqua"/>
        </w:rPr>
      </w:pPr>
      <w:r>
        <w:rPr>
          <w:rFonts w:ascii="Book Antiqua" w:hAnsi="Book Antiqua"/>
        </w:rPr>
        <w:t>CLS Authorized Units: 9,918</w:t>
      </w:r>
    </w:p>
    <w:p w:rsidR="006447EA" w:rsidRDefault="006447EA" w:rsidP="006447EA">
      <w:pPr>
        <w:numPr>
          <w:ilvl w:val="3"/>
          <w:numId w:val="6"/>
        </w:numPr>
        <w:spacing w:after="0" w:line="240" w:lineRule="auto"/>
        <w:rPr>
          <w:rFonts w:ascii="Book Antiqua" w:hAnsi="Book Antiqua"/>
        </w:rPr>
      </w:pPr>
      <w:r>
        <w:rPr>
          <w:rFonts w:ascii="Book Antiqua" w:hAnsi="Book Antiqua"/>
        </w:rPr>
        <w:t xml:space="preserve">CLS Units </w:t>
      </w:r>
      <w:r w:rsidRPr="00073A12">
        <w:rPr>
          <w:rFonts w:ascii="Book Antiqua" w:hAnsi="Book Antiqua"/>
          <w:b/>
        </w:rPr>
        <w:t>NOT</w:t>
      </w:r>
      <w:r>
        <w:rPr>
          <w:rFonts w:ascii="Book Antiqua" w:hAnsi="Book Antiqua"/>
        </w:rPr>
        <w:t xml:space="preserve"> used: 1,223</w:t>
      </w:r>
    </w:p>
    <w:p w:rsidR="006447EA" w:rsidRDefault="006447EA" w:rsidP="006447EA">
      <w:pPr>
        <w:numPr>
          <w:ilvl w:val="3"/>
          <w:numId w:val="6"/>
        </w:numPr>
        <w:spacing w:after="0" w:line="240" w:lineRule="auto"/>
        <w:rPr>
          <w:rFonts w:ascii="Book Antiqua" w:hAnsi="Book Antiqua"/>
        </w:rPr>
      </w:pPr>
      <w:r>
        <w:rPr>
          <w:rFonts w:ascii="Book Antiqua" w:hAnsi="Book Antiqua"/>
        </w:rPr>
        <w:t>CLS Units used: 8,695</w:t>
      </w:r>
    </w:p>
    <w:p w:rsidR="006447EA" w:rsidRDefault="006447EA" w:rsidP="006447EA">
      <w:pPr>
        <w:numPr>
          <w:ilvl w:val="3"/>
          <w:numId w:val="6"/>
        </w:numPr>
        <w:spacing w:after="0" w:line="240" w:lineRule="auto"/>
        <w:rPr>
          <w:rFonts w:ascii="Book Antiqua" w:hAnsi="Book Antiqua"/>
        </w:rPr>
      </w:pPr>
      <w:r>
        <w:rPr>
          <w:rFonts w:ascii="Book Antiqua" w:hAnsi="Book Antiqua"/>
        </w:rPr>
        <w:t>CLS Approx. Loss: $6,200</w:t>
      </w:r>
    </w:p>
    <w:p w:rsidR="006447EA" w:rsidRDefault="006447EA" w:rsidP="006447EA">
      <w:pPr>
        <w:numPr>
          <w:ilvl w:val="4"/>
          <w:numId w:val="6"/>
        </w:numPr>
        <w:spacing w:after="0" w:line="240" w:lineRule="auto"/>
        <w:rPr>
          <w:rFonts w:ascii="Book Antiqua" w:hAnsi="Book Antiqua"/>
        </w:rPr>
      </w:pPr>
      <w:r>
        <w:rPr>
          <w:rFonts w:ascii="Book Antiqua" w:hAnsi="Book Antiqua"/>
        </w:rPr>
        <w:t>CN Authorized Units: 979</w:t>
      </w:r>
    </w:p>
    <w:p w:rsidR="006447EA" w:rsidRDefault="006447EA" w:rsidP="006447EA">
      <w:pPr>
        <w:numPr>
          <w:ilvl w:val="4"/>
          <w:numId w:val="6"/>
        </w:numPr>
        <w:spacing w:after="0" w:line="240" w:lineRule="auto"/>
        <w:rPr>
          <w:rFonts w:ascii="Book Antiqua" w:hAnsi="Book Antiqua"/>
        </w:rPr>
      </w:pPr>
      <w:r>
        <w:rPr>
          <w:rFonts w:ascii="Book Antiqua" w:hAnsi="Book Antiqua"/>
        </w:rPr>
        <w:t xml:space="preserve">CN Units </w:t>
      </w:r>
      <w:r w:rsidRPr="00B74569">
        <w:rPr>
          <w:rFonts w:ascii="Book Antiqua" w:hAnsi="Book Antiqua"/>
          <w:b/>
        </w:rPr>
        <w:t>NOT</w:t>
      </w:r>
      <w:r>
        <w:rPr>
          <w:rFonts w:ascii="Book Antiqua" w:hAnsi="Book Antiqua"/>
        </w:rPr>
        <w:t xml:space="preserve"> used: +73</w:t>
      </w:r>
    </w:p>
    <w:p w:rsidR="006447EA" w:rsidRDefault="006447EA" w:rsidP="006447EA">
      <w:pPr>
        <w:numPr>
          <w:ilvl w:val="4"/>
          <w:numId w:val="6"/>
        </w:numPr>
        <w:spacing w:after="0" w:line="240" w:lineRule="auto"/>
        <w:rPr>
          <w:rFonts w:ascii="Book Antiqua" w:hAnsi="Book Antiqua"/>
        </w:rPr>
      </w:pPr>
      <w:r>
        <w:rPr>
          <w:rFonts w:ascii="Book Antiqua" w:hAnsi="Book Antiqua"/>
        </w:rPr>
        <w:t>CN Units used: 1,052</w:t>
      </w:r>
    </w:p>
    <w:p w:rsidR="006447EA" w:rsidRDefault="006447EA" w:rsidP="006447EA">
      <w:pPr>
        <w:numPr>
          <w:ilvl w:val="4"/>
          <w:numId w:val="6"/>
        </w:numPr>
        <w:spacing w:after="0" w:line="240" w:lineRule="auto"/>
        <w:rPr>
          <w:rFonts w:ascii="Book Antiqua" w:hAnsi="Book Antiqua"/>
        </w:rPr>
      </w:pPr>
      <w:r>
        <w:rPr>
          <w:rFonts w:ascii="Book Antiqua" w:hAnsi="Book Antiqua"/>
        </w:rPr>
        <w:t>CN Approx. Loss: +$380</w:t>
      </w:r>
    </w:p>
    <w:p w:rsidR="006447EA" w:rsidRDefault="006447EA" w:rsidP="006447EA">
      <w:pPr>
        <w:numPr>
          <w:ilvl w:val="2"/>
          <w:numId w:val="6"/>
        </w:numPr>
        <w:spacing w:after="0" w:line="240" w:lineRule="auto"/>
        <w:rPr>
          <w:rFonts w:ascii="Book Antiqua" w:hAnsi="Book Antiqua"/>
        </w:rPr>
      </w:pPr>
      <w:r>
        <w:rPr>
          <w:rFonts w:ascii="Book Antiqua" w:hAnsi="Book Antiqua"/>
        </w:rPr>
        <w:t>Sept 2020:</w:t>
      </w:r>
    </w:p>
    <w:p w:rsidR="006447EA" w:rsidRDefault="006447EA" w:rsidP="006447EA">
      <w:pPr>
        <w:numPr>
          <w:ilvl w:val="3"/>
          <w:numId w:val="6"/>
        </w:numPr>
        <w:spacing w:after="0" w:line="240" w:lineRule="auto"/>
        <w:rPr>
          <w:rFonts w:ascii="Book Antiqua" w:hAnsi="Book Antiqua"/>
        </w:rPr>
      </w:pPr>
      <w:r>
        <w:rPr>
          <w:rFonts w:ascii="Book Antiqua" w:hAnsi="Book Antiqua"/>
        </w:rPr>
        <w:t>CLS Authorized Units: 9,757</w:t>
      </w:r>
    </w:p>
    <w:p w:rsidR="006447EA" w:rsidRDefault="006447EA" w:rsidP="006447EA">
      <w:pPr>
        <w:numPr>
          <w:ilvl w:val="3"/>
          <w:numId w:val="6"/>
        </w:numPr>
        <w:spacing w:after="0" w:line="240" w:lineRule="auto"/>
        <w:rPr>
          <w:rFonts w:ascii="Book Antiqua" w:hAnsi="Book Antiqua"/>
        </w:rPr>
      </w:pPr>
      <w:r>
        <w:rPr>
          <w:rFonts w:ascii="Book Antiqua" w:hAnsi="Book Antiqua"/>
        </w:rPr>
        <w:t xml:space="preserve">CLS Units </w:t>
      </w:r>
      <w:r w:rsidRPr="00073A12">
        <w:rPr>
          <w:rFonts w:ascii="Book Antiqua" w:hAnsi="Book Antiqua"/>
          <w:b/>
        </w:rPr>
        <w:t>NOT</w:t>
      </w:r>
      <w:r>
        <w:rPr>
          <w:rFonts w:ascii="Book Antiqua" w:hAnsi="Book Antiqua"/>
        </w:rPr>
        <w:t xml:space="preserve"> used: 2,303</w:t>
      </w:r>
    </w:p>
    <w:p w:rsidR="006447EA" w:rsidRDefault="006447EA" w:rsidP="006447EA">
      <w:pPr>
        <w:numPr>
          <w:ilvl w:val="3"/>
          <w:numId w:val="6"/>
        </w:numPr>
        <w:spacing w:after="0" w:line="240" w:lineRule="auto"/>
        <w:rPr>
          <w:rFonts w:ascii="Book Antiqua" w:hAnsi="Book Antiqua"/>
        </w:rPr>
      </w:pPr>
      <w:r>
        <w:rPr>
          <w:rFonts w:ascii="Book Antiqua" w:hAnsi="Book Antiqua"/>
        </w:rPr>
        <w:t>CLS Units used: 7,454</w:t>
      </w:r>
    </w:p>
    <w:p w:rsidR="006447EA" w:rsidRDefault="006447EA" w:rsidP="006447EA">
      <w:pPr>
        <w:numPr>
          <w:ilvl w:val="3"/>
          <w:numId w:val="6"/>
        </w:numPr>
        <w:spacing w:after="0" w:line="240" w:lineRule="auto"/>
        <w:rPr>
          <w:rFonts w:ascii="Book Antiqua" w:hAnsi="Book Antiqua"/>
        </w:rPr>
      </w:pPr>
      <w:r>
        <w:rPr>
          <w:rFonts w:ascii="Book Antiqua" w:hAnsi="Book Antiqua"/>
        </w:rPr>
        <w:t>CLS Approx. Loss: $11,680</w:t>
      </w:r>
    </w:p>
    <w:p w:rsidR="006447EA" w:rsidRDefault="006447EA" w:rsidP="006447EA">
      <w:pPr>
        <w:numPr>
          <w:ilvl w:val="4"/>
          <w:numId w:val="6"/>
        </w:numPr>
        <w:spacing w:after="0" w:line="240" w:lineRule="auto"/>
        <w:rPr>
          <w:rFonts w:ascii="Book Antiqua" w:hAnsi="Book Antiqua"/>
        </w:rPr>
      </w:pPr>
      <w:r>
        <w:rPr>
          <w:rFonts w:ascii="Book Antiqua" w:hAnsi="Book Antiqua"/>
        </w:rPr>
        <w:t>CN Authorized Units: 914</w:t>
      </w:r>
    </w:p>
    <w:p w:rsidR="006447EA" w:rsidRDefault="006447EA" w:rsidP="006447EA">
      <w:pPr>
        <w:numPr>
          <w:ilvl w:val="4"/>
          <w:numId w:val="6"/>
        </w:numPr>
        <w:spacing w:after="0" w:line="240" w:lineRule="auto"/>
        <w:rPr>
          <w:rFonts w:ascii="Book Antiqua" w:hAnsi="Book Antiqua"/>
        </w:rPr>
      </w:pPr>
      <w:r>
        <w:rPr>
          <w:rFonts w:ascii="Book Antiqua" w:hAnsi="Book Antiqua"/>
        </w:rPr>
        <w:t xml:space="preserve">CN Units </w:t>
      </w:r>
      <w:r w:rsidRPr="00B74569">
        <w:rPr>
          <w:rFonts w:ascii="Book Antiqua" w:hAnsi="Book Antiqua"/>
          <w:b/>
        </w:rPr>
        <w:t>NOT</w:t>
      </w:r>
      <w:r>
        <w:rPr>
          <w:rFonts w:ascii="Book Antiqua" w:hAnsi="Book Antiqua"/>
        </w:rPr>
        <w:t xml:space="preserve"> used: +178</w:t>
      </w:r>
    </w:p>
    <w:p w:rsidR="006447EA" w:rsidRDefault="006447EA" w:rsidP="006447EA">
      <w:pPr>
        <w:numPr>
          <w:ilvl w:val="4"/>
          <w:numId w:val="6"/>
        </w:numPr>
        <w:spacing w:after="0" w:line="240" w:lineRule="auto"/>
        <w:rPr>
          <w:rFonts w:ascii="Book Antiqua" w:hAnsi="Book Antiqua"/>
        </w:rPr>
      </w:pPr>
      <w:r>
        <w:rPr>
          <w:rFonts w:ascii="Book Antiqua" w:hAnsi="Book Antiqua"/>
        </w:rPr>
        <w:t>CN Units used: 1,092</w:t>
      </w:r>
    </w:p>
    <w:p w:rsidR="006447EA" w:rsidRDefault="006447EA" w:rsidP="006447EA">
      <w:pPr>
        <w:numPr>
          <w:ilvl w:val="4"/>
          <w:numId w:val="6"/>
        </w:numPr>
        <w:spacing w:after="0" w:line="240" w:lineRule="auto"/>
        <w:rPr>
          <w:rFonts w:ascii="Book Antiqua" w:hAnsi="Book Antiqua"/>
        </w:rPr>
      </w:pPr>
      <w:r>
        <w:rPr>
          <w:rFonts w:ascii="Book Antiqua" w:hAnsi="Book Antiqua"/>
        </w:rPr>
        <w:t>CN Approx. Loss: +$930</w:t>
      </w:r>
    </w:p>
    <w:p w:rsidR="006447EA" w:rsidRPr="00862D51" w:rsidRDefault="006447EA" w:rsidP="006447EA">
      <w:pPr>
        <w:rPr>
          <w:rFonts w:ascii="Book Antiqua" w:hAnsi="Book Antiqua"/>
        </w:rPr>
      </w:pPr>
    </w:p>
    <w:p w:rsidR="006447EA" w:rsidRDefault="006447EA" w:rsidP="006447EA">
      <w:pPr>
        <w:numPr>
          <w:ilvl w:val="0"/>
          <w:numId w:val="6"/>
        </w:numPr>
        <w:spacing w:after="0" w:line="240" w:lineRule="auto"/>
        <w:rPr>
          <w:rFonts w:ascii="Book Antiqua" w:hAnsi="Book Antiqua"/>
          <w:u w:val="single"/>
        </w:rPr>
      </w:pPr>
      <w:r>
        <w:rPr>
          <w:rFonts w:ascii="Book Antiqua" w:hAnsi="Book Antiqua"/>
          <w:u w:val="single"/>
        </w:rPr>
        <w:lastRenderedPageBreak/>
        <w:t>Innovations– Number of Total Authorized Units Used</w:t>
      </w:r>
    </w:p>
    <w:p w:rsidR="006447EA" w:rsidRDefault="006447EA" w:rsidP="006447EA">
      <w:pPr>
        <w:numPr>
          <w:ilvl w:val="1"/>
          <w:numId w:val="6"/>
        </w:numPr>
        <w:spacing w:after="0" w:line="240" w:lineRule="auto"/>
        <w:rPr>
          <w:rFonts w:ascii="Book Antiqua" w:hAnsi="Book Antiqua"/>
          <w:u w:val="single"/>
        </w:rPr>
      </w:pPr>
      <w:r>
        <w:rPr>
          <w:rFonts w:ascii="Book Antiqua" w:hAnsi="Book Antiqua"/>
        </w:rPr>
        <w:t>2020 compared to 2019 data</w:t>
      </w:r>
    </w:p>
    <w:p w:rsidR="006447EA" w:rsidRDefault="006447EA" w:rsidP="006447EA">
      <w:pPr>
        <w:rPr>
          <w:rFonts w:ascii="Book Antiqua" w:hAnsi="Book Antiqua"/>
        </w:rPr>
      </w:pPr>
      <w:r>
        <w:rPr>
          <w:rFonts w:ascii="Book Antiqua" w:hAnsi="Book Antiqua"/>
          <w:noProof/>
        </w:rPr>
        <w:drawing>
          <wp:inline distT="0" distB="0" distL="0" distR="0">
            <wp:extent cx="6257925" cy="1933575"/>
            <wp:effectExtent l="19050" t="0" r="0" b="0"/>
            <wp:docPr id="7"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447EA" w:rsidRDefault="006447EA" w:rsidP="006447EA">
      <w:pPr>
        <w:pStyle w:val="ListParagraph"/>
        <w:rPr>
          <w:rFonts w:ascii="Georgia" w:hAnsi="Georgia"/>
          <w:b/>
        </w:rPr>
      </w:pPr>
    </w:p>
    <w:p w:rsidR="006447EA" w:rsidRDefault="006447EA" w:rsidP="006447EA">
      <w:pPr>
        <w:pStyle w:val="ListParagraph"/>
        <w:rPr>
          <w:rFonts w:ascii="Georgia" w:hAnsi="Georgia"/>
          <w:b/>
        </w:rPr>
      </w:pPr>
      <w:r>
        <w:rPr>
          <w:rFonts w:ascii="Georgia" w:hAnsi="Georgia"/>
          <w:b/>
        </w:rPr>
        <w:t>3</w:t>
      </w:r>
      <w:r w:rsidRPr="005A36E9">
        <w:rPr>
          <w:rFonts w:ascii="Georgia" w:hAnsi="Georgia"/>
          <w:b/>
          <w:vertAlign w:val="superscript"/>
        </w:rPr>
        <w:t>rd</w:t>
      </w:r>
      <w:r>
        <w:rPr>
          <w:rFonts w:ascii="Georgia" w:hAnsi="Georgia"/>
          <w:b/>
        </w:rPr>
        <w:t xml:space="preserve"> Quarter Analysis: </w:t>
      </w:r>
    </w:p>
    <w:p w:rsidR="006447EA" w:rsidRPr="00811D09" w:rsidRDefault="006447EA" w:rsidP="006447EA">
      <w:pPr>
        <w:pStyle w:val="ListParagraph"/>
        <w:numPr>
          <w:ilvl w:val="2"/>
          <w:numId w:val="6"/>
        </w:numPr>
        <w:spacing w:after="0" w:line="240" w:lineRule="auto"/>
        <w:rPr>
          <w:rFonts w:ascii="Book Antiqua" w:hAnsi="Book Antiqua"/>
        </w:rPr>
      </w:pPr>
      <w:r>
        <w:rPr>
          <w:rFonts w:ascii="Book Antiqua" w:hAnsi="Book Antiqua"/>
          <w:u w:val="single"/>
        </w:rPr>
        <w:t xml:space="preserve">July 2020 – 15% of authorized units were </w:t>
      </w:r>
      <w:proofErr w:type="gramStart"/>
      <w:r>
        <w:rPr>
          <w:rFonts w:ascii="Book Antiqua" w:hAnsi="Book Antiqua"/>
          <w:u w:val="single"/>
        </w:rPr>
        <w:t>not  used</w:t>
      </w:r>
      <w:proofErr w:type="gramEnd"/>
      <w:r>
        <w:rPr>
          <w:rFonts w:ascii="Book Antiqua" w:hAnsi="Book Antiqua"/>
          <w:u w:val="single"/>
        </w:rPr>
        <w:t>.  Possible reasons include:</w:t>
      </w:r>
    </w:p>
    <w:p w:rsidR="006447EA" w:rsidRDefault="006447EA" w:rsidP="006447EA">
      <w:pPr>
        <w:pStyle w:val="ListParagraph"/>
        <w:numPr>
          <w:ilvl w:val="3"/>
          <w:numId w:val="6"/>
        </w:numPr>
        <w:spacing w:after="0" w:line="240" w:lineRule="auto"/>
        <w:rPr>
          <w:rFonts w:ascii="Book Antiqua" w:hAnsi="Book Antiqua"/>
        </w:rPr>
      </w:pPr>
      <w:r>
        <w:rPr>
          <w:rFonts w:ascii="Book Antiqua" w:hAnsi="Book Antiqua"/>
        </w:rPr>
        <w:t>COVID-19</w:t>
      </w:r>
    </w:p>
    <w:p w:rsidR="006447EA" w:rsidRDefault="006447EA" w:rsidP="006447EA">
      <w:pPr>
        <w:pStyle w:val="ListParagraph"/>
        <w:numPr>
          <w:ilvl w:val="3"/>
          <w:numId w:val="6"/>
        </w:numPr>
        <w:spacing w:after="0" w:line="240" w:lineRule="auto"/>
        <w:rPr>
          <w:rFonts w:ascii="Book Antiqua" w:hAnsi="Book Antiqua"/>
        </w:rPr>
      </w:pPr>
      <w:r>
        <w:rPr>
          <w:rFonts w:ascii="Book Antiqua" w:hAnsi="Book Antiqua"/>
        </w:rPr>
        <w:t>Appendix K for additional units</w:t>
      </w:r>
    </w:p>
    <w:p w:rsidR="006447EA" w:rsidRDefault="006447EA" w:rsidP="006447EA">
      <w:pPr>
        <w:pStyle w:val="ListParagraph"/>
        <w:numPr>
          <w:ilvl w:val="3"/>
          <w:numId w:val="6"/>
        </w:numPr>
        <w:spacing w:after="0" w:line="240" w:lineRule="auto"/>
        <w:rPr>
          <w:rFonts w:ascii="Book Antiqua" w:hAnsi="Book Antiqua"/>
        </w:rPr>
      </w:pPr>
      <w:r>
        <w:rPr>
          <w:rFonts w:ascii="Book Antiqua" w:hAnsi="Book Antiqua"/>
        </w:rPr>
        <w:t>Retainer Payments not calculated as used units</w:t>
      </w:r>
    </w:p>
    <w:p w:rsidR="006447EA" w:rsidRPr="00811D09" w:rsidRDefault="006447EA" w:rsidP="006447EA">
      <w:pPr>
        <w:pStyle w:val="ListParagraph"/>
        <w:numPr>
          <w:ilvl w:val="2"/>
          <w:numId w:val="6"/>
        </w:numPr>
        <w:spacing w:after="0" w:line="240" w:lineRule="auto"/>
        <w:rPr>
          <w:rFonts w:ascii="Book Antiqua" w:hAnsi="Book Antiqua"/>
        </w:rPr>
      </w:pPr>
      <w:r>
        <w:rPr>
          <w:rFonts w:ascii="Book Antiqua" w:hAnsi="Book Antiqua"/>
          <w:u w:val="single"/>
        </w:rPr>
        <w:t xml:space="preserve">Aug 2020 – 11% of authorized units were </w:t>
      </w:r>
      <w:proofErr w:type="gramStart"/>
      <w:r>
        <w:rPr>
          <w:rFonts w:ascii="Book Antiqua" w:hAnsi="Book Antiqua"/>
          <w:u w:val="single"/>
        </w:rPr>
        <w:t>not  used</w:t>
      </w:r>
      <w:proofErr w:type="gramEnd"/>
      <w:r>
        <w:rPr>
          <w:rFonts w:ascii="Book Antiqua" w:hAnsi="Book Antiqua"/>
          <w:u w:val="single"/>
        </w:rPr>
        <w:t>.  Possible reasons include:</w:t>
      </w:r>
    </w:p>
    <w:p w:rsidR="006447EA" w:rsidRDefault="006447EA" w:rsidP="006447EA">
      <w:pPr>
        <w:pStyle w:val="ListParagraph"/>
        <w:numPr>
          <w:ilvl w:val="3"/>
          <w:numId w:val="6"/>
        </w:numPr>
        <w:spacing w:after="0" w:line="240" w:lineRule="auto"/>
        <w:rPr>
          <w:rFonts w:ascii="Book Antiqua" w:hAnsi="Book Antiqua"/>
        </w:rPr>
      </w:pPr>
      <w:r>
        <w:rPr>
          <w:rFonts w:ascii="Book Antiqua" w:hAnsi="Book Antiqua"/>
        </w:rPr>
        <w:t>COVID-19</w:t>
      </w:r>
    </w:p>
    <w:p w:rsidR="006447EA" w:rsidRDefault="006447EA" w:rsidP="006447EA">
      <w:pPr>
        <w:pStyle w:val="ListParagraph"/>
        <w:numPr>
          <w:ilvl w:val="3"/>
          <w:numId w:val="6"/>
        </w:numPr>
        <w:spacing w:after="0" w:line="240" w:lineRule="auto"/>
        <w:rPr>
          <w:rFonts w:ascii="Book Antiqua" w:hAnsi="Book Antiqua"/>
        </w:rPr>
      </w:pPr>
      <w:r>
        <w:rPr>
          <w:rFonts w:ascii="Book Antiqua" w:hAnsi="Book Antiqua"/>
        </w:rPr>
        <w:t>Appendix K for additional units</w:t>
      </w:r>
    </w:p>
    <w:p w:rsidR="006447EA" w:rsidRPr="00766F33" w:rsidRDefault="006447EA" w:rsidP="006447EA">
      <w:pPr>
        <w:pStyle w:val="ListParagraph"/>
        <w:numPr>
          <w:ilvl w:val="3"/>
          <w:numId w:val="6"/>
        </w:numPr>
        <w:spacing w:after="0" w:line="240" w:lineRule="auto"/>
        <w:rPr>
          <w:rFonts w:ascii="Book Antiqua" w:hAnsi="Book Antiqua"/>
        </w:rPr>
      </w:pPr>
      <w:r>
        <w:rPr>
          <w:rFonts w:ascii="Book Antiqua" w:hAnsi="Book Antiqua"/>
        </w:rPr>
        <w:t>Retainer Payments not calculated as used units</w:t>
      </w:r>
    </w:p>
    <w:p w:rsidR="006447EA" w:rsidRPr="00811D09" w:rsidRDefault="006447EA" w:rsidP="006447EA">
      <w:pPr>
        <w:pStyle w:val="ListParagraph"/>
        <w:numPr>
          <w:ilvl w:val="2"/>
          <w:numId w:val="6"/>
        </w:numPr>
        <w:spacing w:after="0" w:line="240" w:lineRule="auto"/>
        <w:rPr>
          <w:rFonts w:ascii="Book Antiqua" w:hAnsi="Book Antiqua"/>
        </w:rPr>
      </w:pPr>
      <w:r>
        <w:rPr>
          <w:rFonts w:ascii="Book Antiqua" w:hAnsi="Book Antiqua"/>
          <w:u w:val="single"/>
        </w:rPr>
        <w:t xml:space="preserve">Sept 2020 – 21% of authorized units were </w:t>
      </w:r>
      <w:proofErr w:type="gramStart"/>
      <w:r>
        <w:rPr>
          <w:rFonts w:ascii="Book Antiqua" w:hAnsi="Book Antiqua"/>
          <w:u w:val="single"/>
        </w:rPr>
        <w:t>not  used</w:t>
      </w:r>
      <w:proofErr w:type="gramEnd"/>
      <w:r>
        <w:rPr>
          <w:rFonts w:ascii="Book Antiqua" w:hAnsi="Book Antiqua"/>
          <w:u w:val="single"/>
        </w:rPr>
        <w:t>.  Possible reasons include:</w:t>
      </w:r>
    </w:p>
    <w:p w:rsidR="006447EA" w:rsidRDefault="006447EA" w:rsidP="006447EA">
      <w:pPr>
        <w:pStyle w:val="ListParagraph"/>
        <w:numPr>
          <w:ilvl w:val="3"/>
          <w:numId w:val="6"/>
        </w:numPr>
        <w:spacing w:after="0" w:line="240" w:lineRule="auto"/>
        <w:rPr>
          <w:rFonts w:ascii="Book Antiqua" w:hAnsi="Book Antiqua"/>
        </w:rPr>
      </w:pPr>
      <w:r>
        <w:rPr>
          <w:rFonts w:ascii="Book Antiqua" w:hAnsi="Book Antiqua"/>
        </w:rPr>
        <w:t>COVID-19</w:t>
      </w:r>
    </w:p>
    <w:p w:rsidR="006447EA" w:rsidRDefault="006447EA" w:rsidP="006447EA">
      <w:pPr>
        <w:pStyle w:val="ListParagraph"/>
        <w:numPr>
          <w:ilvl w:val="3"/>
          <w:numId w:val="6"/>
        </w:numPr>
        <w:spacing w:after="0" w:line="240" w:lineRule="auto"/>
        <w:rPr>
          <w:rFonts w:ascii="Book Antiqua" w:hAnsi="Book Antiqua"/>
        </w:rPr>
      </w:pPr>
      <w:r>
        <w:rPr>
          <w:rFonts w:ascii="Book Antiqua" w:hAnsi="Book Antiqua"/>
        </w:rPr>
        <w:t>Appendix K for additional units</w:t>
      </w:r>
    </w:p>
    <w:p w:rsidR="006447EA" w:rsidRPr="00766F33" w:rsidRDefault="006447EA" w:rsidP="006447EA">
      <w:pPr>
        <w:pStyle w:val="ListParagraph"/>
        <w:numPr>
          <w:ilvl w:val="3"/>
          <w:numId w:val="6"/>
        </w:numPr>
        <w:spacing w:after="0" w:line="240" w:lineRule="auto"/>
        <w:rPr>
          <w:rFonts w:ascii="Book Antiqua" w:hAnsi="Book Antiqua"/>
        </w:rPr>
      </w:pPr>
      <w:r>
        <w:rPr>
          <w:rFonts w:ascii="Book Antiqua" w:hAnsi="Book Antiqua"/>
        </w:rPr>
        <w:t>Retainer Payments not calculated as used units</w:t>
      </w:r>
    </w:p>
    <w:p w:rsidR="006447EA" w:rsidRDefault="006447EA" w:rsidP="006447EA">
      <w:pPr>
        <w:pStyle w:val="ListParagraph"/>
        <w:rPr>
          <w:rFonts w:ascii="Georgia" w:hAnsi="Georgia"/>
          <w:b/>
        </w:rPr>
      </w:pPr>
    </w:p>
    <w:p w:rsidR="006447EA" w:rsidRPr="00811037" w:rsidRDefault="006447EA" w:rsidP="006447EA">
      <w:pPr>
        <w:pStyle w:val="ListParagraph"/>
        <w:spacing w:after="0" w:line="240" w:lineRule="auto"/>
        <w:rPr>
          <w:rFonts w:ascii="Book Antiqua" w:hAnsi="Book Antiqua"/>
          <w:b/>
        </w:rPr>
      </w:pPr>
      <w:r>
        <w:rPr>
          <w:rFonts w:ascii="Book Antiqua" w:hAnsi="Book Antiqua"/>
          <w:b/>
        </w:rPr>
        <w:t>3</w:t>
      </w:r>
      <w:r w:rsidRPr="005A36E9">
        <w:rPr>
          <w:rFonts w:ascii="Book Antiqua" w:hAnsi="Book Antiqua"/>
          <w:b/>
          <w:vertAlign w:val="superscript"/>
        </w:rPr>
        <w:t>rd</w:t>
      </w:r>
      <w:r>
        <w:rPr>
          <w:rFonts w:ascii="Book Antiqua" w:hAnsi="Book Antiqua"/>
          <w:b/>
        </w:rPr>
        <w:t xml:space="preserve"> quarter saw an increase in authorized units used.  Target was met in July and August.</w:t>
      </w:r>
    </w:p>
    <w:p w:rsidR="006447EA" w:rsidRDefault="006447EA" w:rsidP="006447EA">
      <w:pPr>
        <w:pStyle w:val="ListParagraph"/>
        <w:rPr>
          <w:rFonts w:ascii="Georgia" w:hAnsi="Georgia"/>
          <w:b/>
        </w:rPr>
      </w:pPr>
    </w:p>
    <w:p w:rsidR="006447EA" w:rsidRDefault="006447EA" w:rsidP="006447EA">
      <w:pPr>
        <w:pStyle w:val="ListParagraph"/>
        <w:rPr>
          <w:rFonts w:ascii="Georgia" w:hAnsi="Georgia"/>
          <w:b/>
        </w:rPr>
      </w:pPr>
    </w:p>
    <w:p w:rsidR="006447EA" w:rsidRDefault="006447EA" w:rsidP="006447EA">
      <w:pPr>
        <w:pStyle w:val="ListParagraph"/>
        <w:rPr>
          <w:rFonts w:ascii="Georgia" w:hAnsi="Georgia"/>
          <w:b/>
        </w:rPr>
      </w:pPr>
      <w:r w:rsidRPr="006D21A8">
        <w:rPr>
          <w:rFonts w:ascii="Georgia" w:hAnsi="Georgia"/>
          <w:b/>
        </w:rPr>
        <w:lastRenderedPageBreak/>
        <w:t>Q4:</w:t>
      </w:r>
    </w:p>
    <w:p w:rsidR="006447EA" w:rsidRPr="00E76838" w:rsidRDefault="006447EA" w:rsidP="006447EA">
      <w:pPr>
        <w:pStyle w:val="ListParagraph"/>
        <w:rPr>
          <w:rFonts w:ascii="Georgia" w:hAnsi="Georgia"/>
          <w:b/>
        </w:rPr>
      </w:pPr>
      <w:r>
        <w:rPr>
          <w:rFonts w:ascii="Book Antiqua" w:hAnsi="Book Antiqua"/>
        </w:rPr>
        <w:t>Units Authorized vs. Units used (CLS, CN) (Approx.)</w:t>
      </w:r>
    </w:p>
    <w:p w:rsidR="006447EA" w:rsidRDefault="006447EA" w:rsidP="006447EA">
      <w:pPr>
        <w:numPr>
          <w:ilvl w:val="2"/>
          <w:numId w:val="6"/>
        </w:numPr>
        <w:spacing w:after="0" w:line="240" w:lineRule="auto"/>
        <w:rPr>
          <w:rFonts w:ascii="Book Antiqua" w:hAnsi="Book Antiqua"/>
        </w:rPr>
      </w:pPr>
      <w:r>
        <w:rPr>
          <w:rFonts w:ascii="Book Antiqua" w:hAnsi="Book Antiqua"/>
        </w:rPr>
        <w:t>Oct 2020:</w:t>
      </w:r>
    </w:p>
    <w:p w:rsidR="006447EA" w:rsidRDefault="006447EA" w:rsidP="006447EA">
      <w:pPr>
        <w:numPr>
          <w:ilvl w:val="3"/>
          <w:numId w:val="6"/>
        </w:numPr>
        <w:spacing w:after="0" w:line="240" w:lineRule="auto"/>
        <w:rPr>
          <w:rFonts w:ascii="Book Antiqua" w:hAnsi="Book Antiqua"/>
        </w:rPr>
      </w:pPr>
      <w:r>
        <w:rPr>
          <w:rFonts w:ascii="Book Antiqua" w:hAnsi="Book Antiqua"/>
        </w:rPr>
        <w:t>CLS Authorized Units: 9,885</w:t>
      </w:r>
    </w:p>
    <w:p w:rsidR="006447EA" w:rsidRDefault="006447EA" w:rsidP="006447EA">
      <w:pPr>
        <w:numPr>
          <w:ilvl w:val="3"/>
          <w:numId w:val="6"/>
        </w:numPr>
        <w:spacing w:after="0" w:line="240" w:lineRule="auto"/>
        <w:rPr>
          <w:rFonts w:ascii="Book Antiqua" w:hAnsi="Book Antiqua"/>
        </w:rPr>
      </w:pPr>
      <w:r>
        <w:rPr>
          <w:rFonts w:ascii="Book Antiqua" w:hAnsi="Book Antiqua"/>
        </w:rPr>
        <w:t xml:space="preserve">CLS Units </w:t>
      </w:r>
      <w:r w:rsidRPr="00073A12">
        <w:rPr>
          <w:rFonts w:ascii="Book Antiqua" w:hAnsi="Book Antiqua"/>
          <w:b/>
        </w:rPr>
        <w:t>NOT</w:t>
      </w:r>
      <w:r>
        <w:rPr>
          <w:rFonts w:ascii="Book Antiqua" w:hAnsi="Book Antiqua"/>
        </w:rPr>
        <w:t xml:space="preserve"> used: 1,645</w:t>
      </w:r>
    </w:p>
    <w:p w:rsidR="006447EA" w:rsidRDefault="006447EA" w:rsidP="006447EA">
      <w:pPr>
        <w:numPr>
          <w:ilvl w:val="3"/>
          <w:numId w:val="6"/>
        </w:numPr>
        <w:spacing w:after="0" w:line="240" w:lineRule="auto"/>
        <w:rPr>
          <w:rFonts w:ascii="Book Antiqua" w:hAnsi="Book Antiqua"/>
        </w:rPr>
      </w:pPr>
      <w:r>
        <w:rPr>
          <w:rFonts w:ascii="Book Antiqua" w:hAnsi="Book Antiqua"/>
        </w:rPr>
        <w:t>CLS Units used: 8,240</w:t>
      </w:r>
    </w:p>
    <w:p w:rsidR="006447EA" w:rsidRDefault="006447EA" w:rsidP="006447EA">
      <w:pPr>
        <w:numPr>
          <w:ilvl w:val="3"/>
          <w:numId w:val="6"/>
        </w:numPr>
        <w:spacing w:after="0" w:line="240" w:lineRule="auto"/>
        <w:rPr>
          <w:rFonts w:ascii="Book Antiqua" w:hAnsi="Book Antiqua"/>
        </w:rPr>
      </w:pPr>
      <w:r>
        <w:rPr>
          <w:rFonts w:ascii="Book Antiqua" w:hAnsi="Book Antiqua"/>
        </w:rPr>
        <w:t>CLS Approx. Loss: $8,340</w:t>
      </w:r>
    </w:p>
    <w:p w:rsidR="006447EA" w:rsidRDefault="006447EA" w:rsidP="006447EA">
      <w:pPr>
        <w:numPr>
          <w:ilvl w:val="4"/>
          <w:numId w:val="6"/>
        </w:numPr>
        <w:spacing w:after="0" w:line="240" w:lineRule="auto"/>
        <w:rPr>
          <w:rFonts w:ascii="Book Antiqua" w:hAnsi="Book Antiqua"/>
        </w:rPr>
      </w:pPr>
      <w:r>
        <w:rPr>
          <w:rFonts w:ascii="Book Antiqua" w:hAnsi="Book Antiqua"/>
        </w:rPr>
        <w:t>CN Authorized Units: 914</w:t>
      </w:r>
    </w:p>
    <w:p w:rsidR="006447EA" w:rsidRDefault="006447EA" w:rsidP="006447EA">
      <w:pPr>
        <w:numPr>
          <w:ilvl w:val="4"/>
          <w:numId w:val="6"/>
        </w:numPr>
        <w:spacing w:after="0" w:line="240" w:lineRule="auto"/>
        <w:rPr>
          <w:rFonts w:ascii="Book Antiqua" w:hAnsi="Book Antiqua"/>
        </w:rPr>
      </w:pPr>
      <w:r>
        <w:rPr>
          <w:rFonts w:ascii="Book Antiqua" w:hAnsi="Book Antiqua"/>
        </w:rPr>
        <w:t xml:space="preserve">CN Units </w:t>
      </w:r>
      <w:r w:rsidRPr="00B74569">
        <w:rPr>
          <w:rFonts w:ascii="Book Antiqua" w:hAnsi="Book Antiqua"/>
          <w:b/>
        </w:rPr>
        <w:t>NOT</w:t>
      </w:r>
      <w:r>
        <w:rPr>
          <w:rFonts w:ascii="Book Antiqua" w:hAnsi="Book Antiqua"/>
        </w:rPr>
        <w:t xml:space="preserve"> used: +218</w:t>
      </w:r>
    </w:p>
    <w:p w:rsidR="006447EA" w:rsidRDefault="006447EA" w:rsidP="006447EA">
      <w:pPr>
        <w:numPr>
          <w:ilvl w:val="4"/>
          <w:numId w:val="6"/>
        </w:numPr>
        <w:spacing w:after="0" w:line="240" w:lineRule="auto"/>
        <w:rPr>
          <w:rFonts w:ascii="Book Antiqua" w:hAnsi="Book Antiqua"/>
        </w:rPr>
      </w:pPr>
      <w:r>
        <w:rPr>
          <w:rFonts w:ascii="Book Antiqua" w:hAnsi="Book Antiqua"/>
        </w:rPr>
        <w:t>CN Units used: 1,132</w:t>
      </w:r>
    </w:p>
    <w:p w:rsidR="006447EA" w:rsidRPr="00B74569" w:rsidRDefault="006447EA" w:rsidP="006447EA">
      <w:pPr>
        <w:numPr>
          <w:ilvl w:val="4"/>
          <w:numId w:val="6"/>
        </w:numPr>
        <w:spacing w:after="0" w:line="240" w:lineRule="auto"/>
        <w:rPr>
          <w:rFonts w:ascii="Book Antiqua" w:hAnsi="Book Antiqua"/>
        </w:rPr>
      </w:pPr>
      <w:r>
        <w:rPr>
          <w:rFonts w:ascii="Book Antiqua" w:hAnsi="Book Antiqua"/>
        </w:rPr>
        <w:t>CN Approx. Loss: +$1,140</w:t>
      </w:r>
    </w:p>
    <w:p w:rsidR="006447EA" w:rsidRDefault="006447EA" w:rsidP="006447EA">
      <w:pPr>
        <w:numPr>
          <w:ilvl w:val="2"/>
          <w:numId w:val="6"/>
        </w:numPr>
        <w:spacing w:after="0" w:line="240" w:lineRule="auto"/>
        <w:rPr>
          <w:rFonts w:ascii="Book Antiqua" w:hAnsi="Book Antiqua"/>
        </w:rPr>
      </w:pPr>
      <w:r>
        <w:rPr>
          <w:rFonts w:ascii="Book Antiqua" w:hAnsi="Book Antiqua"/>
        </w:rPr>
        <w:t>Nov 2020:</w:t>
      </w:r>
    </w:p>
    <w:p w:rsidR="006447EA" w:rsidRDefault="006447EA" w:rsidP="006447EA">
      <w:pPr>
        <w:numPr>
          <w:ilvl w:val="3"/>
          <w:numId w:val="6"/>
        </w:numPr>
        <w:spacing w:after="0" w:line="240" w:lineRule="auto"/>
        <w:rPr>
          <w:rFonts w:ascii="Book Antiqua" w:hAnsi="Book Antiqua"/>
        </w:rPr>
      </w:pPr>
      <w:r>
        <w:rPr>
          <w:rFonts w:ascii="Book Antiqua" w:hAnsi="Book Antiqua"/>
        </w:rPr>
        <w:t>CLS Authorized Units: 9,937</w:t>
      </w:r>
    </w:p>
    <w:p w:rsidR="006447EA" w:rsidRDefault="006447EA" w:rsidP="006447EA">
      <w:pPr>
        <w:numPr>
          <w:ilvl w:val="3"/>
          <w:numId w:val="6"/>
        </w:numPr>
        <w:spacing w:after="0" w:line="240" w:lineRule="auto"/>
        <w:rPr>
          <w:rFonts w:ascii="Book Antiqua" w:hAnsi="Book Antiqua"/>
        </w:rPr>
      </w:pPr>
      <w:r>
        <w:rPr>
          <w:rFonts w:ascii="Book Antiqua" w:hAnsi="Book Antiqua"/>
        </w:rPr>
        <w:t xml:space="preserve">CLS Units </w:t>
      </w:r>
      <w:r w:rsidRPr="00073A12">
        <w:rPr>
          <w:rFonts w:ascii="Book Antiqua" w:hAnsi="Book Antiqua"/>
          <w:b/>
        </w:rPr>
        <w:t>NOT</w:t>
      </w:r>
      <w:r>
        <w:rPr>
          <w:rFonts w:ascii="Book Antiqua" w:hAnsi="Book Antiqua"/>
        </w:rPr>
        <w:t xml:space="preserve"> used: 1,493</w:t>
      </w:r>
    </w:p>
    <w:p w:rsidR="006447EA" w:rsidRDefault="006447EA" w:rsidP="006447EA">
      <w:pPr>
        <w:numPr>
          <w:ilvl w:val="3"/>
          <w:numId w:val="6"/>
        </w:numPr>
        <w:spacing w:after="0" w:line="240" w:lineRule="auto"/>
        <w:rPr>
          <w:rFonts w:ascii="Book Antiqua" w:hAnsi="Book Antiqua"/>
        </w:rPr>
      </w:pPr>
      <w:r>
        <w:rPr>
          <w:rFonts w:ascii="Book Antiqua" w:hAnsi="Book Antiqua"/>
        </w:rPr>
        <w:t>CLS Units used: 8,444</w:t>
      </w:r>
    </w:p>
    <w:p w:rsidR="006447EA" w:rsidRDefault="006447EA" w:rsidP="006447EA">
      <w:pPr>
        <w:numPr>
          <w:ilvl w:val="3"/>
          <w:numId w:val="6"/>
        </w:numPr>
        <w:spacing w:after="0" w:line="240" w:lineRule="auto"/>
        <w:rPr>
          <w:rFonts w:ascii="Book Antiqua" w:hAnsi="Book Antiqua"/>
        </w:rPr>
      </w:pPr>
      <w:r>
        <w:rPr>
          <w:rFonts w:ascii="Book Antiqua" w:hAnsi="Book Antiqua"/>
        </w:rPr>
        <w:t>CLS Approx. Loss: $7,570</w:t>
      </w:r>
    </w:p>
    <w:p w:rsidR="006447EA" w:rsidRDefault="006447EA" w:rsidP="006447EA">
      <w:pPr>
        <w:numPr>
          <w:ilvl w:val="4"/>
          <w:numId w:val="6"/>
        </w:numPr>
        <w:spacing w:after="0" w:line="240" w:lineRule="auto"/>
        <w:rPr>
          <w:rFonts w:ascii="Book Antiqua" w:hAnsi="Book Antiqua"/>
        </w:rPr>
      </w:pPr>
      <w:r>
        <w:rPr>
          <w:rFonts w:ascii="Book Antiqua" w:hAnsi="Book Antiqua"/>
        </w:rPr>
        <w:t>CN Authorized Units: 914</w:t>
      </w:r>
    </w:p>
    <w:p w:rsidR="006447EA" w:rsidRDefault="006447EA" w:rsidP="006447EA">
      <w:pPr>
        <w:numPr>
          <w:ilvl w:val="4"/>
          <w:numId w:val="6"/>
        </w:numPr>
        <w:spacing w:after="0" w:line="240" w:lineRule="auto"/>
        <w:rPr>
          <w:rFonts w:ascii="Book Antiqua" w:hAnsi="Book Antiqua"/>
        </w:rPr>
      </w:pPr>
      <w:r>
        <w:rPr>
          <w:rFonts w:ascii="Book Antiqua" w:hAnsi="Book Antiqua"/>
        </w:rPr>
        <w:t xml:space="preserve">CN Units </w:t>
      </w:r>
      <w:r w:rsidRPr="00B74569">
        <w:rPr>
          <w:rFonts w:ascii="Book Antiqua" w:hAnsi="Book Antiqua"/>
          <w:b/>
        </w:rPr>
        <w:t>NOT</w:t>
      </w:r>
      <w:r>
        <w:rPr>
          <w:rFonts w:ascii="Book Antiqua" w:hAnsi="Book Antiqua"/>
        </w:rPr>
        <w:t xml:space="preserve"> used: +126</w:t>
      </w:r>
    </w:p>
    <w:p w:rsidR="006447EA" w:rsidRDefault="006447EA" w:rsidP="006447EA">
      <w:pPr>
        <w:numPr>
          <w:ilvl w:val="4"/>
          <w:numId w:val="6"/>
        </w:numPr>
        <w:spacing w:after="0" w:line="240" w:lineRule="auto"/>
        <w:rPr>
          <w:rFonts w:ascii="Book Antiqua" w:hAnsi="Book Antiqua"/>
        </w:rPr>
      </w:pPr>
      <w:r>
        <w:rPr>
          <w:rFonts w:ascii="Book Antiqua" w:hAnsi="Book Antiqua"/>
        </w:rPr>
        <w:t>CN Units used: 1,040</w:t>
      </w:r>
    </w:p>
    <w:p w:rsidR="006447EA" w:rsidRDefault="006447EA" w:rsidP="006447EA">
      <w:pPr>
        <w:numPr>
          <w:ilvl w:val="4"/>
          <w:numId w:val="6"/>
        </w:numPr>
        <w:spacing w:after="0" w:line="240" w:lineRule="auto"/>
        <w:rPr>
          <w:rFonts w:ascii="Book Antiqua" w:hAnsi="Book Antiqua"/>
        </w:rPr>
      </w:pPr>
      <w:r>
        <w:rPr>
          <w:rFonts w:ascii="Book Antiqua" w:hAnsi="Book Antiqua"/>
        </w:rPr>
        <w:t>CN Approx. Loss: +$660</w:t>
      </w:r>
    </w:p>
    <w:p w:rsidR="006447EA" w:rsidRDefault="006447EA" w:rsidP="006447EA">
      <w:pPr>
        <w:numPr>
          <w:ilvl w:val="2"/>
          <w:numId w:val="6"/>
        </w:numPr>
        <w:spacing w:after="0" w:line="240" w:lineRule="auto"/>
        <w:rPr>
          <w:rFonts w:ascii="Book Antiqua" w:hAnsi="Book Antiqua"/>
        </w:rPr>
      </w:pPr>
      <w:r>
        <w:rPr>
          <w:rFonts w:ascii="Book Antiqua" w:hAnsi="Book Antiqua"/>
        </w:rPr>
        <w:t>Dec 2020:</w:t>
      </w:r>
    </w:p>
    <w:p w:rsidR="006447EA" w:rsidRDefault="006447EA" w:rsidP="006447EA">
      <w:pPr>
        <w:numPr>
          <w:ilvl w:val="3"/>
          <w:numId w:val="6"/>
        </w:numPr>
        <w:spacing w:after="0" w:line="240" w:lineRule="auto"/>
        <w:rPr>
          <w:rFonts w:ascii="Book Antiqua" w:hAnsi="Book Antiqua"/>
        </w:rPr>
      </w:pPr>
      <w:r>
        <w:rPr>
          <w:rFonts w:ascii="Book Antiqua" w:hAnsi="Book Antiqua"/>
        </w:rPr>
        <w:t>CLS Authorized Units: 9,392</w:t>
      </w:r>
    </w:p>
    <w:p w:rsidR="006447EA" w:rsidRDefault="006447EA" w:rsidP="006447EA">
      <w:pPr>
        <w:numPr>
          <w:ilvl w:val="3"/>
          <w:numId w:val="6"/>
        </w:numPr>
        <w:spacing w:after="0" w:line="240" w:lineRule="auto"/>
        <w:rPr>
          <w:rFonts w:ascii="Book Antiqua" w:hAnsi="Book Antiqua"/>
        </w:rPr>
      </w:pPr>
      <w:r>
        <w:rPr>
          <w:rFonts w:ascii="Book Antiqua" w:hAnsi="Book Antiqua"/>
        </w:rPr>
        <w:t xml:space="preserve">CLS Units </w:t>
      </w:r>
      <w:r w:rsidRPr="00073A12">
        <w:rPr>
          <w:rFonts w:ascii="Book Antiqua" w:hAnsi="Book Antiqua"/>
          <w:b/>
        </w:rPr>
        <w:t>NOT</w:t>
      </w:r>
      <w:r>
        <w:rPr>
          <w:rFonts w:ascii="Book Antiqua" w:hAnsi="Book Antiqua"/>
        </w:rPr>
        <w:t xml:space="preserve"> used: 1,481</w:t>
      </w:r>
    </w:p>
    <w:p w:rsidR="006447EA" w:rsidRDefault="006447EA" w:rsidP="006447EA">
      <w:pPr>
        <w:numPr>
          <w:ilvl w:val="3"/>
          <w:numId w:val="6"/>
        </w:numPr>
        <w:spacing w:after="0" w:line="240" w:lineRule="auto"/>
        <w:rPr>
          <w:rFonts w:ascii="Book Antiqua" w:hAnsi="Book Antiqua"/>
        </w:rPr>
      </w:pPr>
      <w:r>
        <w:rPr>
          <w:rFonts w:ascii="Book Antiqua" w:hAnsi="Book Antiqua"/>
        </w:rPr>
        <w:t>CLS Units used: 7,911</w:t>
      </w:r>
    </w:p>
    <w:p w:rsidR="006447EA" w:rsidRDefault="006447EA" w:rsidP="006447EA">
      <w:pPr>
        <w:numPr>
          <w:ilvl w:val="3"/>
          <w:numId w:val="6"/>
        </w:numPr>
        <w:spacing w:after="0" w:line="240" w:lineRule="auto"/>
        <w:rPr>
          <w:rFonts w:ascii="Book Antiqua" w:hAnsi="Book Antiqua"/>
        </w:rPr>
      </w:pPr>
      <w:r>
        <w:rPr>
          <w:rFonts w:ascii="Book Antiqua" w:hAnsi="Book Antiqua"/>
        </w:rPr>
        <w:t>CLS Approx. Loss: $7,510</w:t>
      </w:r>
    </w:p>
    <w:p w:rsidR="006447EA" w:rsidRDefault="006447EA" w:rsidP="006447EA">
      <w:pPr>
        <w:numPr>
          <w:ilvl w:val="4"/>
          <w:numId w:val="6"/>
        </w:numPr>
        <w:spacing w:after="0" w:line="240" w:lineRule="auto"/>
        <w:rPr>
          <w:rFonts w:ascii="Book Antiqua" w:hAnsi="Book Antiqua"/>
        </w:rPr>
      </w:pPr>
      <w:r>
        <w:rPr>
          <w:rFonts w:ascii="Book Antiqua" w:hAnsi="Book Antiqua"/>
        </w:rPr>
        <w:t>CN Authorized Units: 914</w:t>
      </w:r>
    </w:p>
    <w:p w:rsidR="006447EA" w:rsidRDefault="006447EA" w:rsidP="006447EA">
      <w:pPr>
        <w:numPr>
          <w:ilvl w:val="4"/>
          <w:numId w:val="6"/>
        </w:numPr>
        <w:spacing w:after="0" w:line="240" w:lineRule="auto"/>
        <w:rPr>
          <w:rFonts w:ascii="Book Antiqua" w:hAnsi="Book Antiqua"/>
        </w:rPr>
      </w:pPr>
      <w:r>
        <w:rPr>
          <w:rFonts w:ascii="Book Antiqua" w:hAnsi="Book Antiqua"/>
        </w:rPr>
        <w:t xml:space="preserve">CN Units </w:t>
      </w:r>
      <w:r w:rsidRPr="00B74569">
        <w:rPr>
          <w:rFonts w:ascii="Book Antiqua" w:hAnsi="Book Antiqua"/>
          <w:b/>
        </w:rPr>
        <w:t>NOT</w:t>
      </w:r>
      <w:r>
        <w:rPr>
          <w:rFonts w:ascii="Book Antiqua" w:hAnsi="Book Antiqua"/>
        </w:rPr>
        <w:t xml:space="preserve"> used: +236</w:t>
      </w:r>
    </w:p>
    <w:p w:rsidR="006447EA" w:rsidRDefault="006447EA" w:rsidP="006447EA">
      <w:pPr>
        <w:numPr>
          <w:ilvl w:val="4"/>
          <w:numId w:val="6"/>
        </w:numPr>
        <w:spacing w:after="0" w:line="240" w:lineRule="auto"/>
        <w:rPr>
          <w:rFonts w:ascii="Book Antiqua" w:hAnsi="Book Antiqua"/>
        </w:rPr>
      </w:pPr>
      <w:r>
        <w:rPr>
          <w:rFonts w:ascii="Book Antiqua" w:hAnsi="Book Antiqua"/>
        </w:rPr>
        <w:t>CN Units used: 1,150</w:t>
      </w:r>
    </w:p>
    <w:p w:rsidR="006447EA" w:rsidRDefault="006447EA" w:rsidP="006447EA">
      <w:pPr>
        <w:numPr>
          <w:ilvl w:val="4"/>
          <w:numId w:val="6"/>
        </w:numPr>
        <w:spacing w:after="0" w:line="240" w:lineRule="auto"/>
        <w:rPr>
          <w:rFonts w:ascii="Book Antiqua" w:hAnsi="Book Antiqua"/>
        </w:rPr>
      </w:pPr>
      <w:r>
        <w:rPr>
          <w:rFonts w:ascii="Book Antiqua" w:hAnsi="Book Antiqua"/>
        </w:rPr>
        <w:t>CN Approx. Loss: +$1,240</w:t>
      </w:r>
    </w:p>
    <w:p w:rsidR="006447EA" w:rsidRDefault="006447EA" w:rsidP="006447EA">
      <w:pPr>
        <w:numPr>
          <w:ilvl w:val="0"/>
          <w:numId w:val="6"/>
        </w:numPr>
        <w:spacing w:after="0" w:line="240" w:lineRule="auto"/>
        <w:rPr>
          <w:rFonts w:ascii="Book Antiqua" w:hAnsi="Book Antiqua"/>
          <w:u w:val="single"/>
        </w:rPr>
      </w:pPr>
      <w:r>
        <w:rPr>
          <w:rFonts w:ascii="Book Antiqua" w:hAnsi="Book Antiqua"/>
          <w:u w:val="single"/>
        </w:rPr>
        <w:t>Innovations– Number of Total Authorized Units Used</w:t>
      </w:r>
    </w:p>
    <w:p w:rsidR="006447EA" w:rsidRDefault="006447EA" w:rsidP="006447EA">
      <w:pPr>
        <w:numPr>
          <w:ilvl w:val="1"/>
          <w:numId w:val="6"/>
        </w:numPr>
        <w:spacing w:after="0" w:line="240" w:lineRule="auto"/>
        <w:rPr>
          <w:rFonts w:ascii="Book Antiqua" w:hAnsi="Book Antiqua"/>
          <w:u w:val="single"/>
        </w:rPr>
      </w:pPr>
      <w:r>
        <w:rPr>
          <w:rFonts w:ascii="Book Antiqua" w:hAnsi="Book Antiqua"/>
        </w:rPr>
        <w:t>2020 compared to 2019 data</w:t>
      </w:r>
    </w:p>
    <w:p w:rsidR="006447EA" w:rsidRDefault="006447EA" w:rsidP="006447EA">
      <w:pPr>
        <w:rPr>
          <w:rFonts w:ascii="Book Antiqua" w:hAnsi="Book Antiqua"/>
        </w:rPr>
      </w:pPr>
      <w:r>
        <w:rPr>
          <w:rFonts w:ascii="Book Antiqua" w:hAnsi="Book Antiqua"/>
          <w:noProof/>
        </w:rPr>
        <w:lastRenderedPageBreak/>
        <w:drawing>
          <wp:inline distT="0" distB="0" distL="0" distR="0">
            <wp:extent cx="6257925" cy="1933575"/>
            <wp:effectExtent l="19050" t="0" r="0" b="0"/>
            <wp:docPr id="8"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447EA" w:rsidRDefault="006447EA" w:rsidP="006447EA">
      <w:pPr>
        <w:pStyle w:val="ListParagraph"/>
        <w:rPr>
          <w:rFonts w:ascii="Georgia" w:hAnsi="Georgia"/>
          <w:b/>
        </w:rPr>
      </w:pPr>
      <w:r>
        <w:rPr>
          <w:rFonts w:ascii="Georgia" w:hAnsi="Georgia"/>
          <w:b/>
        </w:rPr>
        <w:t>4</w:t>
      </w:r>
      <w:r w:rsidRPr="005A36E9">
        <w:rPr>
          <w:rFonts w:ascii="Georgia" w:hAnsi="Georgia"/>
          <w:b/>
          <w:vertAlign w:val="superscript"/>
        </w:rPr>
        <w:t>th</w:t>
      </w:r>
      <w:r>
        <w:rPr>
          <w:rFonts w:ascii="Georgia" w:hAnsi="Georgia"/>
          <w:b/>
        </w:rPr>
        <w:t xml:space="preserve"> Quarter Analysis:  </w:t>
      </w:r>
    </w:p>
    <w:p w:rsidR="006447EA" w:rsidRPr="00811D09" w:rsidRDefault="006447EA" w:rsidP="006447EA">
      <w:pPr>
        <w:pStyle w:val="ListParagraph"/>
        <w:numPr>
          <w:ilvl w:val="2"/>
          <w:numId w:val="6"/>
        </w:numPr>
        <w:spacing w:after="0" w:line="240" w:lineRule="auto"/>
        <w:rPr>
          <w:rFonts w:ascii="Book Antiqua" w:hAnsi="Book Antiqua"/>
        </w:rPr>
      </w:pPr>
      <w:r>
        <w:rPr>
          <w:rFonts w:ascii="Book Antiqua" w:hAnsi="Book Antiqua"/>
          <w:u w:val="single"/>
        </w:rPr>
        <w:t>Oct 2020 – 14% of authorized units were not used.  Possible reasons include:</w:t>
      </w:r>
    </w:p>
    <w:p w:rsidR="006447EA" w:rsidRDefault="006447EA" w:rsidP="006447EA">
      <w:pPr>
        <w:pStyle w:val="ListParagraph"/>
        <w:numPr>
          <w:ilvl w:val="3"/>
          <w:numId w:val="6"/>
        </w:numPr>
        <w:spacing w:after="0" w:line="240" w:lineRule="auto"/>
        <w:rPr>
          <w:rFonts w:ascii="Book Antiqua" w:hAnsi="Book Antiqua"/>
        </w:rPr>
      </w:pPr>
      <w:r>
        <w:rPr>
          <w:rFonts w:ascii="Book Antiqua" w:hAnsi="Book Antiqua"/>
        </w:rPr>
        <w:t>COVID-19</w:t>
      </w:r>
    </w:p>
    <w:p w:rsidR="006447EA" w:rsidRDefault="006447EA" w:rsidP="006447EA">
      <w:pPr>
        <w:pStyle w:val="ListParagraph"/>
        <w:numPr>
          <w:ilvl w:val="3"/>
          <w:numId w:val="6"/>
        </w:numPr>
        <w:spacing w:after="0" w:line="240" w:lineRule="auto"/>
        <w:rPr>
          <w:rFonts w:ascii="Book Antiqua" w:hAnsi="Book Antiqua"/>
        </w:rPr>
      </w:pPr>
      <w:r>
        <w:rPr>
          <w:rFonts w:ascii="Book Antiqua" w:hAnsi="Book Antiqua"/>
        </w:rPr>
        <w:t>Appendix K for additional units</w:t>
      </w:r>
    </w:p>
    <w:p w:rsidR="006447EA" w:rsidRDefault="006447EA" w:rsidP="006447EA">
      <w:pPr>
        <w:pStyle w:val="ListParagraph"/>
        <w:numPr>
          <w:ilvl w:val="3"/>
          <w:numId w:val="6"/>
        </w:numPr>
        <w:spacing w:after="0" w:line="240" w:lineRule="auto"/>
        <w:rPr>
          <w:rFonts w:ascii="Book Antiqua" w:hAnsi="Book Antiqua"/>
        </w:rPr>
      </w:pPr>
      <w:r>
        <w:rPr>
          <w:rFonts w:ascii="Book Antiqua" w:hAnsi="Book Antiqua"/>
        </w:rPr>
        <w:t>Retainer Payments not calculated as used units</w:t>
      </w:r>
    </w:p>
    <w:p w:rsidR="006447EA" w:rsidRPr="00811D09" w:rsidRDefault="006447EA" w:rsidP="006447EA">
      <w:pPr>
        <w:pStyle w:val="ListParagraph"/>
        <w:numPr>
          <w:ilvl w:val="2"/>
          <w:numId w:val="6"/>
        </w:numPr>
        <w:spacing w:after="0" w:line="240" w:lineRule="auto"/>
        <w:rPr>
          <w:rFonts w:ascii="Book Antiqua" w:hAnsi="Book Antiqua"/>
        </w:rPr>
      </w:pPr>
      <w:r>
        <w:rPr>
          <w:rFonts w:ascii="Book Antiqua" w:hAnsi="Book Antiqua"/>
          <w:u w:val="single"/>
        </w:rPr>
        <w:t>Nov 2020 – 2% of authorized units were not used.  Possible reasons include:</w:t>
      </w:r>
    </w:p>
    <w:p w:rsidR="006447EA" w:rsidRDefault="006447EA" w:rsidP="006447EA">
      <w:pPr>
        <w:pStyle w:val="ListParagraph"/>
        <w:numPr>
          <w:ilvl w:val="3"/>
          <w:numId w:val="6"/>
        </w:numPr>
        <w:spacing w:after="0" w:line="240" w:lineRule="auto"/>
        <w:rPr>
          <w:rFonts w:ascii="Book Antiqua" w:hAnsi="Book Antiqua"/>
        </w:rPr>
      </w:pPr>
      <w:r>
        <w:rPr>
          <w:rFonts w:ascii="Book Antiqua" w:hAnsi="Book Antiqua"/>
        </w:rPr>
        <w:t>COVID-19</w:t>
      </w:r>
    </w:p>
    <w:p w:rsidR="006447EA" w:rsidRDefault="006447EA" w:rsidP="006447EA">
      <w:pPr>
        <w:pStyle w:val="ListParagraph"/>
        <w:numPr>
          <w:ilvl w:val="3"/>
          <w:numId w:val="6"/>
        </w:numPr>
        <w:spacing w:after="0" w:line="240" w:lineRule="auto"/>
        <w:rPr>
          <w:rFonts w:ascii="Book Antiqua" w:hAnsi="Book Antiqua"/>
        </w:rPr>
      </w:pPr>
      <w:r>
        <w:rPr>
          <w:rFonts w:ascii="Book Antiqua" w:hAnsi="Book Antiqua"/>
        </w:rPr>
        <w:t>Appendix K for additional units</w:t>
      </w:r>
    </w:p>
    <w:p w:rsidR="006447EA" w:rsidRPr="00766F33" w:rsidRDefault="006447EA" w:rsidP="006447EA">
      <w:pPr>
        <w:pStyle w:val="ListParagraph"/>
        <w:numPr>
          <w:ilvl w:val="3"/>
          <w:numId w:val="6"/>
        </w:numPr>
        <w:spacing w:after="0" w:line="240" w:lineRule="auto"/>
        <w:rPr>
          <w:rFonts w:ascii="Book Antiqua" w:hAnsi="Book Antiqua"/>
        </w:rPr>
      </w:pPr>
      <w:r>
        <w:rPr>
          <w:rFonts w:ascii="Book Antiqua" w:hAnsi="Book Antiqua"/>
        </w:rPr>
        <w:t>Retainer Payments not calculated as used units</w:t>
      </w:r>
    </w:p>
    <w:p w:rsidR="006447EA" w:rsidRPr="00811D09" w:rsidRDefault="006447EA" w:rsidP="006447EA">
      <w:pPr>
        <w:pStyle w:val="ListParagraph"/>
        <w:numPr>
          <w:ilvl w:val="2"/>
          <w:numId w:val="6"/>
        </w:numPr>
        <w:spacing w:after="0" w:line="240" w:lineRule="auto"/>
        <w:rPr>
          <w:rFonts w:ascii="Book Antiqua" w:hAnsi="Book Antiqua"/>
        </w:rPr>
      </w:pPr>
      <w:r>
        <w:rPr>
          <w:rFonts w:ascii="Book Antiqua" w:hAnsi="Book Antiqua"/>
          <w:u w:val="single"/>
        </w:rPr>
        <w:t xml:space="preserve">Dec 2020 – 14% of authorized </w:t>
      </w:r>
      <w:proofErr w:type="spellStart"/>
      <w:r>
        <w:rPr>
          <w:rFonts w:ascii="Book Antiqua" w:hAnsi="Book Antiqua"/>
          <w:u w:val="single"/>
        </w:rPr>
        <w:t>untis</w:t>
      </w:r>
      <w:proofErr w:type="spellEnd"/>
      <w:r>
        <w:rPr>
          <w:rFonts w:ascii="Book Antiqua" w:hAnsi="Book Antiqua"/>
          <w:u w:val="single"/>
        </w:rPr>
        <w:t xml:space="preserve"> were not used. Possible reasons include:</w:t>
      </w:r>
    </w:p>
    <w:p w:rsidR="006447EA" w:rsidRDefault="006447EA" w:rsidP="006447EA">
      <w:pPr>
        <w:pStyle w:val="ListParagraph"/>
        <w:numPr>
          <w:ilvl w:val="3"/>
          <w:numId w:val="6"/>
        </w:numPr>
        <w:spacing w:after="0" w:line="240" w:lineRule="auto"/>
        <w:rPr>
          <w:rFonts w:ascii="Book Antiqua" w:hAnsi="Book Antiqua"/>
        </w:rPr>
      </w:pPr>
      <w:r>
        <w:rPr>
          <w:rFonts w:ascii="Book Antiqua" w:hAnsi="Book Antiqua"/>
        </w:rPr>
        <w:t>COVID-19</w:t>
      </w:r>
    </w:p>
    <w:p w:rsidR="006447EA" w:rsidRDefault="006447EA" w:rsidP="006447EA">
      <w:pPr>
        <w:pStyle w:val="ListParagraph"/>
        <w:numPr>
          <w:ilvl w:val="3"/>
          <w:numId w:val="6"/>
        </w:numPr>
        <w:spacing w:after="0" w:line="240" w:lineRule="auto"/>
        <w:rPr>
          <w:rFonts w:ascii="Book Antiqua" w:hAnsi="Book Antiqua"/>
        </w:rPr>
      </w:pPr>
      <w:r>
        <w:rPr>
          <w:rFonts w:ascii="Book Antiqua" w:hAnsi="Book Antiqua"/>
        </w:rPr>
        <w:t>Appendix K for additional units</w:t>
      </w:r>
    </w:p>
    <w:p w:rsidR="006447EA" w:rsidRPr="00F922B5" w:rsidRDefault="006447EA" w:rsidP="006447EA">
      <w:pPr>
        <w:pStyle w:val="ListParagraph"/>
        <w:numPr>
          <w:ilvl w:val="3"/>
          <w:numId w:val="6"/>
        </w:numPr>
        <w:spacing w:after="0" w:line="240" w:lineRule="auto"/>
        <w:rPr>
          <w:rFonts w:ascii="Book Antiqua" w:hAnsi="Book Antiqua"/>
        </w:rPr>
      </w:pPr>
      <w:r>
        <w:rPr>
          <w:rFonts w:ascii="Book Antiqua" w:hAnsi="Book Antiqua"/>
        </w:rPr>
        <w:t>Retainer Payments not calculated as used units</w:t>
      </w:r>
    </w:p>
    <w:p w:rsidR="006447EA" w:rsidRDefault="006447EA" w:rsidP="006447EA">
      <w:pPr>
        <w:pStyle w:val="ListParagraph"/>
        <w:spacing w:after="0" w:line="240" w:lineRule="auto"/>
        <w:rPr>
          <w:rFonts w:ascii="Book Antiqua" w:hAnsi="Book Antiqua"/>
          <w:b/>
        </w:rPr>
      </w:pPr>
    </w:p>
    <w:p w:rsidR="006447EA" w:rsidRDefault="006447EA" w:rsidP="006447EA">
      <w:pPr>
        <w:pStyle w:val="ListParagraph"/>
        <w:spacing w:after="0" w:line="240" w:lineRule="auto"/>
        <w:rPr>
          <w:rFonts w:ascii="Book Antiqua" w:hAnsi="Book Antiqua"/>
          <w:b/>
        </w:rPr>
      </w:pPr>
      <w:r>
        <w:rPr>
          <w:rFonts w:ascii="Book Antiqua" w:hAnsi="Book Antiqua"/>
          <w:b/>
        </w:rPr>
        <w:t>Target met each month in 4</w:t>
      </w:r>
      <w:r w:rsidRPr="005A36E9">
        <w:rPr>
          <w:rFonts w:ascii="Book Antiqua" w:hAnsi="Book Antiqua"/>
          <w:b/>
          <w:vertAlign w:val="superscript"/>
        </w:rPr>
        <w:t>th</w:t>
      </w:r>
      <w:r>
        <w:rPr>
          <w:rFonts w:ascii="Book Antiqua" w:hAnsi="Book Antiqua"/>
          <w:b/>
        </w:rPr>
        <w:t xml:space="preserve"> quarter.</w:t>
      </w:r>
    </w:p>
    <w:p w:rsidR="006447EA" w:rsidRDefault="006447EA" w:rsidP="006447EA">
      <w:pPr>
        <w:pStyle w:val="ListParagraph"/>
        <w:spacing w:after="0" w:line="240" w:lineRule="auto"/>
        <w:rPr>
          <w:rFonts w:ascii="Book Antiqua" w:hAnsi="Book Antiqua"/>
          <w:b/>
        </w:rPr>
      </w:pPr>
    </w:p>
    <w:p w:rsidR="006447EA" w:rsidRPr="00351162" w:rsidRDefault="006447EA" w:rsidP="006447EA">
      <w:pPr>
        <w:pStyle w:val="ListParagraph"/>
        <w:spacing w:after="0" w:line="240" w:lineRule="auto"/>
        <w:rPr>
          <w:rFonts w:ascii="Georgia" w:hAnsi="Georgia"/>
        </w:rPr>
      </w:pPr>
      <w:r w:rsidRPr="00351162">
        <w:rPr>
          <w:rFonts w:ascii="Georgia" w:hAnsi="Georgia"/>
          <w:b/>
        </w:rPr>
        <w:t xml:space="preserve">Analysis: </w:t>
      </w:r>
      <w:r w:rsidRPr="00351162">
        <w:rPr>
          <w:rFonts w:ascii="Georgia" w:hAnsi="Georgia"/>
        </w:rPr>
        <w:t>2020 had many extenuating circumstances affecting the number of authorized units billed.  The Covid-19 Pandemic significantly affected staff’s ability to work with their clients.  This was apparent during the 2</w:t>
      </w:r>
      <w:r w:rsidRPr="00351162">
        <w:rPr>
          <w:rFonts w:ascii="Georgia" w:hAnsi="Georgia"/>
          <w:vertAlign w:val="superscript"/>
        </w:rPr>
        <w:t>nd</w:t>
      </w:r>
      <w:r w:rsidRPr="00351162">
        <w:rPr>
          <w:rFonts w:ascii="Georgia" w:hAnsi="Georgia"/>
        </w:rPr>
        <w:t xml:space="preserve"> quarter when the target was not reached at all.  By the 4</w:t>
      </w:r>
      <w:r w:rsidRPr="00351162">
        <w:rPr>
          <w:rFonts w:ascii="Georgia" w:hAnsi="Georgia"/>
          <w:vertAlign w:val="superscript"/>
        </w:rPr>
        <w:t>th</w:t>
      </w:r>
      <w:r w:rsidRPr="00351162">
        <w:rPr>
          <w:rFonts w:ascii="Georgia" w:hAnsi="Georgia"/>
        </w:rPr>
        <w:t xml:space="preserve"> quarter, billing was up significantly due to flexibilities in Appendix K.  Service Delivery slowed down during the end of 1</w:t>
      </w:r>
      <w:r w:rsidRPr="00351162">
        <w:rPr>
          <w:rFonts w:ascii="Georgia" w:hAnsi="Georgia"/>
          <w:vertAlign w:val="superscript"/>
        </w:rPr>
        <w:t>st</w:t>
      </w:r>
      <w:r w:rsidRPr="00351162">
        <w:rPr>
          <w:rFonts w:ascii="Georgia" w:hAnsi="Georgia"/>
        </w:rPr>
        <w:t xml:space="preserve"> quarter and all of 2</w:t>
      </w:r>
      <w:r w:rsidRPr="00351162">
        <w:rPr>
          <w:rFonts w:ascii="Georgia" w:hAnsi="Georgia"/>
          <w:vertAlign w:val="superscript"/>
        </w:rPr>
        <w:t>nd</w:t>
      </w:r>
      <w:r w:rsidRPr="00351162">
        <w:rPr>
          <w:rFonts w:ascii="Georgia" w:hAnsi="Georgia"/>
        </w:rPr>
        <w:t xml:space="preserve"> quarter, however billing still occurred as possible during the National Crisis.  No significant trends </w:t>
      </w:r>
      <w:r w:rsidRPr="00351162">
        <w:rPr>
          <w:rFonts w:ascii="Georgia" w:hAnsi="Georgia"/>
        </w:rPr>
        <w:lastRenderedPageBreak/>
        <w:t xml:space="preserve">were noticed outside of restrictions put into place due to the Covid-19 pandemic.  Dreamweavers will continue to monitor local, state, and federal guidance and any updates to Appendix K and the ability to provide services. </w:t>
      </w:r>
    </w:p>
    <w:p w:rsidR="006447EA" w:rsidRPr="00351162" w:rsidRDefault="006447EA" w:rsidP="006447EA">
      <w:pPr>
        <w:pStyle w:val="ListParagraph"/>
        <w:rPr>
          <w:rFonts w:ascii="Georgia" w:hAnsi="Georgia"/>
          <w:b/>
        </w:rPr>
      </w:pPr>
    </w:p>
    <w:p w:rsidR="006447EA" w:rsidRPr="000D3BA4" w:rsidRDefault="006447EA" w:rsidP="006447EA">
      <w:pPr>
        <w:pStyle w:val="ListParagraph"/>
        <w:numPr>
          <w:ilvl w:val="0"/>
          <w:numId w:val="5"/>
        </w:numPr>
        <w:rPr>
          <w:rFonts w:ascii="Georgia" w:hAnsi="Georgia"/>
          <w:b/>
          <w:sz w:val="24"/>
          <w:szCs w:val="24"/>
        </w:rPr>
      </w:pPr>
      <w:r>
        <w:rPr>
          <w:rFonts w:ascii="Georgia" w:hAnsi="Georgia"/>
          <w:b/>
          <w:sz w:val="24"/>
          <w:szCs w:val="24"/>
        </w:rPr>
        <w:t>ACCESS TO SERVICES</w:t>
      </w:r>
      <w:r w:rsidRPr="006D21A8">
        <w:rPr>
          <w:rFonts w:ascii="Georgia" w:hAnsi="Georgia"/>
          <w:b/>
          <w:sz w:val="24"/>
          <w:szCs w:val="24"/>
        </w:rPr>
        <w:t xml:space="preserve"> </w:t>
      </w:r>
    </w:p>
    <w:tbl>
      <w:tblPr>
        <w:tblStyle w:val="TableGrid"/>
        <w:tblW w:w="15030" w:type="dxa"/>
        <w:tblInd w:w="-972" w:type="dxa"/>
        <w:tblLayout w:type="fixed"/>
        <w:tblLook w:val="04A0"/>
      </w:tblPr>
      <w:tblGrid>
        <w:gridCol w:w="2700"/>
        <w:gridCol w:w="2160"/>
        <w:gridCol w:w="1800"/>
        <w:gridCol w:w="2070"/>
        <w:gridCol w:w="3060"/>
        <w:gridCol w:w="3240"/>
      </w:tblGrid>
      <w:tr w:rsidR="006447EA" w:rsidTr="006447EA">
        <w:tc>
          <w:tcPr>
            <w:tcW w:w="2700" w:type="dxa"/>
          </w:tcPr>
          <w:p w:rsidR="006447EA" w:rsidRPr="000D3BA4" w:rsidRDefault="006447EA" w:rsidP="006447EA">
            <w:pPr>
              <w:jc w:val="center"/>
              <w:rPr>
                <w:rFonts w:ascii="Georgia" w:hAnsi="Georgia"/>
                <w:b/>
                <w:sz w:val="24"/>
                <w:szCs w:val="24"/>
              </w:rPr>
            </w:pPr>
            <w:r w:rsidRPr="000D3BA4">
              <w:rPr>
                <w:rFonts w:ascii="Georgia" w:hAnsi="Georgia"/>
                <w:b/>
                <w:sz w:val="24"/>
                <w:szCs w:val="24"/>
              </w:rPr>
              <w:t>Performance Indicator</w:t>
            </w:r>
          </w:p>
        </w:tc>
        <w:tc>
          <w:tcPr>
            <w:tcW w:w="2160" w:type="dxa"/>
          </w:tcPr>
          <w:p w:rsidR="006447EA" w:rsidRPr="000D3BA4" w:rsidRDefault="006447EA" w:rsidP="006447EA">
            <w:pPr>
              <w:jc w:val="center"/>
              <w:rPr>
                <w:rFonts w:ascii="Georgia" w:hAnsi="Georgia"/>
                <w:b/>
                <w:sz w:val="24"/>
                <w:szCs w:val="24"/>
              </w:rPr>
            </w:pPr>
            <w:r>
              <w:rPr>
                <w:rFonts w:ascii="Georgia" w:hAnsi="Georgia"/>
                <w:b/>
                <w:sz w:val="24"/>
                <w:szCs w:val="24"/>
              </w:rPr>
              <w:t>Who will this apply to?</w:t>
            </w:r>
          </w:p>
        </w:tc>
        <w:tc>
          <w:tcPr>
            <w:tcW w:w="1800" w:type="dxa"/>
          </w:tcPr>
          <w:p w:rsidR="006447EA" w:rsidRPr="000D3BA4" w:rsidRDefault="006447EA" w:rsidP="006447EA">
            <w:pPr>
              <w:jc w:val="center"/>
              <w:rPr>
                <w:rFonts w:ascii="Georgia" w:hAnsi="Georgia"/>
                <w:b/>
                <w:sz w:val="24"/>
                <w:szCs w:val="24"/>
              </w:rPr>
            </w:pPr>
            <w:r w:rsidRPr="000D3BA4">
              <w:rPr>
                <w:rFonts w:ascii="Georgia" w:hAnsi="Georgia"/>
                <w:b/>
                <w:sz w:val="24"/>
                <w:szCs w:val="24"/>
              </w:rPr>
              <w:t>Responsible Party</w:t>
            </w:r>
          </w:p>
        </w:tc>
        <w:tc>
          <w:tcPr>
            <w:tcW w:w="2070" w:type="dxa"/>
          </w:tcPr>
          <w:p w:rsidR="006447EA" w:rsidRPr="000D3BA4" w:rsidRDefault="006447EA" w:rsidP="006447EA">
            <w:pPr>
              <w:jc w:val="center"/>
              <w:rPr>
                <w:rFonts w:ascii="Georgia" w:hAnsi="Georgia"/>
                <w:b/>
                <w:sz w:val="24"/>
                <w:szCs w:val="24"/>
              </w:rPr>
            </w:pPr>
            <w:r>
              <w:rPr>
                <w:rFonts w:ascii="Georgia" w:hAnsi="Georgia"/>
                <w:b/>
                <w:sz w:val="24"/>
                <w:szCs w:val="24"/>
              </w:rPr>
              <w:t>Data sources</w:t>
            </w:r>
          </w:p>
        </w:tc>
        <w:tc>
          <w:tcPr>
            <w:tcW w:w="3060" w:type="dxa"/>
          </w:tcPr>
          <w:p w:rsidR="006447EA" w:rsidRPr="000D3BA4" w:rsidRDefault="006447EA" w:rsidP="006447EA">
            <w:pPr>
              <w:jc w:val="center"/>
              <w:rPr>
                <w:rFonts w:ascii="Georgia" w:hAnsi="Georgia"/>
                <w:b/>
                <w:sz w:val="24"/>
                <w:szCs w:val="24"/>
              </w:rPr>
            </w:pPr>
            <w:r>
              <w:rPr>
                <w:rFonts w:ascii="Georgia" w:hAnsi="Georgia"/>
                <w:b/>
                <w:sz w:val="24"/>
                <w:szCs w:val="24"/>
              </w:rPr>
              <w:t>Relevant time-frames for data collection</w:t>
            </w:r>
          </w:p>
        </w:tc>
        <w:tc>
          <w:tcPr>
            <w:tcW w:w="3240" w:type="dxa"/>
          </w:tcPr>
          <w:p w:rsidR="006447EA" w:rsidRPr="000D3BA4" w:rsidRDefault="006447EA" w:rsidP="006447EA">
            <w:pPr>
              <w:jc w:val="center"/>
              <w:rPr>
                <w:rFonts w:ascii="Georgia" w:hAnsi="Georgia"/>
                <w:b/>
                <w:sz w:val="24"/>
                <w:szCs w:val="24"/>
              </w:rPr>
            </w:pPr>
            <w:r>
              <w:rPr>
                <w:rFonts w:ascii="Georgia" w:hAnsi="Georgia"/>
                <w:b/>
                <w:sz w:val="24"/>
                <w:szCs w:val="24"/>
              </w:rPr>
              <w:t>Performance Target</w:t>
            </w:r>
          </w:p>
        </w:tc>
      </w:tr>
      <w:tr w:rsidR="006447EA" w:rsidTr="006447EA">
        <w:tc>
          <w:tcPr>
            <w:tcW w:w="2700" w:type="dxa"/>
          </w:tcPr>
          <w:p w:rsidR="006447EA" w:rsidRPr="00F27ACA" w:rsidRDefault="006447EA" w:rsidP="006447EA">
            <w:pPr>
              <w:rPr>
                <w:rFonts w:ascii="Georgia" w:hAnsi="Georgia"/>
              </w:rPr>
            </w:pPr>
            <w:r w:rsidRPr="00F27ACA">
              <w:rPr>
                <w:rFonts w:ascii="Georgia" w:hAnsi="Georgia"/>
              </w:rPr>
              <w:t>The time-frame in which a staff is hired, completes their required training/documentation and begins working with client.</w:t>
            </w:r>
          </w:p>
        </w:tc>
        <w:tc>
          <w:tcPr>
            <w:tcW w:w="2160" w:type="dxa"/>
          </w:tcPr>
          <w:p w:rsidR="006447EA" w:rsidRPr="00F27ACA" w:rsidRDefault="006447EA" w:rsidP="006447EA">
            <w:pPr>
              <w:rPr>
                <w:rFonts w:ascii="Georgia" w:hAnsi="Georgia"/>
              </w:rPr>
            </w:pPr>
            <w:r w:rsidRPr="00F27ACA">
              <w:rPr>
                <w:rFonts w:ascii="Georgia" w:hAnsi="Georgia"/>
              </w:rPr>
              <w:t>Newly hired employees</w:t>
            </w:r>
          </w:p>
        </w:tc>
        <w:tc>
          <w:tcPr>
            <w:tcW w:w="1800" w:type="dxa"/>
          </w:tcPr>
          <w:p w:rsidR="006447EA" w:rsidRPr="00F27ACA" w:rsidRDefault="006447EA" w:rsidP="006447EA">
            <w:pPr>
              <w:rPr>
                <w:rFonts w:ascii="Georgia" w:hAnsi="Georgia"/>
              </w:rPr>
            </w:pPr>
            <w:r w:rsidRPr="00F27ACA">
              <w:rPr>
                <w:rFonts w:ascii="Georgia" w:hAnsi="Georgia"/>
              </w:rPr>
              <w:t>Betsy</w:t>
            </w:r>
          </w:p>
        </w:tc>
        <w:tc>
          <w:tcPr>
            <w:tcW w:w="2070" w:type="dxa"/>
          </w:tcPr>
          <w:p w:rsidR="006447EA" w:rsidRPr="00F27ACA" w:rsidRDefault="006447EA" w:rsidP="006447EA">
            <w:pPr>
              <w:rPr>
                <w:rFonts w:ascii="Georgia" w:hAnsi="Georgia"/>
              </w:rPr>
            </w:pPr>
            <w:r w:rsidRPr="00F27ACA">
              <w:rPr>
                <w:rFonts w:ascii="Georgia" w:hAnsi="Georgia"/>
              </w:rPr>
              <w:t>Hire date, training dates, first day worked with client</w:t>
            </w:r>
          </w:p>
        </w:tc>
        <w:tc>
          <w:tcPr>
            <w:tcW w:w="3060" w:type="dxa"/>
          </w:tcPr>
          <w:p w:rsidR="006447EA" w:rsidRPr="00F27ACA" w:rsidRDefault="006447EA" w:rsidP="006447EA">
            <w:pPr>
              <w:rPr>
                <w:rFonts w:ascii="Georgia" w:hAnsi="Georgia"/>
              </w:rPr>
            </w:pPr>
            <w:r w:rsidRPr="00F27ACA">
              <w:rPr>
                <w:rFonts w:ascii="Georgia" w:hAnsi="Georgia"/>
              </w:rPr>
              <w:t>Dates are documented at each step of employment</w:t>
            </w:r>
          </w:p>
        </w:tc>
        <w:tc>
          <w:tcPr>
            <w:tcW w:w="3240" w:type="dxa"/>
          </w:tcPr>
          <w:p w:rsidR="006447EA" w:rsidRPr="00F27ACA" w:rsidRDefault="006447EA" w:rsidP="006447EA">
            <w:pPr>
              <w:rPr>
                <w:rFonts w:ascii="Georgia" w:hAnsi="Georgia"/>
              </w:rPr>
            </w:pPr>
            <w:r w:rsidRPr="00F27ACA">
              <w:rPr>
                <w:rFonts w:ascii="Georgia" w:hAnsi="Georgia"/>
              </w:rPr>
              <w:t>No less than 2 week wait time from hire to first day worked with clients.</w:t>
            </w:r>
          </w:p>
        </w:tc>
      </w:tr>
    </w:tbl>
    <w:p w:rsidR="006447EA" w:rsidRDefault="006447EA" w:rsidP="006447EA">
      <w:pPr>
        <w:rPr>
          <w:rFonts w:ascii="Georgia" w:hAnsi="Georgia"/>
          <w:b/>
        </w:rPr>
      </w:pPr>
    </w:p>
    <w:p w:rsidR="006447EA" w:rsidRPr="006D21A8" w:rsidRDefault="006447EA" w:rsidP="006447EA">
      <w:pPr>
        <w:rPr>
          <w:rFonts w:ascii="Georgia" w:hAnsi="Georgia"/>
          <w:b/>
        </w:rPr>
      </w:pPr>
      <w:r w:rsidRPr="006D21A8">
        <w:rPr>
          <w:rFonts w:ascii="Georgia" w:hAnsi="Georgia"/>
          <w:b/>
        </w:rPr>
        <w:t>Results/Updates:</w:t>
      </w:r>
    </w:p>
    <w:p w:rsidR="006447EA" w:rsidRPr="006D21A8" w:rsidRDefault="006447EA" w:rsidP="006447EA">
      <w:pPr>
        <w:pStyle w:val="ListParagraph"/>
        <w:rPr>
          <w:rFonts w:ascii="Georgia" w:hAnsi="Georgia"/>
          <w:b/>
        </w:rPr>
      </w:pPr>
      <w:r w:rsidRPr="006D21A8">
        <w:rPr>
          <w:rFonts w:ascii="Georgia" w:hAnsi="Georgia"/>
          <w:b/>
        </w:rPr>
        <w:t>Q1:</w:t>
      </w:r>
      <w:r>
        <w:rPr>
          <w:rFonts w:ascii="Georgia" w:hAnsi="Georgia"/>
          <w:b/>
        </w:rPr>
        <w:t xml:space="preserve"> </w:t>
      </w:r>
      <w:r w:rsidRPr="00DD6C08">
        <w:rPr>
          <w:rFonts w:ascii="Georgia" w:hAnsi="Georgia"/>
        </w:rPr>
        <w:t xml:space="preserve">5 CSS staff </w:t>
      </w:r>
      <w:proofErr w:type="gramStart"/>
      <w:r w:rsidRPr="00DD6C08">
        <w:rPr>
          <w:rFonts w:ascii="Georgia" w:hAnsi="Georgia"/>
        </w:rPr>
        <w:t>were</w:t>
      </w:r>
      <w:proofErr w:type="gramEnd"/>
      <w:r w:rsidRPr="00DD6C08">
        <w:rPr>
          <w:rFonts w:ascii="Georgia" w:hAnsi="Georgia"/>
        </w:rPr>
        <w:t xml:space="preserve"> hired during 1</w:t>
      </w:r>
      <w:r w:rsidRPr="00DD6C08">
        <w:rPr>
          <w:rFonts w:ascii="Georgia" w:hAnsi="Georgia"/>
          <w:vertAlign w:val="superscript"/>
        </w:rPr>
        <w:t>st</w:t>
      </w:r>
      <w:r w:rsidRPr="00DD6C08">
        <w:rPr>
          <w:rFonts w:ascii="Georgia" w:hAnsi="Georgia"/>
        </w:rPr>
        <w:t xml:space="preserve"> quarter.  2 additional CSS staff began the process and were hired but never started. Of the 5 staff that were hired and started, 2 of them took more than 2 weeks to begin working after they were hired.</w:t>
      </w:r>
      <w:r>
        <w:rPr>
          <w:rFonts w:ascii="Georgia" w:hAnsi="Georgia"/>
          <w:b/>
        </w:rPr>
        <w:t xml:space="preserve">  </w:t>
      </w:r>
    </w:p>
    <w:p w:rsidR="006447EA" w:rsidRPr="006D21A8" w:rsidRDefault="006447EA" w:rsidP="006447EA">
      <w:pPr>
        <w:pStyle w:val="ListParagraph"/>
        <w:rPr>
          <w:rFonts w:ascii="Georgia" w:hAnsi="Georgia"/>
          <w:b/>
        </w:rPr>
      </w:pPr>
      <w:r w:rsidRPr="006D21A8">
        <w:rPr>
          <w:rFonts w:ascii="Georgia" w:hAnsi="Georgia"/>
          <w:b/>
        </w:rPr>
        <w:t>Q2:</w:t>
      </w:r>
      <w:r>
        <w:rPr>
          <w:rFonts w:ascii="Georgia" w:hAnsi="Georgia"/>
          <w:b/>
        </w:rPr>
        <w:t xml:space="preserve"> </w:t>
      </w:r>
      <w:r w:rsidRPr="00DD6C08">
        <w:rPr>
          <w:rFonts w:ascii="Georgia" w:hAnsi="Georgia"/>
        </w:rPr>
        <w:t xml:space="preserve">3 CSS staff </w:t>
      </w:r>
      <w:proofErr w:type="gramStart"/>
      <w:r w:rsidRPr="00DD6C08">
        <w:rPr>
          <w:rFonts w:ascii="Georgia" w:hAnsi="Georgia"/>
        </w:rPr>
        <w:t>were</w:t>
      </w:r>
      <w:proofErr w:type="gramEnd"/>
      <w:r w:rsidRPr="00DD6C08">
        <w:rPr>
          <w:rFonts w:ascii="Georgia" w:hAnsi="Georgia"/>
        </w:rPr>
        <w:t xml:space="preserve"> hired during 2</w:t>
      </w:r>
      <w:r w:rsidRPr="00DD6C08">
        <w:rPr>
          <w:rFonts w:ascii="Georgia" w:hAnsi="Georgia"/>
          <w:vertAlign w:val="superscript"/>
        </w:rPr>
        <w:t>nd</w:t>
      </w:r>
      <w:r w:rsidRPr="00DD6C08">
        <w:rPr>
          <w:rFonts w:ascii="Georgia" w:hAnsi="Georgia"/>
        </w:rPr>
        <w:t xml:space="preserve"> quarter.  All 3 CSS staff started working within 2 weeks of being hired.</w:t>
      </w:r>
      <w:r>
        <w:rPr>
          <w:rFonts w:ascii="Georgia" w:hAnsi="Georgia"/>
          <w:b/>
        </w:rPr>
        <w:t xml:space="preserve"> </w:t>
      </w:r>
    </w:p>
    <w:p w:rsidR="006447EA" w:rsidRPr="006D21A8" w:rsidRDefault="006447EA" w:rsidP="006447EA">
      <w:pPr>
        <w:pStyle w:val="ListParagraph"/>
        <w:rPr>
          <w:rFonts w:ascii="Georgia" w:hAnsi="Georgia"/>
          <w:b/>
        </w:rPr>
      </w:pPr>
      <w:r w:rsidRPr="006D21A8">
        <w:rPr>
          <w:rFonts w:ascii="Georgia" w:hAnsi="Georgia"/>
          <w:b/>
        </w:rPr>
        <w:t>Q3:</w:t>
      </w:r>
      <w:r>
        <w:rPr>
          <w:rFonts w:ascii="Georgia" w:hAnsi="Georgia"/>
          <w:b/>
        </w:rPr>
        <w:t xml:space="preserve"> </w:t>
      </w:r>
      <w:r w:rsidRPr="00DD6C08">
        <w:rPr>
          <w:rFonts w:ascii="Georgia" w:hAnsi="Georgia"/>
        </w:rPr>
        <w:t>1 CSS staff was hired during 3</w:t>
      </w:r>
      <w:r w:rsidRPr="00DD6C08">
        <w:rPr>
          <w:rFonts w:ascii="Georgia" w:hAnsi="Georgia"/>
          <w:vertAlign w:val="superscript"/>
        </w:rPr>
        <w:t>rd</w:t>
      </w:r>
      <w:r w:rsidRPr="00DD6C08">
        <w:rPr>
          <w:rFonts w:ascii="Georgia" w:hAnsi="Georgia"/>
        </w:rPr>
        <w:t xml:space="preserve"> quarter. This staff did not start working for 3.5 weeks after hire.</w:t>
      </w:r>
      <w:r>
        <w:rPr>
          <w:rFonts w:ascii="Georgia" w:hAnsi="Georgia"/>
          <w:b/>
        </w:rPr>
        <w:t xml:space="preserve"> </w:t>
      </w:r>
    </w:p>
    <w:p w:rsidR="006447EA" w:rsidRDefault="006447EA" w:rsidP="006447EA">
      <w:pPr>
        <w:pStyle w:val="ListParagraph"/>
        <w:rPr>
          <w:rFonts w:ascii="Georgia" w:hAnsi="Georgia"/>
          <w:b/>
        </w:rPr>
      </w:pPr>
      <w:r w:rsidRPr="006D21A8">
        <w:rPr>
          <w:rFonts w:ascii="Georgia" w:hAnsi="Georgia"/>
          <w:b/>
        </w:rPr>
        <w:t>Q4:</w:t>
      </w:r>
      <w:r>
        <w:rPr>
          <w:rFonts w:ascii="Georgia" w:hAnsi="Georgia"/>
          <w:b/>
        </w:rPr>
        <w:t xml:space="preserve"> </w:t>
      </w:r>
      <w:r w:rsidRPr="00DD6C08">
        <w:rPr>
          <w:rFonts w:ascii="Georgia" w:hAnsi="Georgia"/>
        </w:rPr>
        <w:t xml:space="preserve">2 CSS staff </w:t>
      </w:r>
      <w:proofErr w:type="gramStart"/>
      <w:r w:rsidRPr="00DD6C08">
        <w:rPr>
          <w:rFonts w:ascii="Georgia" w:hAnsi="Georgia"/>
        </w:rPr>
        <w:t>were</w:t>
      </w:r>
      <w:proofErr w:type="gramEnd"/>
      <w:r w:rsidRPr="00DD6C08">
        <w:rPr>
          <w:rFonts w:ascii="Georgia" w:hAnsi="Georgia"/>
        </w:rPr>
        <w:t xml:space="preserve"> hired during 4</w:t>
      </w:r>
      <w:r w:rsidRPr="00DD6C08">
        <w:rPr>
          <w:rFonts w:ascii="Georgia" w:hAnsi="Georgia"/>
          <w:vertAlign w:val="superscript"/>
        </w:rPr>
        <w:t>th</w:t>
      </w:r>
      <w:r w:rsidRPr="00DD6C08">
        <w:rPr>
          <w:rFonts w:ascii="Georgia" w:hAnsi="Georgia"/>
        </w:rPr>
        <w:t xml:space="preserve"> quarter.  1 never started.  The CSS staff that was hired this quarter started working in less than 1 week.</w:t>
      </w:r>
    </w:p>
    <w:p w:rsidR="006447EA" w:rsidRDefault="006447EA" w:rsidP="006447EA">
      <w:pPr>
        <w:pStyle w:val="ListParagraph"/>
        <w:rPr>
          <w:rFonts w:ascii="Georgia" w:hAnsi="Georgia"/>
          <w:b/>
        </w:rPr>
      </w:pPr>
    </w:p>
    <w:p w:rsidR="00C1273F" w:rsidRDefault="006447EA" w:rsidP="006D21A8">
      <w:pPr>
        <w:pStyle w:val="ListParagraph"/>
        <w:rPr>
          <w:rFonts w:ascii="Georgia" w:hAnsi="Georgia"/>
          <w:b/>
        </w:rPr>
      </w:pPr>
      <w:r>
        <w:rPr>
          <w:rFonts w:ascii="Georgia" w:hAnsi="Georgia"/>
          <w:b/>
        </w:rPr>
        <w:t xml:space="preserve">Analysis: </w:t>
      </w:r>
      <w:r w:rsidRPr="00DD6C08">
        <w:rPr>
          <w:rFonts w:ascii="Georgia" w:hAnsi="Georgia"/>
        </w:rPr>
        <w:t>Of the 10 CSS staff hired this year, 3 of them took longer than the performance target range of 2 weeks from hire to first day working wi</w:t>
      </w:r>
      <w:r w:rsidR="005B439E">
        <w:rPr>
          <w:rFonts w:ascii="Georgia" w:hAnsi="Georgia"/>
        </w:rPr>
        <w:t>th client.  Typicall</w:t>
      </w:r>
      <w:r w:rsidRPr="00DD6C08">
        <w:rPr>
          <w:rFonts w:ascii="Georgia" w:hAnsi="Georgia"/>
        </w:rPr>
        <w:t>y, any</w:t>
      </w:r>
      <w:r>
        <w:rPr>
          <w:rFonts w:ascii="Georgia" w:hAnsi="Georgia"/>
        </w:rPr>
        <w:t xml:space="preserve"> delays in staff beginning to work with clients are a result of </w:t>
      </w:r>
      <w:r w:rsidRPr="00DD6C08">
        <w:rPr>
          <w:rFonts w:ascii="Georgia" w:hAnsi="Georgia"/>
        </w:rPr>
        <w:t>necessary paperwork</w:t>
      </w:r>
      <w:r>
        <w:rPr>
          <w:rFonts w:ascii="Georgia" w:hAnsi="Georgia"/>
        </w:rPr>
        <w:t xml:space="preserve"> being turned in late</w:t>
      </w:r>
      <w:r w:rsidRPr="00DD6C08">
        <w:rPr>
          <w:rFonts w:ascii="Georgia" w:hAnsi="Georgia"/>
        </w:rPr>
        <w:t xml:space="preserve">, </w:t>
      </w:r>
      <w:r w:rsidR="005B439E">
        <w:rPr>
          <w:rFonts w:ascii="Georgia" w:hAnsi="Georgia"/>
        </w:rPr>
        <w:t xml:space="preserve">staff working a notice, </w:t>
      </w:r>
      <w:r w:rsidRPr="00DD6C08">
        <w:rPr>
          <w:rFonts w:ascii="Georgia" w:hAnsi="Georgia"/>
        </w:rPr>
        <w:t>plan approvals</w:t>
      </w:r>
      <w:r>
        <w:rPr>
          <w:rFonts w:ascii="Georgia" w:hAnsi="Georgia"/>
        </w:rPr>
        <w:t xml:space="preserve"> taking longer than anticipated</w:t>
      </w:r>
      <w:r w:rsidRPr="00DD6C08">
        <w:rPr>
          <w:rFonts w:ascii="Georgia" w:hAnsi="Georgia"/>
        </w:rPr>
        <w:t xml:space="preserve">, and/or illnesses of staff or client.  </w:t>
      </w:r>
      <w:r>
        <w:rPr>
          <w:rFonts w:ascii="Georgia" w:hAnsi="Georgia"/>
        </w:rPr>
        <w:t>This affects service delivery negatively by halting revenue from services that could be provided and causing clients to experience a delay in their service start date.  If the delay to start is significant, this can affect client satisfaction overall.  Procedures were put into place to streamline the HR process.  This plan of action has helped decrease the time between staff hire date and their first date working with clients, however, Dreamweavers has little control if the delay is due to a plan approval, illness, or other emergency.  Overall, the actions taken have been successful.</w:t>
      </w:r>
    </w:p>
    <w:sectPr w:rsidR="00C1273F" w:rsidSect="00BA69DD">
      <w:headerReference w:type="default" r:id="rId16"/>
      <w:pgSz w:w="15840" w:h="12240" w:orient="landscape"/>
      <w:pgMar w:top="1440" w:right="630" w:bottom="63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D4B" w:rsidRDefault="00CB2D4B" w:rsidP="007B681C">
      <w:pPr>
        <w:spacing w:after="0" w:line="240" w:lineRule="auto"/>
      </w:pPr>
      <w:r>
        <w:separator/>
      </w:r>
    </w:p>
  </w:endnote>
  <w:endnote w:type="continuationSeparator" w:id="0">
    <w:p w:rsidR="00CB2D4B" w:rsidRDefault="00CB2D4B" w:rsidP="007B68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D4B" w:rsidRDefault="00CB2D4B" w:rsidP="007B681C">
      <w:pPr>
        <w:spacing w:after="0" w:line="240" w:lineRule="auto"/>
      </w:pPr>
      <w:r>
        <w:separator/>
      </w:r>
    </w:p>
  </w:footnote>
  <w:footnote w:type="continuationSeparator" w:id="0">
    <w:p w:rsidR="00CB2D4B" w:rsidRDefault="00CB2D4B" w:rsidP="007B68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EA" w:rsidRDefault="006447EA" w:rsidP="007B681C">
    <w:pPr>
      <w:pStyle w:val="Header"/>
      <w:jc w:val="center"/>
      <w:rPr>
        <w:rFonts w:ascii="Georgia" w:hAnsi="Georgia"/>
        <w:sz w:val="40"/>
        <w:szCs w:val="40"/>
      </w:rPr>
    </w:pPr>
    <w:r w:rsidRPr="007B681C">
      <w:rPr>
        <w:rFonts w:ascii="Georgia" w:hAnsi="Georgia"/>
        <w:sz w:val="40"/>
        <w:szCs w:val="40"/>
      </w:rPr>
      <w:t>DREAMWEAVERS UNLMIITED, INC.</w:t>
    </w:r>
  </w:p>
  <w:p w:rsidR="006447EA" w:rsidRPr="00ED3292" w:rsidRDefault="006447EA" w:rsidP="007B681C">
    <w:pPr>
      <w:pStyle w:val="Header"/>
      <w:jc w:val="center"/>
      <w:rPr>
        <w:rFonts w:ascii="Georgia" w:hAnsi="Georgia"/>
        <w:sz w:val="16"/>
        <w:szCs w:val="16"/>
      </w:rPr>
    </w:pPr>
  </w:p>
  <w:p w:rsidR="006447EA" w:rsidRDefault="006447EA" w:rsidP="00ED3292">
    <w:pPr>
      <w:ind w:left="-720" w:right="90"/>
      <w:jc w:val="center"/>
      <w:rPr>
        <w:rFonts w:ascii="Georgia" w:hAnsi="Georgia"/>
        <w:sz w:val="36"/>
        <w:szCs w:val="36"/>
      </w:rPr>
    </w:pPr>
    <w:r>
      <w:rPr>
        <w:rFonts w:ascii="Georgia" w:hAnsi="Georgia"/>
        <w:sz w:val="36"/>
        <w:szCs w:val="36"/>
      </w:rPr>
      <w:t>2020</w:t>
    </w:r>
    <w:r w:rsidRPr="007B681C">
      <w:rPr>
        <w:rFonts w:ascii="Georgia" w:hAnsi="Georgia"/>
        <w:sz w:val="36"/>
        <w:szCs w:val="36"/>
      </w:rPr>
      <w:t xml:space="preserve"> Performance </w:t>
    </w:r>
    <w:r>
      <w:rPr>
        <w:rFonts w:ascii="Georgia" w:hAnsi="Georgia"/>
        <w:sz w:val="36"/>
        <w:szCs w:val="36"/>
      </w:rPr>
      <w:t>Improvement Plan Results and Analysis</w:t>
    </w:r>
  </w:p>
  <w:p w:rsidR="006447EA" w:rsidRPr="007B681C" w:rsidRDefault="006447EA" w:rsidP="00ED3292">
    <w:pPr>
      <w:ind w:left="-720" w:right="90"/>
      <w:jc w:val="center"/>
      <w:rPr>
        <w:rFonts w:ascii="Georgia" w:hAnsi="Georgia"/>
        <w:sz w:val="36"/>
        <w:szCs w:val="36"/>
      </w:rPr>
    </w:pPr>
    <w:r>
      <w:rPr>
        <w:rFonts w:ascii="Georgia" w:hAnsi="Georgia"/>
        <w:sz w:val="36"/>
        <w:szCs w:val="36"/>
      </w:rPr>
      <w:t>Service Delivery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D6453"/>
    <w:multiLevelType w:val="hybridMultilevel"/>
    <w:tmpl w:val="310E62EE"/>
    <w:lvl w:ilvl="0" w:tplc="A6964E30">
      <w:start w:val="1"/>
      <w:numFmt w:val="lowerLetter"/>
      <w:lvlText w:val="%1."/>
      <w:lvlJc w:val="left"/>
      <w:pPr>
        <w:tabs>
          <w:tab w:val="num" w:pos="1440"/>
        </w:tabs>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AD2DEE"/>
    <w:multiLevelType w:val="hybridMultilevel"/>
    <w:tmpl w:val="C6CC24BA"/>
    <w:lvl w:ilvl="0" w:tplc="61EC20D4">
      <w:start w:val="1"/>
      <w:numFmt w:val="upperRoman"/>
      <w:lvlText w:val="%1."/>
      <w:lvlJc w:val="right"/>
      <w:pPr>
        <w:ind w:left="720" w:hanging="360"/>
      </w:pPr>
      <w:rPr>
        <w:rFonts w:ascii="Georgia" w:hAnsi="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217885"/>
    <w:multiLevelType w:val="hybridMultilevel"/>
    <w:tmpl w:val="C6CC24BA"/>
    <w:lvl w:ilvl="0" w:tplc="61EC20D4">
      <w:start w:val="1"/>
      <w:numFmt w:val="upperRoman"/>
      <w:lvlText w:val="%1."/>
      <w:lvlJc w:val="right"/>
      <w:pPr>
        <w:ind w:left="720" w:hanging="360"/>
      </w:pPr>
      <w:rPr>
        <w:rFonts w:ascii="Georgia" w:hAnsi="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6B5250"/>
    <w:multiLevelType w:val="hybridMultilevel"/>
    <w:tmpl w:val="3C1094CC"/>
    <w:lvl w:ilvl="0" w:tplc="04090013">
      <w:start w:val="1"/>
      <w:numFmt w:val="upperRoman"/>
      <w:lvlText w:val="%1."/>
      <w:lvlJc w:val="righ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4">
    <w:nsid w:val="312F0D6A"/>
    <w:multiLevelType w:val="hybridMultilevel"/>
    <w:tmpl w:val="49BE4FF4"/>
    <w:lvl w:ilvl="0" w:tplc="0409000F">
      <w:start w:val="1"/>
      <w:numFmt w:val="decimal"/>
      <w:lvlText w:val="%1."/>
      <w:lvlJc w:val="left"/>
      <w:pPr>
        <w:tabs>
          <w:tab w:val="num" w:pos="720"/>
        </w:tabs>
        <w:ind w:left="720" w:hanging="360"/>
      </w:pPr>
      <w:rPr>
        <w:rFonts w:hint="default"/>
      </w:rPr>
    </w:lvl>
    <w:lvl w:ilvl="1" w:tplc="A6964E30">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E806F8A"/>
    <w:multiLevelType w:val="hybridMultilevel"/>
    <w:tmpl w:val="C6CC24BA"/>
    <w:lvl w:ilvl="0" w:tplc="61EC20D4">
      <w:start w:val="1"/>
      <w:numFmt w:val="upperRoman"/>
      <w:lvlText w:val="%1."/>
      <w:lvlJc w:val="right"/>
      <w:pPr>
        <w:ind w:left="720" w:hanging="360"/>
      </w:pPr>
      <w:rPr>
        <w:rFonts w:ascii="Georgia" w:hAnsi="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6074C5"/>
    <w:multiLevelType w:val="hybridMultilevel"/>
    <w:tmpl w:val="E6A62898"/>
    <w:lvl w:ilvl="0" w:tplc="8FC4F9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6B2C44"/>
    <w:multiLevelType w:val="hybridMultilevel"/>
    <w:tmpl w:val="C6CC24BA"/>
    <w:lvl w:ilvl="0" w:tplc="61EC20D4">
      <w:start w:val="1"/>
      <w:numFmt w:val="upperRoman"/>
      <w:lvlText w:val="%1."/>
      <w:lvlJc w:val="right"/>
      <w:pPr>
        <w:ind w:left="720" w:hanging="360"/>
      </w:pPr>
      <w:rPr>
        <w:rFonts w:ascii="Georgia" w:hAnsi="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9613D8"/>
    <w:multiLevelType w:val="hybridMultilevel"/>
    <w:tmpl w:val="C6CC24BA"/>
    <w:lvl w:ilvl="0" w:tplc="61EC20D4">
      <w:start w:val="1"/>
      <w:numFmt w:val="upperRoman"/>
      <w:lvlText w:val="%1."/>
      <w:lvlJc w:val="right"/>
      <w:pPr>
        <w:ind w:left="720" w:hanging="360"/>
      </w:pPr>
      <w:rPr>
        <w:rFonts w:ascii="Georgia" w:hAnsi="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244DCB"/>
    <w:multiLevelType w:val="hybridMultilevel"/>
    <w:tmpl w:val="98C661B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C8325F"/>
    <w:multiLevelType w:val="hybridMultilevel"/>
    <w:tmpl w:val="6A3C1F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A3677B"/>
    <w:multiLevelType w:val="hybridMultilevel"/>
    <w:tmpl w:val="2A86A1C8"/>
    <w:lvl w:ilvl="0" w:tplc="A6964E30">
      <w:start w:val="1"/>
      <w:numFmt w:val="lowerLetter"/>
      <w:lvlText w:val="%1."/>
      <w:lvlJc w:val="left"/>
      <w:pPr>
        <w:tabs>
          <w:tab w:val="num" w:pos="1440"/>
        </w:tabs>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1563A5"/>
    <w:multiLevelType w:val="hybridMultilevel"/>
    <w:tmpl w:val="E46C90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874252"/>
    <w:multiLevelType w:val="hybridMultilevel"/>
    <w:tmpl w:val="2440F730"/>
    <w:lvl w:ilvl="0" w:tplc="A6964E30">
      <w:start w:val="1"/>
      <w:numFmt w:val="lowerLetter"/>
      <w:lvlText w:val="%1."/>
      <w:lvlJc w:val="left"/>
      <w:pPr>
        <w:tabs>
          <w:tab w:val="num" w:pos="1440"/>
        </w:tabs>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9F3D47"/>
    <w:multiLevelType w:val="hybridMultilevel"/>
    <w:tmpl w:val="C6CC24BA"/>
    <w:lvl w:ilvl="0" w:tplc="61EC20D4">
      <w:start w:val="1"/>
      <w:numFmt w:val="upperRoman"/>
      <w:lvlText w:val="%1."/>
      <w:lvlJc w:val="right"/>
      <w:pPr>
        <w:ind w:left="720" w:hanging="360"/>
      </w:pPr>
      <w:rPr>
        <w:rFonts w:ascii="Georgia" w:hAnsi="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10"/>
  </w:num>
  <w:num w:numId="4">
    <w:abstractNumId w:val="6"/>
  </w:num>
  <w:num w:numId="5">
    <w:abstractNumId w:val="7"/>
  </w:num>
  <w:num w:numId="6">
    <w:abstractNumId w:val="4"/>
  </w:num>
  <w:num w:numId="7">
    <w:abstractNumId w:val="9"/>
  </w:num>
  <w:num w:numId="8">
    <w:abstractNumId w:val="1"/>
  </w:num>
  <w:num w:numId="9">
    <w:abstractNumId w:val="5"/>
  </w:num>
  <w:num w:numId="10">
    <w:abstractNumId w:val="2"/>
  </w:num>
  <w:num w:numId="11">
    <w:abstractNumId w:val="8"/>
  </w:num>
  <w:num w:numId="12">
    <w:abstractNumId w:val="14"/>
  </w:num>
  <w:num w:numId="13">
    <w:abstractNumId w:val="0"/>
  </w:num>
  <w:num w:numId="14">
    <w:abstractNumId w:val="11"/>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D26A6"/>
    <w:rsid w:val="00051078"/>
    <w:rsid w:val="00056C4B"/>
    <w:rsid w:val="000D3BA4"/>
    <w:rsid w:val="000D710A"/>
    <w:rsid w:val="000F0B88"/>
    <w:rsid w:val="001216F9"/>
    <w:rsid w:val="00130113"/>
    <w:rsid w:val="001623C4"/>
    <w:rsid w:val="00165E62"/>
    <w:rsid w:val="00170978"/>
    <w:rsid w:val="00191C31"/>
    <w:rsid w:val="001C31D9"/>
    <w:rsid w:val="001D5F12"/>
    <w:rsid w:val="001F42F8"/>
    <w:rsid w:val="00206835"/>
    <w:rsid w:val="00237635"/>
    <w:rsid w:val="00283162"/>
    <w:rsid w:val="002D72A6"/>
    <w:rsid w:val="002E6F6B"/>
    <w:rsid w:val="00315B99"/>
    <w:rsid w:val="00320FE7"/>
    <w:rsid w:val="0034512D"/>
    <w:rsid w:val="00350752"/>
    <w:rsid w:val="00351162"/>
    <w:rsid w:val="00352D42"/>
    <w:rsid w:val="0035677B"/>
    <w:rsid w:val="00365138"/>
    <w:rsid w:val="00375D34"/>
    <w:rsid w:val="00392568"/>
    <w:rsid w:val="003A101B"/>
    <w:rsid w:val="003B49CB"/>
    <w:rsid w:val="003F35C0"/>
    <w:rsid w:val="0044190E"/>
    <w:rsid w:val="00444A7D"/>
    <w:rsid w:val="00470668"/>
    <w:rsid w:val="004A4EDD"/>
    <w:rsid w:val="004E6C3E"/>
    <w:rsid w:val="00554D15"/>
    <w:rsid w:val="005A7341"/>
    <w:rsid w:val="005B439E"/>
    <w:rsid w:val="005E1D03"/>
    <w:rsid w:val="006447EA"/>
    <w:rsid w:val="00647D8C"/>
    <w:rsid w:val="00674B26"/>
    <w:rsid w:val="006B7466"/>
    <w:rsid w:val="006D21A8"/>
    <w:rsid w:val="006D34E0"/>
    <w:rsid w:val="00715799"/>
    <w:rsid w:val="00724E4A"/>
    <w:rsid w:val="007553CC"/>
    <w:rsid w:val="00760D03"/>
    <w:rsid w:val="007B681C"/>
    <w:rsid w:val="00841A76"/>
    <w:rsid w:val="008438F0"/>
    <w:rsid w:val="00870BA1"/>
    <w:rsid w:val="0087737E"/>
    <w:rsid w:val="008E2FA4"/>
    <w:rsid w:val="009330FD"/>
    <w:rsid w:val="00941905"/>
    <w:rsid w:val="009461EA"/>
    <w:rsid w:val="009569D4"/>
    <w:rsid w:val="009629AD"/>
    <w:rsid w:val="00992960"/>
    <w:rsid w:val="009D0589"/>
    <w:rsid w:val="009D626F"/>
    <w:rsid w:val="009F1B5E"/>
    <w:rsid w:val="00A06DC4"/>
    <w:rsid w:val="00A360CA"/>
    <w:rsid w:val="00A50FB2"/>
    <w:rsid w:val="00AA05A0"/>
    <w:rsid w:val="00AA102D"/>
    <w:rsid w:val="00AA7EFA"/>
    <w:rsid w:val="00AE059A"/>
    <w:rsid w:val="00B0343C"/>
    <w:rsid w:val="00B114B6"/>
    <w:rsid w:val="00B235E5"/>
    <w:rsid w:val="00B407F4"/>
    <w:rsid w:val="00B758D2"/>
    <w:rsid w:val="00B81367"/>
    <w:rsid w:val="00B85825"/>
    <w:rsid w:val="00BA69DD"/>
    <w:rsid w:val="00BE0AF4"/>
    <w:rsid w:val="00C1273F"/>
    <w:rsid w:val="00C164AC"/>
    <w:rsid w:val="00C83254"/>
    <w:rsid w:val="00CA6C85"/>
    <w:rsid w:val="00CB2D4B"/>
    <w:rsid w:val="00CD2809"/>
    <w:rsid w:val="00D41458"/>
    <w:rsid w:val="00D62FAA"/>
    <w:rsid w:val="00D670A5"/>
    <w:rsid w:val="00D868A9"/>
    <w:rsid w:val="00D93C89"/>
    <w:rsid w:val="00D96827"/>
    <w:rsid w:val="00DC0C5C"/>
    <w:rsid w:val="00DD26A6"/>
    <w:rsid w:val="00DE48EF"/>
    <w:rsid w:val="00E33B7B"/>
    <w:rsid w:val="00E64DB9"/>
    <w:rsid w:val="00E75EA5"/>
    <w:rsid w:val="00E76838"/>
    <w:rsid w:val="00E84D69"/>
    <w:rsid w:val="00EA1AE5"/>
    <w:rsid w:val="00ED3292"/>
    <w:rsid w:val="00F16307"/>
    <w:rsid w:val="00F24B4F"/>
    <w:rsid w:val="00F27ACA"/>
    <w:rsid w:val="00FB7902"/>
    <w:rsid w:val="00FD64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0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26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6A6"/>
    <w:rPr>
      <w:rFonts w:ascii="Tahoma" w:hAnsi="Tahoma" w:cs="Tahoma"/>
      <w:sz w:val="16"/>
      <w:szCs w:val="16"/>
    </w:rPr>
  </w:style>
  <w:style w:type="paragraph" w:styleId="ListParagraph">
    <w:name w:val="List Paragraph"/>
    <w:basedOn w:val="Normal"/>
    <w:uiPriority w:val="34"/>
    <w:qFormat/>
    <w:rsid w:val="00DD26A6"/>
    <w:pPr>
      <w:ind w:left="720"/>
      <w:contextualSpacing/>
    </w:pPr>
  </w:style>
  <w:style w:type="paragraph" w:styleId="Header">
    <w:name w:val="header"/>
    <w:basedOn w:val="Normal"/>
    <w:link w:val="HeaderChar"/>
    <w:uiPriority w:val="99"/>
    <w:unhideWhenUsed/>
    <w:rsid w:val="007B68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81C"/>
  </w:style>
  <w:style w:type="paragraph" w:styleId="Footer">
    <w:name w:val="footer"/>
    <w:basedOn w:val="Normal"/>
    <w:link w:val="FooterChar"/>
    <w:uiPriority w:val="99"/>
    <w:semiHidden/>
    <w:unhideWhenUsed/>
    <w:rsid w:val="007B681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B681C"/>
  </w:style>
  <w:style w:type="table" w:styleId="TableGrid">
    <w:name w:val="Table Grid"/>
    <w:basedOn w:val="TableNormal"/>
    <w:uiPriority w:val="59"/>
    <w:rsid w:val="000D3B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26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6A6"/>
    <w:rPr>
      <w:rFonts w:ascii="Tahoma" w:hAnsi="Tahoma" w:cs="Tahoma"/>
      <w:sz w:val="16"/>
      <w:szCs w:val="16"/>
    </w:rPr>
  </w:style>
  <w:style w:type="paragraph" w:styleId="ListParagraph">
    <w:name w:val="List Paragraph"/>
    <w:basedOn w:val="Normal"/>
    <w:uiPriority w:val="34"/>
    <w:qFormat/>
    <w:rsid w:val="00DD26A6"/>
    <w:pPr>
      <w:ind w:left="720"/>
      <w:contextualSpacing/>
    </w:pPr>
  </w:style>
</w:styles>
</file>

<file path=word/webSettings.xml><?xml version="1.0" encoding="utf-8"?>
<w:webSettings xmlns:r="http://schemas.openxmlformats.org/officeDocument/2006/relationships" xmlns:w="http://schemas.openxmlformats.org/wordprocessingml/2006/main">
  <w:divs>
    <w:div w:id="64493500">
      <w:bodyDiv w:val="1"/>
      <w:marLeft w:val="0"/>
      <w:marRight w:val="0"/>
      <w:marTop w:val="0"/>
      <w:marBottom w:val="0"/>
      <w:divBdr>
        <w:top w:val="none" w:sz="0" w:space="0" w:color="auto"/>
        <w:left w:val="none" w:sz="0" w:space="0" w:color="auto"/>
        <w:bottom w:val="none" w:sz="0" w:space="0" w:color="auto"/>
        <w:right w:val="none" w:sz="0" w:space="0" w:color="auto"/>
      </w:divBdr>
    </w:div>
    <w:div w:id="1096367355">
      <w:bodyDiv w:val="1"/>
      <w:marLeft w:val="0"/>
      <w:marRight w:val="0"/>
      <w:marTop w:val="0"/>
      <w:marBottom w:val="0"/>
      <w:divBdr>
        <w:top w:val="none" w:sz="0" w:space="0" w:color="auto"/>
        <w:left w:val="none" w:sz="0" w:space="0" w:color="auto"/>
        <w:bottom w:val="none" w:sz="0" w:space="0" w:color="auto"/>
        <w:right w:val="none" w:sz="0" w:space="0" w:color="auto"/>
      </w:divBdr>
    </w:div>
    <w:div w:id="134455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about:blank"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about:blank"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about:blank"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about:blank"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Sheet1!$B$4</c:f>
              <c:strCache>
                <c:ptCount val="1"/>
                <c:pt idx="0">
                  <c:v>Yes</c:v>
                </c:pt>
              </c:strCache>
            </c:strRef>
          </c:tx>
          <c:cat>
            <c:strRef>
              <c:f>Sheet1!$A$5:$A$7</c:f>
              <c:strCache>
                <c:ptCount val="3"/>
                <c:pt idx="0">
                  <c:v>1 - Are you satisfied with the services you receive from Dreamweavers?</c:v>
                </c:pt>
                <c:pt idx="1">
                  <c:v>2 - Do you think the interventions in your child's plan are effective?</c:v>
                </c:pt>
                <c:pt idx="2">
                  <c:v>3 - Do you have enough staff to meet your current needs?</c:v>
                </c:pt>
              </c:strCache>
            </c:strRef>
          </c:cat>
          <c:val>
            <c:numRef>
              <c:f>Sheet1!$B$5:$B$7</c:f>
              <c:numCache>
                <c:formatCode>General</c:formatCode>
                <c:ptCount val="3"/>
                <c:pt idx="0">
                  <c:v>2</c:v>
                </c:pt>
                <c:pt idx="1">
                  <c:v>2</c:v>
                </c:pt>
                <c:pt idx="2">
                  <c:v>2</c:v>
                </c:pt>
              </c:numCache>
            </c:numRef>
          </c:val>
        </c:ser>
        <c:ser>
          <c:idx val="1"/>
          <c:order val="1"/>
          <c:tx>
            <c:strRef>
              <c:f>Sheet1!$C$4</c:f>
              <c:strCache>
                <c:ptCount val="1"/>
                <c:pt idx="0">
                  <c:v>No</c:v>
                </c:pt>
              </c:strCache>
            </c:strRef>
          </c:tx>
          <c:cat>
            <c:strRef>
              <c:f>Sheet1!$A$5:$A$7</c:f>
              <c:strCache>
                <c:ptCount val="3"/>
                <c:pt idx="0">
                  <c:v>1 - Are you satisfied with the services you receive from Dreamweavers?</c:v>
                </c:pt>
                <c:pt idx="1">
                  <c:v>2 - Do you think the interventions in your child's plan are effective?</c:v>
                </c:pt>
                <c:pt idx="2">
                  <c:v>3 - Do you have enough staff to meet your current needs?</c:v>
                </c:pt>
              </c:strCache>
            </c:strRef>
          </c:cat>
          <c:val>
            <c:numRef>
              <c:f>Sheet1!$C$5:$C$7</c:f>
              <c:numCache>
                <c:formatCode>General</c:formatCode>
                <c:ptCount val="3"/>
                <c:pt idx="0">
                  <c:v>0</c:v>
                </c:pt>
                <c:pt idx="1">
                  <c:v>0</c:v>
                </c:pt>
                <c:pt idx="2">
                  <c:v>0</c:v>
                </c:pt>
              </c:numCache>
            </c:numRef>
          </c:val>
        </c:ser>
        <c:axId val="82109568"/>
        <c:axId val="82111104"/>
      </c:barChart>
      <c:catAx>
        <c:axId val="82109568"/>
        <c:scaling>
          <c:orientation val="minMax"/>
        </c:scaling>
        <c:axPos val="b"/>
        <c:numFmt formatCode="General" sourceLinked="1"/>
        <c:tickLblPos val="nextTo"/>
        <c:crossAx val="82111104"/>
        <c:crosses val="autoZero"/>
        <c:auto val="1"/>
        <c:lblAlgn val="ctr"/>
        <c:lblOffset val="100"/>
      </c:catAx>
      <c:valAx>
        <c:axId val="82111104"/>
        <c:scaling>
          <c:orientation val="minMax"/>
        </c:scaling>
        <c:axPos val="l"/>
        <c:majorGridlines/>
        <c:numFmt formatCode="General" sourceLinked="1"/>
        <c:tickLblPos val="nextTo"/>
        <c:crossAx val="82109568"/>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Sheet1!$B$4</c:f>
              <c:strCache>
                <c:ptCount val="1"/>
                <c:pt idx="0">
                  <c:v>Yes</c:v>
                </c:pt>
              </c:strCache>
            </c:strRef>
          </c:tx>
          <c:cat>
            <c:strRef>
              <c:f>Sheet1!$A$5:$A$7</c:f>
              <c:strCache>
                <c:ptCount val="3"/>
                <c:pt idx="0">
                  <c:v>1 - Are you satisfied with the services you receive from Dreamweavers?</c:v>
                </c:pt>
                <c:pt idx="1">
                  <c:v>2 - Do you think the interventions in your child's plan are effective?</c:v>
                </c:pt>
                <c:pt idx="2">
                  <c:v>3 - Do you have enough staff to meet your current needs?</c:v>
                </c:pt>
              </c:strCache>
            </c:strRef>
          </c:cat>
          <c:val>
            <c:numRef>
              <c:f>Sheet1!$B$5:$B$7</c:f>
              <c:numCache>
                <c:formatCode>General</c:formatCode>
                <c:ptCount val="3"/>
                <c:pt idx="0">
                  <c:v>2</c:v>
                </c:pt>
                <c:pt idx="1">
                  <c:v>2</c:v>
                </c:pt>
                <c:pt idx="2">
                  <c:v>2</c:v>
                </c:pt>
              </c:numCache>
            </c:numRef>
          </c:val>
        </c:ser>
        <c:ser>
          <c:idx val="1"/>
          <c:order val="1"/>
          <c:tx>
            <c:strRef>
              <c:f>Sheet1!$C$4</c:f>
              <c:strCache>
                <c:ptCount val="1"/>
                <c:pt idx="0">
                  <c:v>No</c:v>
                </c:pt>
              </c:strCache>
            </c:strRef>
          </c:tx>
          <c:cat>
            <c:strRef>
              <c:f>Sheet1!$A$5:$A$7</c:f>
              <c:strCache>
                <c:ptCount val="3"/>
                <c:pt idx="0">
                  <c:v>1 - Are you satisfied with the services you receive from Dreamweavers?</c:v>
                </c:pt>
                <c:pt idx="1">
                  <c:v>2 - Do you think the interventions in your child's plan are effective?</c:v>
                </c:pt>
                <c:pt idx="2">
                  <c:v>3 - Do you have enough staff to meet your current needs?</c:v>
                </c:pt>
              </c:strCache>
            </c:strRef>
          </c:cat>
          <c:val>
            <c:numRef>
              <c:f>Sheet1!$C$5:$C$7</c:f>
              <c:numCache>
                <c:formatCode>General</c:formatCode>
                <c:ptCount val="3"/>
                <c:pt idx="0">
                  <c:v>0</c:v>
                </c:pt>
                <c:pt idx="1">
                  <c:v>0</c:v>
                </c:pt>
                <c:pt idx="2">
                  <c:v>0</c:v>
                </c:pt>
              </c:numCache>
            </c:numRef>
          </c:val>
        </c:ser>
        <c:axId val="106900480"/>
        <c:axId val="106943232"/>
      </c:barChart>
      <c:catAx>
        <c:axId val="106900480"/>
        <c:scaling>
          <c:orientation val="minMax"/>
        </c:scaling>
        <c:axPos val="b"/>
        <c:numFmt formatCode="General" sourceLinked="1"/>
        <c:tickLblPos val="nextTo"/>
        <c:crossAx val="106943232"/>
        <c:crosses val="autoZero"/>
        <c:auto val="1"/>
        <c:lblAlgn val="ctr"/>
        <c:lblOffset val="100"/>
      </c:catAx>
      <c:valAx>
        <c:axId val="106943232"/>
        <c:scaling>
          <c:orientation val="minMax"/>
        </c:scaling>
        <c:axPos val="l"/>
        <c:majorGridlines/>
        <c:numFmt formatCode="General" sourceLinked="1"/>
        <c:tickLblPos val="nextTo"/>
        <c:crossAx val="106900480"/>
        <c:crosses val="autoZero"/>
        <c:crossBetween val="between"/>
      </c:valAx>
    </c:plotArea>
    <c:legend>
      <c:legendPos val="r"/>
      <c:layout/>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Sheet1!$B$4</c:f>
              <c:strCache>
                <c:ptCount val="1"/>
                <c:pt idx="0">
                  <c:v>Yes</c:v>
                </c:pt>
              </c:strCache>
            </c:strRef>
          </c:tx>
          <c:cat>
            <c:strRef>
              <c:f>Sheet1!$A$5:$A$7</c:f>
              <c:strCache>
                <c:ptCount val="3"/>
                <c:pt idx="0">
                  <c:v>1 - Are you satisfied with the services you receive from Dreamweavers?</c:v>
                </c:pt>
                <c:pt idx="1">
                  <c:v>2 - Do you think the interventions in your child's plan are effective?</c:v>
                </c:pt>
                <c:pt idx="2">
                  <c:v>3 - Do you have enough staff to meet your current needs?</c:v>
                </c:pt>
              </c:strCache>
            </c:strRef>
          </c:cat>
          <c:val>
            <c:numRef>
              <c:f>Sheet1!$B$5:$B$7</c:f>
              <c:numCache>
                <c:formatCode>General</c:formatCode>
                <c:ptCount val="3"/>
                <c:pt idx="0">
                  <c:v>3</c:v>
                </c:pt>
                <c:pt idx="1">
                  <c:v>3</c:v>
                </c:pt>
                <c:pt idx="2">
                  <c:v>3</c:v>
                </c:pt>
              </c:numCache>
            </c:numRef>
          </c:val>
        </c:ser>
        <c:ser>
          <c:idx val="1"/>
          <c:order val="1"/>
          <c:tx>
            <c:strRef>
              <c:f>Sheet1!$C$4</c:f>
              <c:strCache>
                <c:ptCount val="1"/>
                <c:pt idx="0">
                  <c:v>No</c:v>
                </c:pt>
              </c:strCache>
            </c:strRef>
          </c:tx>
          <c:cat>
            <c:strRef>
              <c:f>Sheet1!$A$5:$A$7</c:f>
              <c:strCache>
                <c:ptCount val="3"/>
                <c:pt idx="0">
                  <c:v>1 - Are you satisfied with the services you receive from Dreamweavers?</c:v>
                </c:pt>
                <c:pt idx="1">
                  <c:v>2 - Do you think the interventions in your child's plan are effective?</c:v>
                </c:pt>
                <c:pt idx="2">
                  <c:v>3 - Do you have enough staff to meet your current needs?</c:v>
                </c:pt>
              </c:strCache>
            </c:strRef>
          </c:cat>
          <c:val>
            <c:numRef>
              <c:f>Sheet1!$C$5:$C$7</c:f>
              <c:numCache>
                <c:formatCode>General</c:formatCode>
                <c:ptCount val="3"/>
                <c:pt idx="0">
                  <c:v>0</c:v>
                </c:pt>
                <c:pt idx="1">
                  <c:v>0</c:v>
                </c:pt>
                <c:pt idx="2">
                  <c:v>0</c:v>
                </c:pt>
              </c:numCache>
            </c:numRef>
          </c:val>
        </c:ser>
        <c:axId val="111588096"/>
        <c:axId val="111589632"/>
      </c:barChart>
      <c:catAx>
        <c:axId val="111588096"/>
        <c:scaling>
          <c:orientation val="minMax"/>
        </c:scaling>
        <c:axPos val="b"/>
        <c:numFmt formatCode="General" sourceLinked="1"/>
        <c:tickLblPos val="nextTo"/>
        <c:crossAx val="111589632"/>
        <c:crosses val="autoZero"/>
        <c:auto val="1"/>
        <c:lblAlgn val="ctr"/>
        <c:lblOffset val="100"/>
      </c:catAx>
      <c:valAx>
        <c:axId val="111589632"/>
        <c:scaling>
          <c:orientation val="minMax"/>
        </c:scaling>
        <c:axPos val="l"/>
        <c:majorGridlines/>
        <c:numFmt formatCode="General" sourceLinked="1"/>
        <c:tickLblPos val="nextTo"/>
        <c:crossAx val="111588096"/>
        <c:crosses val="autoZero"/>
        <c:crossBetween val="between"/>
      </c:valAx>
    </c:plotArea>
    <c:legend>
      <c:legendPos val="r"/>
      <c:layout/>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Sheet1!$B$4</c:f>
              <c:strCache>
                <c:ptCount val="1"/>
                <c:pt idx="0">
                  <c:v>Yes</c:v>
                </c:pt>
              </c:strCache>
            </c:strRef>
          </c:tx>
          <c:cat>
            <c:strRef>
              <c:f>Sheet1!$A$5:$A$7</c:f>
              <c:strCache>
                <c:ptCount val="3"/>
                <c:pt idx="0">
                  <c:v>1 - Are you satisfied with the services you receive from Dreamweavers?</c:v>
                </c:pt>
                <c:pt idx="1">
                  <c:v>2 - Do you think the interventions in your child's plan are effective?</c:v>
                </c:pt>
                <c:pt idx="2">
                  <c:v>3 - Do you have enough staff to meet your current needs?</c:v>
                </c:pt>
              </c:strCache>
            </c:strRef>
          </c:cat>
          <c:val>
            <c:numRef>
              <c:f>Sheet1!$B$5:$B$7</c:f>
              <c:numCache>
                <c:formatCode>General</c:formatCode>
                <c:ptCount val="3"/>
                <c:pt idx="0">
                  <c:v>2</c:v>
                </c:pt>
                <c:pt idx="1">
                  <c:v>2</c:v>
                </c:pt>
                <c:pt idx="2">
                  <c:v>2</c:v>
                </c:pt>
              </c:numCache>
            </c:numRef>
          </c:val>
        </c:ser>
        <c:ser>
          <c:idx val="1"/>
          <c:order val="1"/>
          <c:tx>
            <c:strRef>
              <c:f>Sheet1!$C$4</c:f>
              <c:strCache>
                <c:ptCount val="1"/>
                <c:pt idx="0">
                  <c:v>No</c:v>
                </c:pt>
              </c:strCache>
            </c:strRef>
          </c:tx>
          <c:cat>
            <c:strRef>
              <c:f>Sheet1!$A$5:$A$7</c:f>
              <c:strCache>
                <c:ptCount val="3"/>
                <c:pt idx="0">
                  <c:v>1 - Are you satisfied with the services you receive from Dreamweavers?</c:v>
                </c:pt>
                <c:pt idx="1">
                  <c:v>2 - Do you think the interventions in your child's plan are effective?</c:v>
                </c:pt>
                <c:pt idx="2">
                  <c:v>3 - Do you have enough staff to meet your current needs?</c:v>
                </c:pt>
              </c:strCache>
            </c:strRef>
          </c:cat>
          <c:val>
            <c:numRef>
              <c:f>Sheet1!$C$5:$C$7</c:f>
              <c:numCache>
                <c:formatCode>General</c:formatCode>
                <c:ptCount val="3"/>
                <c:pt idx="0">
                  <c:v>0</c:v>
                </c:pt>
                <c:pt idx="1">
                  <c:v>0</c:v>
                </c:pt>
                <c:pt idx="2">
                  <c:v>0</c:v>
                </c:pt>
              </c:numCache>
            </c:numRef>
          </c:val>
        </c:ser>
        <c:axId val="156035328"/>
        <c:axId val="160542720"/>
      </c:barChart>
      <c:catAx>
        <c:axId val="156035328"/>
        <c:scaling>
          <c:orientation val="minMax"/>
        </c:scaling>
        <c:axPos val="b"/>
        <c:numFmt formatCode="General" sourceLinked="1"/>
        <c:tickLblPos val="nextTo"/>
        <c:crossAx val="160542720"/>
        <c:crosses val="autoZero"/>
        <c:auto val="1"/>
        <c:lblAlgn val="ctr"/>
        <c:lblOffset val="100"/>
      </c:catAx>
      <c:valAx>
        <c:axId val="160542720"/>
        <c:scaling>
          <c:orientation val="minMax"/>
        </c:scaling>
        <c:axPos val="l"/>
        <c:majorGridlines/>
        <c:numFmt formatCode="General" sourceLinked="1"/>
        <c:tickLblPos val="nextTo"/>
        <c:crossAx val="156035328"/>
        <c:crosses val="autoZero"/>
        <c:crossBetween val="between"/>
      </c:valAx>
    </c:plotArea>
    <c:legend>
      <c:legendPos val="r"/>
      <c:layout/>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13"/>
      <c:hPercent val="31"/>
      <c:rotY val="44"/>
      <c:depthPercent val="40"/>
      <c:rAngAx val="1"/>
    </c:view3D>
    <c:floor>
      <c:spPr>
        <a:solidFill>
          <a:srgbClr val="C0C0C0"/>
        </a:solidFill>
        <a:ln w="3175">
          <a:solidFill>
            <a:srgbClr val="000000"/>
          </a:solidFill>
          <a:prstDash val="solid"/>
        </a:ln>
      </c:spPr>
    </c:floor>
    <c:sideWall>
      <c:spPr>
        <a:solidFill>
          <a:srgbClr val="FFFFFF"/>
        </a:solidFill>
        <a:ln w="12700">
          <a:solidFill>
            <a:srgbClr val="808080"/>
          </a:solidFill>
          <a:prstDash val="solid"/>
        </a:ln>
      </c:spPr>
    </c:sideWall>
    <c:backWall>
      <c:spPr>
        <a:solidFill>
          <a:srgbClr val="FFFFFF"/>
        </a:solidFill>
        <a:ln w="12700">
          <a:solidFill>
            <a:srgbClr val="808080"/>
          </a:solidFill>
          <a:prstDash val="solid"/>
        </a:ln>
      </c:spPr>
    </c:backWall>
    <c:plotArea>
      <c:layout>
        <c:manualLayout>
          <c:layoutTarget val="inner"/>
          <c:xMode val="edge"/>
          <c:yMode val="edge"/>
          <c:x val="8.1272146917708149E-2"/>
          <c:y val="0.16167979002624672"/>
          <c:w val="0.9187279151943466"/>
          <c:h val="0.73056994818652854"/>
        </c:manualLayout>
      </c:layout>
      <c:bar3DChart>
        <c:barDir val="col"/>
        <c:grouping val="clustered"/>
        <c:ser>
          <c:idx val="1"/>
          <c:order val="0"/>
          <c:tx>
            <c:strRef>
              <c:f>Sheet1!$A$2</c:f>
              <c:strCache>
                <c:ptCount val="1"/>
                <c:pt idx="0">
                  <c:v>2019</c:v>
                </c:pt>
              </c:strCache>
            </c:strRef>
          </c:tx>
          <c:spPr>
            <a:solidFill>
              <a:srgbClr val="FFFFCC"/>
            </a:solidFill>
            <a:ln w="12700">
              <a:solidFill>
                <a:srgbClr val="000000"/>
              </a:solidFill>
              <a:prstDash val="solid"/>
            </a:ln>
          </c:spPr>
          <c:cat>
            <c:strRef>
              <c:f>Sheet1!$B$1:$M$1</c:f>
              <c:strCache>
                <c:ptCount val="12"/>
                <c:pt idx="0">
                  <c:v>Jan</c:v>
                </c:pt>
                <c:pt idx="1">
                  <c:v>Feb</c:v>
                </c:pt>
                <c:pt idx="2">
                  <c:v>Mar</c:v>
                </c:pt>
                <c:pt idx="3">
                  <c:v>Apr</c:v>
                </c:pt>
                <c:pt idx="4">
                  <c:v>May</c:v>
                </c:pt>
                <c:pt idx="5">
                  <c:v>June</c:v>
                </c:pt>
                <c:pt idx="6">
                  <c:v>July</c:v>
                </c:pt>
                <c:pt idx="7">
                  <c:v>Aug</c:v>
                </c:pt>
                <c:pt idx="8">
                  <c:v>Sept</c:v>
                </c:pt>
                <c:pt idx="9">
                  <c:v>Oct</c:v>
                </c:pt>
                <c:pt idx="10">
                  <c:v>Nov</c:v>
                </c:pt>
                <c:pt idx="11">
                  <c:v>Dec</c:v>
                </c:pt>
              </c:strCache>
            </c:strRef>
          </c:cat>
          <c:val>
            <c:numRef>
              <c:f>Sheet1!$B$2:$M$2</c:f>
              <c:numCache>
                <c:formatCode>General</c:formatCode>
                <c:ptCount val="12"/>
                <c:pt idx="0">
                  <c:v>9037</c:v>
                </c:pt>
                <c:pt idx="1">
                  <c:v>8034</c:v>
                </c:pt>
                <c:pt idx="2">
                  <c:v>8905</c:v>
                </c:pt>
                <c:pt idx="3">
                  <c:v>8753</c:v>
                </c:pt>
                <c:pt idx="4">
                  <c:v>9715</c:v>
                </c:pt>
                <c:pt idx="5">
                  <c:v>10036</c:v>
                </c:pt>
                <c:pt idx="6">
                  <c:v>10784</c:v>
                </c:pt>
                <c:pt idx="7">
                  <c:v>11732</c:v>
                </c:pt>
                <c:pt idx="8">
                  <c:v>10608</c:v>
                </c:pt>
                <c:pt idx="9">
                  <c:v>10881</c:v>
                </c:pt>
                <c:pt idx="10">
                  <c:v>9145</c:v>
                </c:pt>
                <c:pt idx="11">
                  <c:v>9259</c:v>
                </c:pt>
              </c:numCache>
            </c:numRef>
          </c:val>
          <c:extLst xmlns:c16r2="http://schemas.microsoft.com/office/drawing/2015/06/chart">
            <c:ext xmlns:c16="http://schemas.microsoft.com/office/drawing/2014/chart" uri="{C3380CC4-5D6E-409C-BE32-E72D297353CC}">
              <c16:uniqueId val="{00000000-A669-4F4E-B26A-20A688B338F3}"/>
            </c:ext>
          </c:extLst>
        </c:ser>
        <c:ser>
          <c:idx val="0"/>
          <c:order val="1"/>
          <c:tx>
            <c:strRef>
              <c:f>Sheet1!$A$3</c:f>
              <c:strCache>
                <c:ptCount val="1"/>
                <c:pt idx="0">
                  <c:v>2020</c:v>
                </c:pt>
              </c:strCache>
            </c:strRef>
          </c:tx>
          <c:spPr>
            <a:solidFill>
              <a:srgbClr val="9999FF"/>
            </a:solidFill>
            <a:ln w="12700">
              <a:solidFill>
                <a:srgbClr val="000000"/>
              </a:solidFill>
              <a:prstDash val="solid"/>
            </a:ln>
          </c:spPr>
          <c:cat>
            <c:strRef>
              <c:f>Sheet1!$B$1:$M$1</c:f>
              <c:strCache>
                <c:ptCount val="12"/>
                <c:pt idx="0">
                  <c:v>Jan</c:v>
                </c:pt>
                <c:pt idx="1">
                  <c:v>Feb</c:v>
                </c:pt>
                <c:pt idx="2">
                  <c:v>Mar</c:v>
                </c:pt>
                <c:pt idx="3">
                  <c:v>Apr</c:v>
                </c:pt>
                <c:pt idx="4">
                  <c:v>May</c:v>
                </c:pt>
                <c:pt idx="5">
                  <c:v>June</c:v>
                </c:pt>
                <c:pt idx="6">
                  <c:v>July</c:v>
                </c:pt>
                <c:pt idx="7">
                  <c:v>Aug</c:v>
                </c:pt>
                <c:pt idx="8">
                  <c:v>Sept</c:v>
                </c:pt>
                <c:pt idx="9">
                  <c:v>Oct</c:v>
                </c:pt>
                <c:pt idx="10">
                  <c:v>Nov</c:v>
                </c:pt>
                <c:pt idx="11">
                  <c:v>Dec</c:v>
                </c:pt>
              </c:strCache>
            </c:strRef>
          </c:cat>
          <c:val>
            <c:numRef>
              <c:f>Sheet1!$B$3:$M$3</c:f>
              <c:numCache>
                <c:formatCode>General</c:formatCode>
                <c:ptCount val="12"/>
                <c:pt idx="0">
                  <c:v>9119</c:v>
                </c:pt>
                <c:pt idx="1">
                  <c:v>7952</c:v>
                </c:pt>
                <c:pt idx="2">
                  <c:v>9440</c:v>
                </c:pt>
              </c:numCache>
            </c:numRef>
          </c:val>
          <c:extLst xmlns:c16r2="http://schemas.microsoft.com/office/drawing/2015/06/chart">
            <c:ext xmlns:c16="http://schemas.microsoft.com/office/drawing/2014/chart" uri="{C3380CC4-5D6E-409C-BE32-E72D297353CC}">
              <c16:uniqueId val="{00000001-A669-4F4E-B26A-20A688B338F3}"/>
            </c:ext>
          </c:extLst>
        </c:ser>
        <c:gapWidth val="60"/>
        <c:gapDepth val="0"/>
        <c:shape val="box"/>
        <c:axId val="160565504"/>
        <c:axId val="160571392"/>
        <c:axId val="0"/>
      </c:bar3DChart>
      <c:catAx>
        <c:axId val="160565504"/>
        <c:scaling>
          <c:orientation val="minMax"/>
        </c:scaling>
        <c:axPos val="b"/>
        <c:numFmt formatCode="General" sourceLinked="1"/>
        <c:tickLblPos val="low"/>
        <c:spPr>
          <a:ln w="3175">
            <a:solidFill>
              <a:srgbClr val="000000"/>
            </a:solidFill>
            <a:prstDash val="solid"/>
          </a:ln>
        </c:spPr>
        <c:txPr>
          <a:bodyPr rot="0" vert="horz"/>
          <a:lstStyle/>
          <a:p>
            <a:pPr>
              <a:defRPr sz="850" b="1" i="0" u="none" strike="noStrike" baseline="0">
                <a:solidFill>
                  <a:srgbClr val="000000"/>
                </a:solidFill>
                <a:latin typeface="Arial"/>
                <a:ea typeface="Arial"/>
                <a:cs typeface="Arial"/>
              </a:defRPr>
            </a:pPr>
            <a:endParaRPr lang="en-US"/>
          </a:p>
        </c:txPr>
        <c:crossAx val="160571392"/>
        <c:crosses val="autoZero"/>
        <c:auto val="1"/>
        <c:lblAlgn val="ctr"/>
        <c:lblOffset val="100"/>
        <c:tickLblSkip val="1"/>
        <c:tickMarkSkip val="1"/>
      </c:catAx>
      <c:valAx>
        <c:axId val="160571392"/>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50" b="1" i="0" u="none" strike="noStrike" baseline="0">
                <a:solidFill>
                  <a:srgbClr val="000000"/>
                </a:solidFill>
                <a:latin typeface="Arial"/>
                <a:ea typeface="Arial"/>
                <a:cs typeface="Arial"/>
              </a:defRPr>
            </a:pPr>
            <a:endParaRPr lang="en-US"/>
          </a:p>
        </c:txPr>
        <c:crossAx val="160565504"/>
        <c:crosses val="autoZero"/>
        <c:crossBetween val="between"/>
      </c:valAx>
      <c:spPr>
        <a:noFill/>
        <a:ln w="25400">
          <a:noFill/>
        </a:ln>
      </c:spPr>
    </c:plotArea>
    <c:legend>
      <c:legendPos val="r"/>
      <c:layout>
        <c:manualLayout>
          <c:xMode val="edge"/>
          <c:yMode val="edge"/>
          <c:x val="0"/>
          <c:y val="0"/>
          <c:w val="7.4204946996466514E-2"/>
          <c:h val="0.20207253886010371"/>
        </c:manualLayout>
      </c:layout>
      <c:spPr>
        <a:noFill/>
        <a:ln w="3175">
          <a:solidFill>
            <a:srgbClr val="000000"/>
          </a:solidFill>
          <a:prstDash val="solid"/>
        </a:ln>
      </c:spPr>
      <c:txPr>
        <a:bodyPr/>
        <a:lstStyle/>
        <a:p>
          <a:pPr>
            <a:defRPr sz="780" b="1"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850" b="1" i="0" u="none" strike="noStrike" baseline="0">
          <a:solidFill>
            <a:srgbClr val="000000"/>
          </a:solidFill>
          <a:latin typeface="Arial"/>
          <a:ea typeface="Arial"/>
          <a:cs typeface="Arial"/>
        </a:defRPr>
      </a:pPr>
      <a:endParaRPr lang="en-US"/>
    </a:p>
  </c:txPr>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13"/>
      <c:hPercent val="31"/>
      <c:rotY val="44"/>
      <c:depthPercent val="40"/>
      <c:rAngAx val="1"/>
    </c:view3D>
    <c:floor>
      <c:spPr>
        <a:solidFill>
          <a:srgbClr val="C0C0C0"/>
        </a:solidFill>
        <a:ln w="3175">
          <a:solidFill>
            <a:srgbClr val="000000"/>
          </a:solidFill>
          <a:prstDash val="solid"/>
        </a:ln>
      </c:spPr>
    </c:floor>
    <c:sideWall>
      <c:spPr>
        <a:solidFill>
          <a:srgbClr val="FFFFFF"/>
        </a:solidFill>
        <a:ln w="12700">
          <a:solidFill>
            <a:srgbClr val="808080"/>
          </a:solidFill>
          <a:prstDash val="solid"/>
        </a:ln>
      </c:spPr>
    </c:sideWall>
    <c:backWall>
      <c:spPr>
        <a:solidFill>
          <a:srgbClr val="FFFFFF"/>
        </a:solidFill>
        <a:ln w="12700">
          <a:solidFill>
            <a:srgbClr val="808080"/>
          </a:solidFill>
          <a:prstDash val="solid"/>
        </a:ln>
      </c:spPr>
    </c:backWall>
    <c:plotArea>
      <c:layout>
        <c:manualLayout>
          <c:layoutTarget val="inner"/>
          <c:xMode val="edge"/>
          <c:yMode val="edge"/>
          <c:x val="8.1272146917708149E-2"/>
          <c:y val="0.16167979002624672"/>
          <c:w val="0.9187279151943466"/>
          <c:h val="0.73056994818652854"/>
        </c:manualLayout>
      </c:layout>
      <c:bar3DChart>
        <c:barDir val="col"/>
        <c:grouping val="clustered"/>
        <c:ser>
          <c:idx val="1"/>
          <c:order val="0"/>
          <c:tx>
            <c:strRef>
              <c:f>Sheet1!$A$2</c:f>
              <c:strCache>
                <c:ptCount val="1"/>
                <c:pt idx="0">
                  <c:v>2019</c:v>
                </c:pt>
              </c:strCache>
            </c:strRef>
          </c:tx>
          <c:spPr>
            <a:solidFill>
              <a:srgbClr val="FFFFCC"/>
            </a:solidFill>
            <a:ln w="12700">
              <a:solidFill>
                <a:srgbClr val="000000"/>
              </a:solidFill>
              <a:prstDash val="solid"/>
            </a:ln>
          </c:spPr>
          <c:cat>
            <c:strRef>
              <c:f>Sheet1!$B$1:$M$1</c:f>
              <c:strCache>
                <c:ptCount val="12"/>
                <c:pt idx="0">
                  <c:v>Jan</c:v>
                </c:pt>
                <c:pt idx="1">
                  <c:v>Feb</c:v>
                </c:pt>
                <c:pt idx="2">
                  <c:v>Mar</c:v>
                </c:pt>
                <c:pt idx="3">
                  <c:v>Apr</c:v>
                </c:pt>
                <c:pt idx="4">
                  <c:v>May</c:v>
                </c:pt>
                <c:pt idx="5">
                  <c:v>June</c:v>
                </c:pt>
                <c:pt idx="6">
                  <c:v>July</c:v>
                </c:pt>
                <c:pt idx="7">
                  <c:v>Aug</c:v>
                </c:pt>
                <c:pt idx="8">
                  <c:v>Sept</c:v>
                </c:pt>
                <c:pt idx="9">
                  <c:v>Oct</c:v>
                </c:pt>
                <c:pt idx="10">
                  <c:v>Nov</c:v>
                </c:pt>
                <c:pt idx="11">
                  <c:v>Dec</c:v>
                </c:pt>
              </c:strCache>
            </c:strRef>
          </c:cat>
          <c:val>
            <c:numRef>
              <c:f>Sheet1!$B$2:$M$2</c:f>
              <c:numCache>
                <c:formatCode>General</c:formatCode>
                <c:ptCount val="12"/>
                <c:pt idx="0">
                  <c:v>9037</c:v>
                </c:pt>
                <c:pt idx="1">
                  <c:v>8034</c:v>
                </c:pt>
                <c:pt idx="2">
                  <c:v>8905</c:v>
                </c:pt>
                <c:pt idx="3">
                  <c:v>8753</c:v>
                </c:pt>
                <c:pt idx="4">
                  <c:v>9715</c:v>
                </c:pt>
                <c:pt idx="5">
                  <c:v>10036</c:v>
                </c:pt>
                <c:pt idx="6">
                  <c:v>10784</c:v>
                </c:pt>
                <c:pt idx="7">
                  <c:v>11732</c:v>
                </c:pt>
                <c:pt idx="8">
                  <c:v>10608</c:v>
                </c:pt>
                <c:pt idx="9">
                  <c:v>10881</c:v>
                </c:pt>
                <c:pt idx="10">
                  <c:v>9145</c:v>
                </c:pt>
                <c:pt idx="11">
                  <c:v>9259</c:v>
                </c:pt>
              </c:numCache>
            </c:numRef>
          </c:val>
          <c:extLst xmlns:c16r2="http://schemas.microsoft.com/office/drawing/2015/06/chart">
            <c:ext xmlns:c16="http://schemas.microsoft.com/office/drawing/2014/chart" uri="{C3380CC4-5D6E-409C-BE32-E72D297353CC}">
              <c16:uniqueId val="{00000000-A669-4F4E-B26A-20A688B338F3}"/>
            </c:ext>
          </c:extLst>
        </c:ser>
        <c:ser>
          <c:idx val="0"/>
          <c:order val="1"/>
          <c:tx>
            <c:strRef>
              <c:f>Sheet1!$A$3</c:f>
              <c:strCache>
                <c:ptCount val="1"/>
                <c:pt idx="0">
                  <c:v>2020</c:v>
                </c:pt>
              </c:strCache>
            </c:strRef>
          </c:tx>
          <c:spPr>
            <a:solidFill>
              <a:srgbClr val="9999FF"/>
            </a:solidFill>
            <a:ln w="12700">
              <a:solidFill>
                <a:srgbClr val="000000"/>
              </a:solidFill>
              <a:prstDash val="solid"/>
            </a:ln>
          </c:spPr>
          <c:cat>
            <c:strRef>
              <c:f>Sheet1!$B$1:$M$1</c:f>
              <c:strCache>
                <c:ptCount val="12"/>
                <c:pt idx="0">
                  <c:v>Jan</c:v>
                </c:pt>
                <c:pt idx="1">
                  <c:v>Feb</c:v>
                </c:pt>
                <c:pt idx="2">
                  <c:v>Mar</c:v>
                </c:pt>
                <c:pt idx="3">
                  <c:v>Apr</c:v>
                </c:pt>
                <c:pt idx="4">
                  <c:v>May</c:v>
                </c:pt>
                <c:pt idx="5">
                  <c:v>June</c:v>
                </c:pt>
                <c:pt idx="6">
                  <c:v>July</c:v>
                </c:pt>
                <c:pt idx="7">
                  <c:v>Aug</c:v>
                </c:pt>
                <c:pt idx="8">
                  <c:v>Sept</c:v>
                </c:pt>
                <c:pt idx="9">
                  <c:v>Oct</c:v>
                </c:pt>
                <c:pt idx="10">
                  <c:v>Nov</c:v>
                </c:pt>
                <c:pt idx="11">
                  <c:v>Dec</c:v>
                </c:pt>
              </c:strCache>
            </c:strRef>
          </c:cat>
          <c:val>
            <c:numRef>
              <c:f>Sheet1!$B$3:$M$3</c:f>
              <c:numCache>
                <c:formatCode>General</c:formatCode>
                <c:ptCount val="12"/>
                <c:pt idx="0">
                  <c:v>9119</c:v>
                </c:pt>
                <c:pt idx="1">
                  <c:v>7952</c:v>
                </c:pt>
                <c:pt idx="2">
                  <c:v>9440</c:v>
                </c:pt>
                <c:pt idx="3">
                  <c:v>9828</c:v>
                </c:pt>
                <c:pt idx="4">
                  <c:v>9773</c:v>
                </c:pt>
                <c:pt idx="5">
                  <c:v>9126</c:v>
                </c:pt>
              </c:numCache>
            </c:numRef>
          </c:val>
          <c:extLst xmlns:c16r2="http://schemas.microsoft.com/office/drawing/2015/06/chart">
            <c:ext xmlns:c16="http://schemas.microsoft.com/office/drawing/2014/chart" uri="{C3380CC4-5D6E-409C-BE32-E72D297353CC}">
              <c16:uniqueId val="{00000001-A669-4F4E-B26A-20A688B338F3}"/>
            </c:ext>
          </c:extLst>
        </c:ser>
        <c:gapWidth val="60"/>
        <c:gapDepth val="0"/>
        <c:shape val="box"/>
        <c:axId val="160621696"/>
        <c:axId val="160623232"/>
        <c:axId val="0"/>
      </c:bar3DChart>
      <c:catAx>
        <c:axId val="160621696"/>
        <c:scaling>
          <c:orientation val="minMax"/>
        </c:scaling>
        <c:axPos val="b"/>
        <c:numFmt formatCode="General" sourceLinked="1"/>
        <c:tickLblPos val="low"/>
        <c:spPr>
          <a:ln w="3175">
            <a:solidFill>
              <a:srgbClr val="000000"/>
            </a:solidFill>
            <a:prstDash val="solid"/>
          </a:ln>
        </c:spPr>
        <c:txPr>
          <a:bodyPr rot="0" vert="horz"/>
          <a:lstStyle/>
          <a:p>
            <a:pPr>
              <a:defRPr sz="850" b="1" i="0" u="none" strike="noStrike" baseline="0">
                <a:solidFill>
                  <a:srgbClr val="000000"/>
                </a:solidFill>
                <a:latin typeface="Arial"/>
                <a:ea typeface="Arial"/>
                <a:cs typeface="Arial"/>
              </a:defRPr>
            </a:pPr>
            <a:endParaRPr lang="en-US"/>
          </a:p>
        </c:txPr>
        <c:crossAx val="160623232"/>
        <c:crosses val="autoZero"/>
        <c:auto val="1"/>
        <c:lblAlgn val="ctr"/>
        <c:lblOffset val="100"/>
        <c:tickLblSkip val="1"/>
        <c:tickMarkSkip val="1"/>
      </c:catAx>
      <c:valAx>
        <c:axId val="160623232"/>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50" b="1" i="0" u="none" strike="noStrike" baseline="0">
                <a:solidFill>
                  <a:srgbClr val="000000"/>
                </a:solidFill>
                <a:latin typeface="Arial"/>
                <a:ea typeface="Arial"/>
                <a:cs typeface="Arial"/>
              </a:defRPr>
            </a:pPr>
            <a:endParaRPr lang="en-US"/>
          </a:p>
        </c:txPr>
        <c:crossAx val="160621696"/>
        <c:crosses val="autoZero"/>
        <c:crossBetween val="between"/>
      </c:valAx>
      <c:spPr>
        <a:noFill/>
        <a:ln w="25400">
          <a:noFill/>
        </a:ln>
      </c:spPr>
    </c:plotArea>
    <c:legend>
      <c:legendPos val="r"/>
      <c:layout>
        <c:manualLayout>
          <c:xMode val="edge"/>
          <c:yMode val="edge"/>
          <c:x val="0"/>
          <c:y val="0"/>
          <c:w val="7.4204946996466514E-2"/>
          <c:h val="0.20207253886010371"/>
        </c:manualLayout>
      </c:layout>
      <c:spPr>
        <a:noFill/>
        <a:ln w="3175">
          <a:solidFill>
            <a:srgbClr val="000000"/>
          </a:solidFill>
          <a:prstDash val="solid"/>
        </a:ln>
      </c:spPr>
      <c:txPr>
        <a:bodyPr/>
        <a:lstStyle/>
        <a:p>
          <a:pPr>
            <a:defRPr sz="780" b="1"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850" b="1" i="0" u="none" strike="noStrike" baseline="0">
          <a:solidFill>
            <a:srgbClr val="000000"/>
          </a:solidFill>
          <a:latin typeface="Arial"/>
          <a:ea typeface="Arial"/>
          <a:cs typeface="Arial"/>
        </a:defRPr>
      </a:pPr>
      <a:endParaRPr lang="en-US"/>
    </a:p>
  </c:txPr>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13"/>
      <c:hPercent val="31"/>
      <c:rotY val="44"/>
      <c:depthPercent val="40"/>
      <c:rAngAx val="1"/>
    </c:view3D>
    <c:floor>
      <c:spPr>
        <a:solidFill>
          <a:srgbClr val="C0C0C0"/>
        </a:solidFill>
        <a:ln w="3175">
          <a:solidFill>
            <a:srgbClr val="000000"/>
          </a:solidFill>
          <a:prstDash val="solid"/>
        </a:ln>
      </c:spPr>
    </c:floor>
    <c:sideWall>
      <c:spPr>
        <a:solidFill>
          <a:srgbClr val="FFFFFF"/>
        </a:solidFill>
        <a:ln w="12700">
          <a:solidFill>
            <a:srgbClr val="808080"/>
          </a:solidFill>
          <a:prstDash val="solid"/>
        </a:ln>
      </c:spPr>
    </c:sideWall>
    <c:backWall>
      <c:spPr>
        <a:solidFill>
          <a:srgbClr val="FFFFFF"/>
        </a:solidFill>
        <a:ln w="12700">
          <a:solidFill>
            <a:srgbClr val="808080"/>
          </a:solidFill>
          <a:prstDash val="solid"/>
        </a:ln>
      </c:spPr>
    </c:backWall>
    <c:plotArea>
      <c:layout>
        <c:manualLayout>
          <c:layoutTarget val="inner"/>
          <c:xMode val="edge"/>
          <c:yMode val="edge"/>
          <c:x val="8.1272146917708149E-2"/>
          <c:y val="0.16167979002624672"/>
          <c:w val="0.9187279151943466"/>
          <c:h val="0.73056994818652854"/>
        </c:manualLayout>
      </c:layout>
      <c:bar3DChart>
        <c:barDir val="col"/>
        <c:grouping val="clustered"/>
        <c:ser>
          <c:idx val="1"/>
          <c:order val="0"/>
          <c:tx>
            <c:strRef>
              <c:f>Sheet1!$A$2</c:f>
              <c:strCache>
                <c:ptCount val="1"/>
                <c:pt idx="0">
                  <c:v>2019</c:v>
                </c:pt>
              </c:strCache>
            </c:strRef>
          </c:tx>
          <c:spPr>
            <a:solidFill>
              <a:srgbClr val="FFFFCC"/>
            </a:solidFill>
            <a:ln w="12700">
              <a:solidFill>
                <a:srgbClr val="000000"/>
              </a:solidFill>
              <a:prstDash val="solid"/>
            </a:ln>
          </c:spPr>
          <c:cat>
            <c:strRef>
              <c:f>Sheet1!$B$1:$M$1</c:f>
              <c:strCache>
                <c:ptCount val="12"/>
                <c:pt idx="0">
                  <c:v>Jan</c:v>
                </c:pt>
                <c:pt idx="1">
                  <c:v>Feb</c:v>
                </c:pt>
                <c:pt idx="2">
                  <c:v>Mar</c:v>
                </c:pt>
                <c:pt idx="3">
                  <c:v>Apr</c:v>
                </c:pt>
                <c:pt idx="4">
                  <c:v>May</c:v>
                </c:pt>
                <c:pt idx="5">
                  <c:v>June</c:v>
                </c:pt>
                <c:pt idx="6">
                  <c:v>July</c:v>
                </c:pt>
                <c:pt idx="7">
                  <c:v>Aug</c:v>
                </c:pt>
                <c:pt idx="8">
                  <c:v>Sept</c:v>
                </c:pt>
                <c:pt idx="9">
                  <c:v>Oct</c:v>
                </c:pt>
                <c:pt idx="10">
                  <c:v>Nov</c:v>
                </c:pt>
                <c:pt idx="11">
                  <c:v>Dec</c:v>
                </c:pt>
              </c:strCache>
            </c:strRef>
          </c:cat>
          <c:val>
            <c:numRef>
              <c:f>Sheet1!$B$2:$M$2</c:f>
              <c:numCache>
                <c:formatCode>General</c:formatCode>
                <c:ptCount val="12"/>
                <c:pt idx="0">
                  <c:v>9037</c:v>
                </c:pt>
                <c:pt idx="1">
                  <c:v>8034</c:v>
                </c:pt>
                <c:pt idx="2">
                  <c:v>8905</c:v>
                </c:pt>
                <c:pt idx="3">
                  <c:v>8753</c:v>
                </c:pt>
                <c:pt idx="4">
                  <c:v>9715</c:v>
                </c:pt>
                <c:pt idx="5">
                  <c:v>10036</c:v>
                </c:pt>
                <c:pt idx="6">
                  <c:v>10784</c:v>
                </c:pt>
                <c:pt idx="7">
                  <c:v>11732</c:v>
                </c:pt>
                <c:pt idx="8">
                  <c:v>10608</c:v>
                </c:pt>
                <c:pt idx="9">
                  <c:v>10881</c:v>
                </c:pt>
                <c:pt idx="10">
                  <c:v>9145</c:v>
                </c:pt>
                <c:pt idx="11">
                  <c:v>9259</c:v>
                </c:pt>
              </c:numCache>
            </c:numRef>
          </c:val>
          <c:extLst xmlns:c16r2="http://schemas.microsoft.com/office/drawing/2015/06/chart">
            <c:ext xmlns:c16="http://schemas.microsoft.com/office/drawing/2014/chart" uri="{C3380CC4-5D6E-409C-BE32-E72D297353CC}">
              <c16:uniqueId val="{00000000-A669-4F4E-B26A-20A688B338F3}"/>
            </c:ext>
          </c:extLst>
        </c:ser>
        <c:ser>
          <c:idx val="0"/>
          <c:order val="1"/>
          <c:tx>
            <c:strRef>
              <c:f>Sheet1!$A$3</c:f>
              <c:strCache>
                <c:ptCount val="1"/>
                <c:pt idx="0">
                  <c:v>2020</c:v>
                </c:pt>
              </c:strCache>
            </c:strRef>
          </c:tx>
          <c:spPr>
            <a:solidFill>
              <a:srgbClr val="9999FF"/>
            </a:solidFill>
            <a:ln w="12700">
              <a:solidFill>
                <a:srgbClr val="000000"/>
              </a:solidFill>
              <a:prstDash val="solid"/>
            </a:ln>
          </c:spPr>
          <c:cat>
            <c:strRef>
              <c:f>Sheet1!$B$1:$M$1</c:f>
              <c:strCache>
                <c:ptCount val="12"/>
                <c:pt idx="0">
                  <c:v>Jan</c:v>
                </c:pt>
                <c:pt idx="1">
                  <c:v>Feb</c:v>
                </c:pt>
                <c:pt idx="2">
                  <c:v>Mar</c:v>
                </c:pt>
                <c:pt idx="3">
                  <c:v>Apr</c:v>
                </c:pt>
                <c:pt idx="4">
                  <c:v>May</c:v>
                </c:pt>
                <c:pt idx="5">
                  <c:v>June</c:v>
                </c:pt>
                <c:pt idx="6">
                  <c:v>July</c:v>
                </c:pt>
                <c:pt idx="7">
                  <c:v>Aug</c:v>
                </c:pt>
                <c:pt idx="8">
                  <c:v>Sept</c:v>
                </c:pt>
                <c:pt idx="9">
                  <c:v>Oct</c:v>
                </c:pt>
                <c:pt idx="10">
                  <c:v>Nov</c:v>
                </c:pt>
                <c:pt idx="11">
                  <c:v>Dec</c:v>
                </c:pt>
              </c:strCache>
            </c:strRef>
          </c:cat>
          <c:val>
            <c:numRef>
              <c:f>Sheet1!$B$3:$M$3</c:f>
              <c:numCache>
                <c:formatCode>General</c:formatCode>
                <c:ptCount val="12"/>
                <c:pt idx="0">
                  <c:v>9119</c:v>
                </c:pt>
                <c:pt idx="1">
                  <c:v>7952</c:v>
                </c:pt>
                <c:pt idx="2">
                  <c:v>9440</c:v>
                </c:pt>
                <c:pt idx="3">
                  <c:v>9828</c:v>
                </c:pt>
                <c:pt idx="4">
                  <c:v>9773</c:v>
                </c:pt>
                <c:pt idx="5">
                  <c:v>9126</c:v>
                </c:pt>
                <c:pt idx="6">
                  <c:v>9755</c:v>
                </c:pt>
                <c:pt idx="7">
                  <c:v>9985</c:v>
                </c:pt>
                <c:pt idx="8">
                  <c:v>8653</c:v>
                </c:pt>
              </c:numCache>
            </c:numRef>
          </c:val>
          <c:extLst xmlns:c16r2="http://schemas.microsoft.com/office/drawing/2015/06/chart">
            <c:ext xmlns:c16="http://schemas.microsoft.com/office/drawing/2014/chart" uri="{C3380CC4-5D6E-409C-BE32-E72D297353CC}">
              <c16:uniqueId val="{00000001-A669-4F4E-B26A-20A688B338F3}"/>
            </c:ext>
          </c:extLst>
        </c:ser>
        <c:gapWidth val="60"/>
        <c:gapDepth val="0"/>
        <c:shape val="box"/>
        <c:axId val="162160640"/>
        <c:axId val="162162176"/>
        <c:axId val="0"/>
      </c:bar3DChart>
      <c:catAx>
        <c:axId val="162160640"/>
        <c:scaling>
          <c:orientation val="minMax"/>
        </c:scaling>
        <c:axPos val="b"/>
        <c:numFmt formatCode="General" sourceLinked="1"/>
        <c:tickLblPos val="low"/>
        <c:spPr>
          <a:ln w="3175">
            <a:solidFill>
              <a:srgbClr val="000000"/>
            </a:solidFill>
            <a:prstDash val="solid"/>
          </a:ln>
        </c:spPr>
        <c:txPr>
          <a:bodyPr rot="0" vert="horz"/>
          <a:lstStyle/>
          <a:p>
            <a:pPr>
              <a:defRPr sz="850" b="1" i="0" u="none" strike="noStrike" baseline="0">
                <a:solidFill>
                  <a:srgbClr val="000000"/>
                </a:solidFill>
                <a:latin typeface="Arial"/>
                <a:ea typeface="Arial"/>
                <a:cs typeface="Arial"/>
              </a:defRPr>
            </a:pPr>
            <a:endParaRPr lang="en-US"/>
          </a:p>
        </c:txPr>
        <c:crossAx val="162162176"/>
        <c:crosses val="autoZero"/>
        <c:auto val="1"/>
        <c:lblAlgn val="ctr"/>
        <c:lblOffset val="100"/>
        <c:tickLblSkip val="1"/>
        <c:tickMarkSkip val="1"/>
      </c:catAx>
      <c:valAx>
        <c:axId val="162162176"/>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50" b="1" i="0" u="none" strike="noStrike" baseline="0">
                <a:solidFill>
                  <a:srgbClr val="000000"/>
                </a:solidFill>
                <a:latin typeface="Arial"/>
                <a:ea typeface="Arial"/>
                <a:cs typeface="Arial"/>
              </a:defRPr>
            </a:pPr>
            <a:endParaRPr lang="en-US"/>
          </a:p>
        </c:txPr>
        <c:crossAx val="162160640"/>
        <c:crosses val="autoZero"/>
        <c:crossBetween val="between"/>
      </c:valAx>
      <c:spPr>
        <a:noFill/>
        <a:ln w="25400">
          <a:noFill/>
        </a:ln>
      </c:spPr>
    </c:plotArea>
    <c:legend>
      <c:legendPos val="r"/>
      <c:layout>
        <c:manualLayout>
          <c:xMode val="edge"/>
          <c:yMode val="edge"/>
          <c:x val="0"/>
          <c:y val="0"/>
          <c:w val="7.4204946996466514E-2"/>
          <c:h val="0.20207253886010371"/>
        </c:manualLayout>
      </c:layout>
      <c:spPr>
        <a:noFill/>
        <a:ln w="3175">
          <a:solidFill>
            <a:srgbClr val="000000"/>
          </a:solidFill>
          <a:prstDash val="solid"/>
        </a:ln>
      </c:spPr>
      <c:txPr>
        <a:bodyPr/>
        <a:lstStyle/>
        <a:p>
          <a:pPr>
            <a:defRPr sz="780" b="1"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850" b="1" i="0" u="none" strike="noStrike" baseline="0">
          <a:solidFill>
            <a:srgbClr val="000000"/>
          </a:solidFill>
          <a:latin typeface="Arial"/>
          <a:ea typeface="Arial"/>
          <a:cs typeface="Arial"/>
        </a:defRPr>
      </a:pPr>
      <a:endParaRPr lang="en-US"/>
    </a:p>
  </c:txPr>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13"/>
      <c:hPercent val="31"/>
      <c:rotY val="44"/>
      <c:depthPercent val="40"/>
      <c:rAngAx val="1"/>
    </c:view3D>
    <c:floor>
      <c:spPr>
        <a:solidFill>
          <a:srgbClr val="C0C0C0"/>
        </a:solidFill>
        <a:ln w="3175">
          <a:solidFill>
            <a:srgbClr val="000000"/>
          </a:solidFill>
          <a:prstDash val="solid"/>
        </a:ln>
      </c:spPr>
    </c:floor>
    <c:sideWall>
      <c:spPr>
        <a:solidFill>
          <a:srgbClr val="FFFFFF"/>
        </a:solidFill>
        <a:ln w="12700">
          <a:solidFill>
            <a:srgbClr val="808080"/>
          </a:solidFill>
          <a:prstDash val="solid"/>
        </a:ln>
      </c:spPr>
    </c:sideWall>
    <c:backWall>
      <c:spPr>
        <a:solidFill>
          <a:srgbClr val="FFFFFF"/>
        </a:solidFill>
        <a:ln w="12700">
          <a:solidFill>
            <a:srgbClr val="808080"/>
          </a:solidFill>
          <a:prstDash val="solid"/>
        </a:ln>
      </c:spPr>
    </c:backWall>
    <c:plotArea>
      <c:layout>
        <c:manualLayout>
          <c:layoutTarget val="inner"/>
          <c:xMode val="edge"/>
          <c:yMode val="edge"/>
          <c:x val="8.1272146917708149E-2"/>
          <c:y val="0.16167979002624672"/>
          <c:w val="0.9187279151943466"/>
          <c:h val="0.73056994818652854"/>
        </c:manualLayout>
      </c:layout>
      <c:bar3DChart>
        <c:barDir val="col"/>
        <c:grouping val="clustered"/>
        <c:ser>
          <c:idx val="1"/>
          <c:order val="0"/>
          <c:tx>
            <c:strRef>
              <c:f>Sheet1!$A$2</c:f>
              <c:strCache>
                <c:ptCount val="1"/>
                <c:pt idx="0">
                  <c:v>2019</c:v>
                </c:pt>
              </c:strCache>
            </c:strRef>
          </c:tx>
          <c:spPr>
            <a:solidFill>
              <a:srgbClr val="FFFFCC"/>
            </a:solidFill>
            <a:ln w="12700">
              <a:solidFill>
                <a:srgbClr val="000000"/>
              </a:solidFill>
              <a:prstDash val="solid"/>
            </a:ln>
          </c:spPr>
          <c:cat>
            <c:strRef>
              <c:f>Sheet1!$B$1:$M$1</c:f>
              <c:strCache>
                <c:ptCount val="12"/>
                <c:pt idx="0">
                  <c:v>Jan</c:v>
                </c:pt>
                <c:pt idx="1">
                  <c:v>Feb</c:v>
                </c:pt>
                <c:pt idx="2">
                  <c:v>Mar</c:v>
                </c:pt>
                <c:pt idx="3">
                  <c:v>Apr</c:v>
                </c:pt>
                <c:pt idx="4">
                  <c:v>May</c:v>
                </c:pt>
                <c:pt idx="5">
                  <c:v>June</c:v>
                </c:pt>
                <c:pt idx="6">
                  <c:v>July</c:v>
                </c:pt>
                <c:pt idx="7">
                  <c:v>Aug</c:v>
                </c:pt>
                <c:pt idx="8">
                  <c:v>Sept</c:v>
                </c:pt>
                <c:pt idx="9">
                  <c:v>Oct</c:v>
                </c:pt>
                <c:pt idx="10">
                  <c:v>Nov</c:v>
                </c:pt>
                <c:pt idx="11">
                  <c:v>Dec</c:v>
                </c:pt>
              </c:strCache>
            </c:strRef>
          </c:cat>
          <c:val>
            <c:numRef>
              <c:f>Sheet1!$B$2:$M$2</c:f>
              <c:numCache>
                <c:formatCode>General</c:formatCode>
                <c:ptCount val="12"/>
                <c:pt idx="0">
                  <c:v>9037</c:v>
                </c:pt>
                <c:pt idx="1">
                  <c:v>8034</c:v>
                </c:pt>
                <c:pt idx="2">
                  <c:v>8905</c:v>
                </c:pt>
                <c:pt idx="3">
                  <c:v>8753</c:v>
                </c:pt>
                <c:pt idx="4">
                  <c:v>9715</c:v>
                </c:pt>
                <c:pt idx="5">
                  <c:v>10036</c:v>
                </c:pt>
                <c:pt idx="6">
                  <c:v>10784</c:v>
                </c:pt>
                <c:pt idx="7">
                  <c:v>11732</c:v>
                </c:pt>
                <c:pt idx="8">
                  <c:v>10608</c:v>
                </c:pt>
                <c:pt idx="9">
                  <c:v>10881</c:v>
                </c:pt>
                <c:pt idx="10">
                  <c:v>9145</c:v>
                </c:pt>
                <c:pt idx="11">
                  <c:v>9259</c:v>
                </c:pt>
              </c:numCache>
            </c:numRef>
          </c:val>
          <c:extLst xmlns:c16r2="http://schemas.microsoft.com/office/drawing/2015/06/chart">
            <c:ext xmlns:c16="http://schemas.microsoft.com/office/drawing/2014/chart" uri="{C3380CC4-5D6E-409C-BE32-E72D297353CC}">
              <c16:uniqueId val="{00000000-A669-4F4E-B26A-20A688B338F3}"/>
            </c:ext>
          </c:extLst>
        </c:ser>
        <c:ser>
          <c:idx val="0"/>
          <c:order val="1"/>
          <c:tx>
            <c:strRef>
              <c:f>Sheet1!$A$3</c:f>
              <c:strCache>
                <c:ptCount val="1"/>
                <c:pt idx="0">
                  <c:v>2020</c:v>
                </c:pt>
              </c:strCache>
            </c:strRef>
          </c:tx>
          <c:spPr>
            <a:solidFill>
              <a:srgbClr val="9999FF"/>
            </a:solidFill>
            <a:ln w="12700">
              <a:solidFill>
                <a:srgbClr val="000000"/>
              </a:solidFill>
              <a:prstDash val="solid"/>
            </a:ln>
          </c:spPr>
          <c:cat>
            <c:strRef>
              <c:f>Sheet1!$B$1:$M$1</c:f>
              <c:strCache>
                <c:ptCount val="12"/>
                <c:pt idx="0">
                  <c:v>Jan</c:v>
                </c:pt>
                <c:pt idx="1">
                  <c:v>Feb</c:v>
                </c:pt>
                <c:pt idx="2">
                  <c:v>Mar</c:v>
                </c:pt>
                <c:pt idx="3">
                  <c:v>Apr</c:v>
                </c:pt>
                <c:pt idx="4">
                  <c:v>May</c:v>
                </c:pt>
                <c:pt idx="5">
                  <c:v>June</c:v>
                </c:pt>
                <c:pt idx="6">
                  <c:v>July</c:v>
                </c:pt>
                <c:pt idx="7">
                  <c:v>Aug</c:v>
                </c:pt>
                <c:pt idx="8">
                  <c:v>Sept</c:v>
                </c:pt>
                <c:pt idx="9">
                  <c:v>Oct</c:v>
                </c:pt>
                <c:pt idx="10">
                  <c:v>Nov</c:v>
                </c:pt>
                <c:pt idx="11">
                  <c:v>Dec</c:v>
                </c:pt>
              </c:strCache>
            </c:strRef>
          </c:cat>
          <c:val>
            <c:numRef>
              <c:f>Sheet1!$B$3:$M$3</c:f>
              <c:numCache>
                <c:formatCode>General</c:formatCode>
                <c:ptCount val="12"/>
                <c:pt idx="0">
                  <c:v>9119</c:v>
                </c:pt>
                <c:pt idx="1">
                  <c:v>7952</c:v>
                </c:pt>
                <c:pt idx="2">
                  <c:v>9440</c:v>
                </c:pt>
                <c:pt idx="3">
                  <c:v>9828</c:v>
                </c:pt>
                <c:pt idx="4">
                  <c:v>9773</c:v>
                </c:pt>
                <c:pt idx="5">
                  <c:v>9126</c:v>
                </c:pt>
                <c:pt idx="6">
                  <c:v>9755</c:v>
                </c:pt>
                <c:pt idx="7">
                  <c:v>9985</c:v>
                </c:pt>
                <c:pt idx="8">
                  <c:v>8653</c:v>
                </c:pt>
                <c:pt idx="9">
                  <c:v>9531</c:v>
                </c:pt>
                <c:pt idx="10">
                  <c:v>9719</c:v>
                </c:pt>
                <c:pt idx="11">
                  <c:v>9151</c:v>
                </c:pt>
              </c:numCache>
            </c:numRef>
          </c:val>
          <c:extLst xmlns:c16r2="http://schemas.microsoft.com/office/drawing/2015/06/chart">
            <c:ext xmlns:c16="http://schemas.microsoft.com/office/drawing/2014/chart" uri="{C3380CC4-5D6E-409C-BE32-E72D297353CC}">
              <c16:uniqueId val="{00000001-A669-4F4E-B26A-20A688B338F3}"/>
            </c:ext>
          </c:extLst>
        </c:ser>
        <c:gapWidth val="60"/>
        <c:gapDepth val="0"/>
        <c:shape val="box"/>
        <c:axId val="162175616"/>
        <c:axId val="162189696"/>
        <c:axId val="0"/>
      </c:bar3DChart>
      <c:catAx>
        <c:axId val="162175616"/>
        <c:scaling>
          <c:orientation val="minMax"/>
        </c:scaling>
        <c:axPos val="b"/>
        <c:numFmt formatCode="General" sourceLinked="1"/>
        <c:tickLblPos val="low"/>
        <c:spPr>
          <a:ln w="3175">
            <a:solidFill>
              <a:srgbClr val="000000"/>
            </a:solidFill>
            <a:prstDash val="solid"/>
          </a:ln>
        </c:spPr>
        <c:txPr>
          <a:bodyPr rot="0" vert="horz"/>
          <a:lstStyle/>
          <a:p>
            <a:pPr>
              <a:defRPr sz="850" b="1" i="0" u="none" strike="noStrike" baseline="0">
                <a:solidFill>
                  <a:srgbClr val="000000"/>
                </a:solidFill>
                <a:latin typeface="Arial"/>
                <a:ea typeface="Arial"/>
                <a:cs typeface="Arial"/>
              </a:defRPr>
            </a:pPr>
            <a:endParaRPr lang="en-US"/>
          </a:p>
        </c:txPr>
        <c:crossAx val="162189696"/>
        <c:crosses val="autoZero"/>
        <c:auto val="1"/>
        <c:lblAlgn val="ctr"/>
        <c:lblOffset val="100"/>
        <c:tickLblSkip val="1"/>
        <c:tickMarkSkip val="1"/>
      </c:catAx>
      <c:valAx>
        <c:axId val="162189696"/>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50" b="1" i="0" u="none" strike="noStrike" baseline="0">
                <a:solidFill>
                  <a:srgbClr val="000000"/>
                </a:solidFill>
                <a:latin typeface="Arial"/>
                <a:ea typeface="Arial"/>
                <a:cs typeface="Arial"/>
              </a:defRPr>
            </a:pPr>
            <a:endParaRPr lang="en-US"/>
          </a:p>
        </c:txPr>
        <c:crossAx val="162175616"/>
        <c:crosses val="autoZero"/>
        <c:crossBetween val="between"/>
      </c:valAx>
      <c:spPr>
        <a:noFill/>
        <a:ln w="25400">
          <a:noFill/>
        </a:ln>
      </c:spPr>
    </c:plotArea>
    <c:legend>
      <c:legendPos val="r"/>
      <c:layout>
        <c:manualLayout>
          <c:xMode val="edge"/>
          <c:yMode val="edge"/>
          <c:x val="0"/>
          <c:y val="0"/>
          <c:w val="7.4204946996466514E-2"/>
          <c:h val="0.20207253886010371"/>
        </c:manualLayout>
      </c:layout>
      <c:spPr>
        <a:noFill/>
        <a:ln w="3175">
          <a:solidFill>
            <a:srgbClr val="000000"/>
          </a:solidFill>
          <a:prstDash val="solid"/>
        </a:ln>
      </c:spPr>
      <c:txPr>
        <a:bodyPr/>
        <a:lstStyle/>
        <a:p>
          <a:pPr>
            <a:defRPr sz="780" b="1"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850" b="1" i="0" u="none" strike="noStrike" baseline="0">
          <a:solidFill>
            <a:srgbClr val="000000"/>
          </a:solidFill>
          <a:latin typeface="Arial"/>
          <a:ea typeface="Arial"/>
          <a:cs typeface="Arial"/>
        </a:defRPr>
      </a:pPr>
      <a:endParaRPr lang="en-US"/>
    </a:p>
  </c:txPr>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922F11-01F0-4E05-BB4A-9B00926FE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2074</Words>
  <Characters>11824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Demico V. Graham</dc:creator>
  <cp:lastModifiedBy>BlaykeT</cp:lastModifiedBy>
  <cp:revision>3</cp:revision>
  <cp:lastPrinted>2016-08-01T18:41:00Z</cp:lastPrinted>
  <dcterms:created xsi:type="dcterms:W3CDTF">2022-09-14T22:44:00Z</dcterms:created>
  <dcterms:modified xsi:type="dcterms:W3CDTF">2022-09-14T22:47:00Z</dcterms:modified>
</cp:coreProperties>
</file>