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F5C" w:rsidRDefault="006C3F5C" w:rsidP="006C3F5C">
      <w:pPr>
        <w:pStyle w:val="NoSpacing"/>
        <w:rPr>
          <w:sz w:val="32"/>
          <w:szCs w:val="32"/>
        </w:rPr>
      </w:pPr>
    </w:p>
    <w:p w:rsidR="007223DA" w:rsidRPr="007223DA" w:rsidRDefault="007223DA" w:rsidP="007223DA">
      <w:pPr>
        <w:pStyle w:val="NoSpacing"/>
        <w:rPr>
          <w:sz w:val="32"/>
          <w:szCs w:val="32"/>
          <w:lang w:val="es-PR"/>
        </w:rPr>
      </w:pPr>
    </w:p>
    <w:p w:rsidR="006C3F5C" w:rsidRPr="006C3F5C" w:rsidRDefault="007223DA" w:rsidP="007223DA">
      <w:pPr>
        <w:pStyle w:val="NoSpacing"/>
        <w:rPr>
          <w:sz w:val="32"/>
          <w:szCs w:val="32"/>
          <w:lang w:val="es-PR"/>
        </w:rPr>
      </w:pPr>
      <w:r w:rsidRPr="007223DA">
        <w:rPr>
          <w:sz w:val="32"/>
          <w:szCs w:val="32"/>
          <w:lang w:val="es-PR"/>
        </w:rPr>
        <w:t xml:space="preserve">El Tribunal de Apelaciones del Quinto Circuito de los Estados Unidos es </w:t>
      </w:r>
      <w:bookmarkStart w:id="0" w:name="_GoBack"/>
      <w:bookmarkEnd w:id="0"/>
    </w:p>
    <w:p w:rsidR="007223DA" w:rsidRDefault="007223DA" w:rsidP="006C3F5C">
      <w:pPr>
        <w:pStyle w:val="NoSpacing"/>
        <w:rPr>
          <w:sz w:val="32"/>
          <w:szCs w:val="32"/>
          <w:lang w:val="es-PR"/>
        </w:rPr>
      </w:pPr>
    </w:p>
    <w:p w:rsidR="00F153DA" w:rsidRPr="00F153DA" w:rsidRDefault="006C3F5C" w:rsidP="00F153DA">
      <w:pPr>
        <w:pStyle w:val="NoSpacing"/>
        <w:rPr>
          <w:sz w:val="32"/>
          <w:szCs w:val="32"/>
        </w:rPr>
      </w:pPr>
      <w:r w:rsidRPr="006C3F5C">
        <w:rPr>
          <w:sz w:val="32"/>
          <w:szCs w:val="32"/>
          <w:lang w:val="es-PR"/>
        </w:rPr>
        <w:t>WASHINGTON, D.C.— Hoy, un panel de tres jueces</w:t>
      </w:r>
      <w:r w:rsidR="00E71759" w:rsidRPr="00E71759">
        <w:rPr>
          <w:lang w:val="es-PR"/>
        </w:rPr>
        <w:t xml:space="preserve"> </w:t>
      </w:r>
      <w:proofErr w:type="spellStart"/>
      <w:r w:rsidR="00E71759" w:rsidRPr="00E71759">
        <w:rPr>
          <w:sz w:val="32"/>
          <w:szCs w:val="32"/>
          <w:lang w:val="es-PR"/>
        </w:rPr>
        <w:t>Judge</w:t>
      </w:r>
      <w:proofErr w:type="spellEnd"/>
      <w:r w:rsidR="00E71759" w:rsidRPr="00E71759">
        <w:rPr>
          <w:sz w:val="32"/>
          <w:szCs w:val="32"/>
          <w:lang w:val="es-PR"/>
        </w:rPr>
        <w:t xml:space="preserve"> Jennifer Walker </w:t>
      </w:r>
      <w:proofErr w:type="spellStart"/>
      <w:r w:rsidR="00E71759" w:rsidRPr="00E71759">
        <w:rPr>
          <w:sz w:val="32"/>
          <w:szCs w:val="32"/>
          <w:lang w:val="es-PR"/>
        </w:rPr>
        <w:t>Elrod</w:t>
      </w:r>
      <w:proofErr w:type="spellEnd"/>
      <w:r w:rsidR="00E71759">
        <w:rPr>
          <w:sz w:val="32"/>
          <w:szCs w:val="32"/>
          <w:lang w:val="es-PR"/>
        </w:rPr>
        <w:t>,</w:t>
      </w:r>
      <w:r w:rsidRPr="006C3F5C">
        <w:rPr>
          <w:sz w:val="32"/>
          <w:szCs w:val="32"/>
          <w:lang w:val="es-PR"/>
        </w:rPr>
        <w:t xml:space="preserve"> </w:t>
      </w:r>
      <w:proofErr w:type="spellStart"/>
      <w:r w:rsidR="00E71759" w:rsidRPr="00E71759">
        <w:rPr>
          <w:sz w:val="32"/>
          <w:szCs w:val="32"/>
          <w:lang w:val="es-PR"/>
        </w:rPr>
        <w:t>Judge</w:t>
      </w:r>
      <w:proofErr w:type="spellEnd"/>
      <w:r w:rsidR="00E71759" w:rsidRPr="00E71759">
        <w:rPr>
          <w:sz w:val="32"/>
          <w:szCs w:val="32"/>
          <w:lang w:val="es-PR"/>
        </w:rPr>
        <w:t xml:space="preserve"> </w:t>
      </w:r>
      <w:proofErr w:type="spellStart"/>
      <w:r w:rsidR="00E71759" w:rsidRPr="00E71759">
        <w:rPr>
          <w:sz w:val="32"/>
          <w:szCs w:val="32"/>
          <w:lang w:val="es-PR"/>
        </w:rPr>
        <w:t>Cory</w:t>
      </w:r>
      <w:proofErr w:type="spellEnd"/>
      <w:r w:rsidR="00E71759" w:rsidRPr="00E71759">
        <w:rPr>
          <w:sz w:val="32"/>
          <w:szCs w:val="32"/>
          <w:lang w:val="es-PR"/>
        </w:rPr>
        <w:t xml:space="preserve"> T. Wilson</w:t>
      </w:r>
      <w:r w:rsidR="00E71759">
        <w:rPr>
          <w:sz w:val="32"/>
          <w:szCs w:val="32"/>
          <w:lang w:val="es-PR"/>
        </w:rPr>
        <w:t xml:space="preserve"> y </w:t>
      </w:r>
      <w:proofErr w:type="spellStart"/>
      <w:r w:rsidR="00E71759" w:rsidRPr="00E71759">
        <w:rPr>
          <w:sz w:val="32"/>
          <w:szCs w:val="32"/>
          <w:lang w:val="es-PR"/>
        </w:rPr>
        <w:t>Judge</w:t>
      </w:r>
      <w:proofErr w:type="spellEnd"/>
      <w:r w:rsidR="00E71759" w:rsidRPr="00E71759">
        <w:rPr>
          <w:sz w:val="32"/>
          <w:szCs w:val="32"/>
          <w:lang w:val="es-PR"/>
        </w:rPr>
        <w:t xml:space="preserve"> James C. Ho</w:t>
      </w:r>
      <w:r w:rsidRPr="006C3F5C">
        <w:rPr>
          <w:sz w:val="32"/>
          <w:szCs w:val="32"/>
          <w:lang w:val="es-PR"/>
        </w:rPr>
        <w:t xml:space="preserve"> </w:t>
      </w:r>
      <w:r w:rsidR="00E71759" w:rsidRPr="00E71759">
        <w:rPr>
          <w:sz w:val="32"/>
          <w:szCs w:val="32"/>
          <w:lang w:val="es-PR"/>
        </w:rPr>
        <w:t xml:space="preserve">del </w:t>
      </w:r>
      <w:r w:rsidRPr="006C3F5C">
        <w:rPr>
          <w:sz w:val="32"/>
          <w:szCs w:val="32"/>
          <w:lang w:val="es-PR"/>
        </w:rPr>
        <w:t>Tribunal de Apelaciones del Quinto Circuito</w:t>
      </w:r>
      <w:r w:rsidR="00F153DA">
        <w:rPr>
          <w:sz w:val="32"/>
          <w:szCs w:val="32"/>
          <w:lang w:val="es-PR"/>
        </w:rPr>
        <w:t xml:space="preserve"> panel de 3 de 25 jueces</w:t>
      </w:r>
      <w:r w:rsidRPr="006C3F5C">
        <w:rPr>
          <w:sz w:val="32"/>
          <w:szCs w:val="32"/>
          <w:lang w:val="es-PR"/>
        </w:rPr>
        <w:t xml:space="preserve">, en </w:t>
      </w:r>
      <w:r w:rsidR="00E71759">
        <w:rPr>
          <w:sz w:val="32"/>
          <w:szCs w:val="32"/>
          <w:lang w:val="es-PR"/>
        </w:rPr>
        <w:t xml:space="preserve">el caso </w:t>
      </w:r>
      <w:r w:rsidRPr="006C3F5C">
        <w:rPr>
          <w:sz w:val="32"/>
          <w:szCs w:val="32"/>
          <w:lang w:val="es-PR"/>
        </w:rPr>
        <w:t xml:space="preserve">Alliance </w:t>
      </w:r>
      <w:proofErr w:type="spellStart"/>
      <w:r w:rsidRPr="006C3F5C">
        <w:rPr>
          <w:sz w:val="32"/>
          <w:szCs w:val="32"/>
          <w:lang w:val="es-PR"/>
        </w:rPr>
        <w:t>for</w:t>
      </w:r>
      <w:proofErr w:type="spellEnd"/>
      <w:r w:rsidRPr="006C3F5C">
        <w:rPr>
          <w:sz w:val="32"/>
          <w:szCs w:val="32"/>
          <w:lang w:val="es-PR"/>
        </w:rPr>
        <w:t xml:space="preserve"> </w:t>
      </w:r>
      <w:proofErr w:type="spellStart"/>
      <w:r w:rsidRPr="006C3F5C">
        <w:rPr>
          <w:sz w:val="32"/>
          <w:szCs w:val="32"/>
          <w:lang w:val="es-PR"/>
        </w:rPr>
        <w:t>Hippocratic</w:t>
      </w:r>
      <w:proofErr w:type="spellEnd"/>
      <w:r w:rsidRPr="006C3F5C">
        <w:rPr>
          <w:sz w:val="32"/>
          <w:szCs w:val="32"/>
          <w:lang w:val="es-PR"/>
        </w:rPr>
        <w:t xml:space="preserve"> Medicine</w:t>
      </w:r>
      <w:r w:rsidR="00E71759">
        <w:rPr>
          <w:sz w:val="32"/>
          <w:szCs w:val="32"/>
          <w:lang w:val="es-PR"/>
        </w:rPr>
        <w:t xml:space="preserve"> American, </w:t>
      </w:r>
      <w:proofErr w:type="spellStart"/>
      <w:r w:rsidR="00E71759" w:rsidRPr="00E71759">
        <w:rPr>
          <w:sz w:val="32"/>
          <w:szCs w:val="32"/>
          <w:lang w:val="es-PR"/>
        </w:rPr>
        <w:t>Associat</w:t>
      </w:r>
      <w:r w:rsidR="00F153DA">
        <w:rPr>
          <w:sz w:val="32"/>
          <w:szCs w:val="32"/>
          <w:lang w:val="es-PR"/>
        </w:rPr>
        <w:t>ion</w:t>
      </w:r>
      <w:proofErr w:type="spellEnd"/>
      <w:r w:rsidR="00F153DA">
        <w:rPr>
          <w:sz w:val="32"/>
          <w:szCs w:val="32"/>
          <w:lang w:val="es-PR"/>
        </w:rPr>
        <w:t xml:space="preserve"> of Pro-</w:t>
      </w:r>
      <w:proofErr w:type="spellStart"/>
      <w:r w:rsidR="00F153DA">
        <w:rPr>
          <w:sz w:val="32"/>
          <w:szCs w:val="32"/>
          <w:lang w:val="es-PR"/>
        </w:rPr>
        <w:t>Life</w:t>
      </w:r>
      <w:proofErr w:type="spellEnd"/>
      <w:r w:rsidR="00F153DA">
        <w:rPr>
          <w:sz w:val="32"/>
          <w:szCs w:val="32"/>
          <w:lang w:val="es-PR"/>
        </w:rPr>
        <w:t xml:space="preserve"> </w:t>
      </w:r>
      <w:proofErr w:type="spellStart"/>
      <w:r w:rsidR="00F153DA">
        <w:rPr>
          <w:sz w:val="32"/>
          <w:szCs w:val="32"/>
          <w:lang w:val="es-PR"/>
        </w:rPr>
        <w:t>Obstetricians</w:t>
      </w:r>
      <w:proofErr w:type="spellEnd"/>
      <w:r w:rsidR="00F153DA">
        <w:rPr>
          <w:sz w:val="32"/>
          <w:szCs w:val="32"/>
          <w:lang w:val="es-PR"/>
        </w:rPr>
        <w:t xml:space="preserve"> &amp; </w:t>
      </w:r>
      <w:proofErr w:type="spellStart"/>
      <w:r w:rsidR="00E71759" w:rsidRPr="00E71759">
        <w:rPr>
          <w:sz w:val="32"/>
          <w:szCs w:val="32"/>
          <w:lang w:val="es-PR"/>
        </w:rPr>
        <w:t>Gynecologists</w:t>
      </w:r>
      <w:proofErr w:type="spellEnd"/>
      <w:r w:rsidR="00E71759" w:rsidRPr="00E71759">
        <w:rPr>
          <w:sz w:val="32"/>
          <w:szCs w:val="32"/>
          <w:lang w:val="es-PR"/>
        </w:rPr>
        <w:t xml:space="preserve">; American </w:t>
      </w:r>
      <w:proofErr w:type="spellStart"/>
      <w:r w:rsidR="00E71759" w:rsidRPr="00E71759">
        <w:rPr>
          <w:sz w:val="32"/>
          <w:szCs w:val="32"/>
          <w:lang w:val="es-PR"/>
        </w:rPr>
        <w:t>College</w:t>
      </w:r>
      <w:proofErr w:type="spellEnd"/>
      <w:r w:rsidR="00E71759" w:rsidRPr="00E71759">
        <w:rPr>
          <w:sz w:val="32"/>
          <w:szCs w:val="32"/>
          <w:lang w:val="es-PR"/>
        </w:rPr>
        <w:t xml:space="preserve"> of </w:t>
      </w:r>
      <w:proofErr w:type="spellStart"/>
      <w:r w:rsidR="00E71759" w:rsidRPr="00E71759">
        <w:rPr>
          <w:sz w:val="32"/>
          <w:szCs w:val="32"/>
          <w:lang w:val="es-PR"/>
        </w:rPr>
        <w:t>Pediatricians</w:t>
      </w:r>
      <w:proofErr w:type="spellEnd"/>
      <w:r w:rsidR="00E71759" w:rsidRPr="00E71759">
        <w:rPr>
          <w:sz w:val="32"/>
          <w:szCs w:val="32"/>
          <w:lang w:val="es-PR"/>
        </w:rPr>
        <w:t xml:space="preserve">; Christian Medical &amp; Dental </w:t>
      </w:r>
      <w:proofErr w:type="spellStart"/>
      <w:r w:rsidR="00E71759" w:rsidRPr="00E71759">
        <w:rPr>
          <w:sz w:val="32"/>
          <w:szCs w:val="32"/>
          <w:lang w:val="es-PR"/>
        </w:rPr>
        <w:t>Associations</w:t>
      </w:r>
      <w:proofErr w:type="spellEnd"/>
      <w:r w:rsidR="00E71759" w:rsidRPr="00E71759">
        <w:rPr>
          <w:sz w:val="32"/>
          <w:szCs w:val="32"/>
          <w:lang w:val="es-PR"/>
        </w:rPr>
        <w:t xml:space="preserve">; </w:t>
      </w:r>
      <w:proofErr w:type="spellStart"/>
      <w:r w:rsidR="00E71759" w:rsidRPr="00E71759">
        <w:rPr>
          <w:sz w:val="32"/>
          <w:szCs w:val="32"/>
          <w:lang w:val="es-PR"/>
        </w:rPr>
        <w:t>Shaun</w:t>
      </w:r>
      <w:proofErr w:type="spellEnd"/>
      <w:r w:rsidR="00F153DA">
        <w:rPr>
          <w:sz w:val="32"/>
          <w:szCs w:val="32"/>
          <w:lang w:val="es-PR"/>
        </w:rPr>
        <w:t xml:space="preserve"> </w:t>
      </w:r>
      <w:proofErr w:type="spellStart"/>
      <w:r w:rsidR="00E71759" w:rsidRPr="00E71759">
        <w:rPr>
          <w:sz w:val="32"/>
          <w:szCs w:val="32"/>
          <w:lang w:val="es-PR"/>
        </w:rPr>
        <w:t>Jester</w:t>
      </w:r>
      <w:proofErr w:type="spellEnd"/>
      <w:r w:rsidR="00E71759" w:rsidRPr="00E71759">
        <w:rPr>
          <w:sz w:val="32"/>
          <w:szCs w:val="32"/>
          <w:lang w:val="es-PR"/>
        </w:rPr>
        <w:t xml:space="preserve">, D.O.; Regina </w:t>
      </w:r>
      <w:proofErr w:type="spellStart"/>
      <w:r w:rsidR="00E71759" w:rsidRPr="00E71759">
        <w:rPr>
          <w:sz w:val="32"/>
          <w:szCs w:val="32"/>
          <w:lang w:val="es-PR"/>
        </w:rPr>
        <w:t>Frost</w:t>
      </w:r>
      <w:proofErr w:type="spellEnd"/>
      <w:r w:rsidR="00E71759" w:rsidRPr="00E71759">
        <w:rPr>
          <w:sz w:val="32"/>
          <w:szCs w:val="32"/>
          <w:lang w:val="es-PR"/>
        </w:rPr>
        <w:t>-Clark, M.D.; Tyler Johnson, D.O.; George Delgado, M.D</w:t>
      </w:r>
      <w:r w:rsidRPr="006C3F5C">
        <w:rPr>
          <w:sz w:val="32"/>
          <w:szCs w:val="32"/>
          <w:lang w:val="es-PR"/>
        </w:rPr>
        <w:t xml:space="preserve"> v</w:t>
      </w:r>
      <w:r w:rsidR="00F153DA">
        <w:rPr>
          <w:sz w:val="32"/>
          <w:szCs w:val="32"/>
          <w:lang w:val="es-PR"/>
        </w:rPr>
        <w:t>s</w:t>
      </w:r>
      <w:r w:rsidRPr="006C3F5C">
        <w:rPr>
          <w:sz w:val="32"/>
          <w:szCs w:val="32"/>
          <w:lang w:val="es-PR"/>
        </w:rPr>
        <w:t>.</w:t>
      </w:r>
      <w:r>
        <w:rPr>
          <w:sz w:val="32"/>
          <w:szCs w:val="32"/>
          <w:lang w:val="es-PR"/>
        </w:rPr>
        <w:t xml:space="preserve"> </w:t>
      </w:r>
      <w:r w:rsidRPr="006C3F5C">
        <w:rPr>
          <w:sz w:val="32"/>
          <w:szCs w:val="32"/>
          <w:lang w:val="es-PR"/>
        </w:rPr>
        <w:t xml:space="preserve">La Administración de Drogas y Alimentos de los EE. UU. </w:t>
      </w:r>
      <w:r w:rsidRPr="00F153DA">
        <w:rPr>
          <w:sz w:val="32"/>
          <w:szCs w:val="32"/>
        </w:rPr>
        <w:t>(FDA)</w:t>
      </w:r>
      <w:r w:rsidR="00F153DA" w:rsidRPr="00F153DA">
        <w:t xml:space="preserve"> </w:t>
      </w:r>
      <w:r w:rsidR="00F153DA" w:rsidRPr="00F153DA">
        <w:rPr>
          <w:sz w:val="32"/>
          <w:szCs w:val="32"/>
        </w:rPr>
        <w:t xml:space="preserve">U.S. Food &amp; Drug Administration; Robert M. </w:t>
      </w:r>
      <w:proofErr w:type="spellStart"/>
      <w:r w:rsidR="00F153DA" w:rsidRPr="00F153DA">
        <w:rPr>
          <w:sz w:val="32"/>
          <w:szCs w:val="32"/>
        </w:rPr>
        <w:t>Califf</w:t>
      </w:r>
      <w:proofErr w:type="spellEnd"/>
      <w:r w:rsidR="00F153DA" w:rsidRPr="00F153DA">
        <w:rPr>
          <w:sz w:val="32"/>
          <w:szCs w:val="32"/>
        </w:rPr>
        <w:t>,</w:t>
      </w:r>
      <w:r w:rsidR="00F153DA">
        <w:rPr>
          <w:sz w:val="32"/>
          <w:szCs w:val="32"/>
        </w:rPr>
        <w:t xml:space="preserve"> </w:t>
      </w:r>
      <w:r w:rsidR="00F153DA" w:rsidRPr="00F153DA">
        <w:rPr>
          <w:sz w:val="32"/>
          <w:szCs w:val="32"/>
        </w:rPr>
        <w:t>Commissioner of Food and Drug</w:t>
      </w:r>
      <w:r w:rsidR="00F153DA">
        <w:rPr>
          <w:sz w:val="32"/>
          <w:szCs w:val="32"/>
        </w:rPr>
        <w:t xml:space="preserve">s; Janet Woodcock, M.D., in her </w:t>
      </w:r>
      <w:r w:rsidR="00F153DA" w:rsidRPr="00F153DA">
        <w:rPr>
          <w:sz w:val="32"/>
          <w:szCs w:val="32"/>
        </w:rPr>
        <w:t>official capacity as Principal Deputy C</w:t>
      </w:r>
      <w:r w:rsidR="00F153DA">
        <w:rPr>
          <w:sz w:val="32"/>
          <w:szCs w:val="32"/>
        </w:rPr>
        <w:t>ommissioner, U.S. Food and Drug</w:t>
      </w:r>
      <w:r w:rsidR="00195387">
        <w:rPr>
          <w:sz w:val="32"/>
          <w:szCs w:val="32"/>
        </w:rPr>
        <w:t xml:space="preserve"> </w:t>
      </w:r>
      <w:r w:rsidR="00F153DA" w:rsidRPr="00F153DA">
        <w:rPr>
          <w:sz w:val="32"/>
          <w:szCs w:val="32"/>
        </w:rPr>
        <w:t xml:space="preserve">Administration; </w:t>
      </w:r>
      <w:proofErr w:type="spellStart"/>
      <w:r w:rsidR="00F153DA" w:rsidRPr="00F153DA">
        <w:rPr>
          <w:sz w:val="32"/>
          <w:szCs w:val="32"/>
        </w:rPr>
        <w:t>Patrizia</w:t>
      </w:r>
      <w:proofErr w:type="spellEnd"/>
      <w:r w:rsidR="00F153DA" w:rsidRPr="00F153DA">
        <w:rPr>
          <w:sz w:val="32"/>
          <w:szCs w:val="32"/>
        </w:rPr>
        <w:t xml:space="preserve"> </w:t>
      </w:r>
      <w:proofErr w:type="spellStart"/>
      <w:r w:rsidR="00F153DA" w:rsidRPr="00F153DA">
        <w:rPr>
          <w:sz w:val="32"/>
          <w:szCs w:val="32"/>
        </w:rPr>
        <w:t>Cavazzoni</w:t>
      </w:r>
      <w:proofErr w:type="spellEnd"/>
      <w:r w:rsidR="00F153DA" w:rsidRPr="00F153DA">
        <w:rPr>
          <w:sz w:val="32"/>
          <w:szCs w:val="32"/>
        </w:rPr>
        <w:t>, M.D., in her official capacity as</w:t>
      </w:r>
    </w:p>
    <w:p w:rsidR="00F153DA" w:rsidRPr="00F153DA" w:rsidRDefault="00F153DA" w:rsidP="00F153DA">
      <w:pPr>
        <w:pStyle w:val="NoSpacing"/>
        <w:rPr>
          <w:sz w:val="32"/>
          <w:szCs w:val="32"/>
        </w:rPr>
      </w:pPr>
      <w:r w:rsidRPr="00F153DA">
        <w:rPr>
          <w:sz w:val="32"/>
          <w:szCs w:val="32"/>
        </w:rPr>
        <w:t>Director, Center for Drug Evaluation and Research, U.S. Food and Drug</w:t>
      </w:r>
    </w:p>
    <w:p w:rsidR="00F153DA" w:rsidRPr="00F153DA" w:rsidRDefault="00F153DA" w:rsidP="00F153DA">
      <w:pPr>
        <w:pStyle w:val="NoSpacing"/>
        <w:rPr>
          <w:sz w:val="32"/>
          <w:szCs w:val="32"/>
        </w:rPr>
      </w:pPr>
      <w:r w:rsidRPr="00F153DA">
        <w:rPr>
          <w:sz w:val="32"/>
          <w:szCs w:val="32"/>
        </w:rPr>
        <w:t xml:space="preserve">Administration; United </w:t>
      </w:r>
      <w:r>
        <w:rPr>
          <w:sz w:val="32"/>
          <w:szCs w:val="32"/>
        </w:rPr>
        <w:t xml:space="preserve">States Department of Health and </w:t>
      </w:r>
      <w:r w:rsidRPr="00F153DA">
        <w:rPr>
          <w:sz w:val="32"/>
          <w:szCs w:val="32"/>
        </w:rPr>
        <w:t>Human Services; Xavier Becerra</w:t>
      </w:r>
      <w:r>
        <w:rPr>
          <w:sz w:val="32"/>
          <w:szCs w:val="32"/>
        </w:rPr>
        <w:t xml:space="preserve">, Secretary, U.S. Department of </w:t>
      </w:r>
      <w:r w:rsidRPr="00F153DA">
        <w:rPr>
          <w:sz w:val="32"/>
          <w:szCs w:val="32"/>
        </w:rPr>
        <w:t>Health and Human Services,</w:t>
      </w:r>
    </w:p>
    <w:p w:rsidR="00F153DA" w:rsidRPr="00195387" w:rsidRDefault="00F153DA" w:rsidP="00F153DA">
      <w:pPr>
        <w:pStyle w:val="NoSpacing"/>
        <w:rPr>
          <w:sz w:val="32"/>
          <w:szCs w:val="32"/>
          <w:lang w:val="es-PR"/>
        </w:rPr>
      </w:pPr>
      <w:proofErr w:type="spellStart"/>
      <w:r w:rsidRPr="00195387">
        <w:rPr>
          <w:sz w:val="32"/>
          <w:szCs w:val="32"/>
          <w:lang w:val="es-PR"/>
        </w:rPr>
        <w:t>Defendants</w:t>
      </w:r>
      <w:proofErr w:type="spellEnd"/>
      <w:r w:rsidRPr="00195387">
        <w:rPr>
          <w:sz w:val="32"/>
          <w:szCs w:val="32"/>
          <w:lang w:val="es-PR"/>
        </w:rPr>
        <w:t>—</w:t>
      </w:r>
      <w:proofErr w:type="spellStart"/>
      <w:r w:rsidRPr="00195387">
        <w:rPr>
          <w:sz w:val="32"/>
          <w:szCs w:val="32"/>
          <w:lang w:val="es-PR"/>
        </w:rPr>
        <w:t>Appellants</w:t>
      </w:r>
      <w:proofErr w:type="spellEnd"/>
      <w:r w:rsidRPr="00195387">
        <w:rPr>
          <w:sz w:val="32"/>
          <w:szCs w:val="32"/>
          <w:lang w:val="es-PR"/>
        </w:rPr>
        <w:t>,</w:t>
      </w:r>
    </w:p>
    <w:p w:rsidR="00F153DA" w:rsidRPr="00F153DA" w:rsidRDefault="00F153DA" w:rsidP="00F153DA">
      <w:pPr>
        <w:pStyle w:val="NoSpacing"/>
        <w:rPr>
          <w:sz w:val="32"/>
          <w:szCs w:val="32"/>
          <w:lang w:val="es-PR"/>
        </w:rPr>
      </w:pPr>
      <w:r w:rsidRPr="00F153DA">
        <w:rPr>
          <w:sz w:val="32"/>
          <w:szCs w:val="32"/>
          <w:lang w:val="es-PR"/>
        </w:rPr>
        <w:t>versus</w:t>
      </w:r>
    </w:p>
    <w:p w:rsidR="007223DA" w:rsidRPr="00F153DA" w:rsidRDefault="00F153DA" w:rsidP="00F153DA">
      <w:pPr>
        <w:pStyle w:val="NoSpacing"/>
        <w:rPr>
          <w:sz w:val="32"/>
          <w:szCs w:val="32"/>
          <w:lang w:val="es-PR"/>
        </w:rPr>
      </w:pPr>
      <w:proofErr w:type="spellStart"/>
      <w:r w:rsidRPr="00F153DA">
        <w:rPr>
          <w:sz w:val="32"/>
          <w:szCs w:val="32"/>
          <w:lang w:val="es-PR"/>
        </w:rPr>
        <w:t>Danco</w:t>
      </w:r>
      <w:proofErr w:type="spellEnd"/>
      <w:r w:rsidRPr="00F153DA">
        <w:rPr>
          <w:sz w:val="32"/>
          <w:szCs w:val="32"/>
          <w:lang w:val="es-PR"/>
        </w:rPr>
        <w:t xml:space="preserve"> </w:t>
      </w:r>
      <w:proofErr w:type="spellStart"/>
      <w:r w:rsidRPr="00F153DA">
        <w:rPr>
          <w:sz w:val="32"/>
          <w:szCs w:val="32"/>
          <w:lang w:val="es-PR"/>
        </w:rPr>
        <w:t>Laboratories</w:t>
      </w:r>
      <w:proofErr w:type="spellEnd"/>
      <w:r w:rsidRPr="00F153DA">
        <w:rPr>
          <w:sz w:val="32"/>
          <w:szCs w:val="32"/>
          <w:lang w:val="es-PR"/>
        </w:rPr>
        <w:t>, L.L.C.,</w:t>
      </w:r>
      <w:r w:rsidR="006C3F5C" w:rsidRPr="00F153DA">
        <w:rPr>
          <w:sz w:val="32"/>
          <w:szCs w:val="32"/>
          <w:lang w:val="es-PR"/>
        </w:rPr>
        <w:t xml:space="preserve"> </w:t>
      </w:r>
      <w:r w:rsidR="006C3F5C" w:rsidRPr="006C3F5C">
        <w:rPr>
          <w:sz w:val="32"/>
          <w:szCs w:val="32"/>
          <w:lang w:val="es-PR"/>
        </w:rPr>
        <w:t xml:space="preserve">determinó que cuando la FDA relajó las regulaciones en 2016 y 2021 con respecto al medicamento </w:t>
      </w:r>
      <w:proofErr w:type="spellStart"/>
      <w:r w:rsidR="006C3F5C" w:rsidRPr="006C3F5C">
        <w:rPr>
          <w:sz w:val="32"/>
          <w:szCs w:val="32"/>
          <w:lang w:val="es-PR"/>
        </w:rPr>
        <w:t>mifepristona</w:t>
      </w:r>
      <w:proofErr w:type="spellEnd"/>
      <w:r w:rsidR="006C3F5C" w:rsidRPr="006C3F5C">
        <w:rPr>
          <w:sz w:val="32"/>
          <w:szCs w:val="32"/>
          <w:lang w:val="es-PR"/>
        </w:rPr>
        <w:t>, lo hizo de manera ilegal, al no considerar adecuadamente los problemas de seguridad demostrados con el medicamento.</w:t>
      </w:r>
    </w:p>
    <w:p w:rsidR="006C3F5C" w:rsidRPr="006C3F5C" w:rsidRDefault="007223DA" w:rsidP="006C3F5C">
      <w:pPr>
        <w:pStyle w:val="NoSpacing"/>
        <w:rPr>
          <w:sz w:val="32"/>
          <w:szCs w:val="32"/>
          <w:lang w:val="es-PR"/>
        </w:rPr>
      </w:pPr>
      <w:r w:rsidRPr="006C3F5C">
        <w:rPr>
          <w:sz w:val="32"/>
          <w:szCs w:val="32"/>
          <w:lang w:val="es-PR"/>
        </w:rPr>
        <w:t xml:space="preserve"> </w:t>
      </w:r>
    </w:p>
    <w:p w:rsidR="006C3F5C" w:rsidRPr="006C3F5C" w:rsidRDefault="006C3F5C" w:rsidP="006C3F5C">
      <w:pPr>
        <w:pStyle w:val="NoSpacing"/>
        <w:rPr>
          <w:sz w:val="32"/>
          <w:szCs w:val="32"/>
          <w:lang w:val="es-PR"/>
        </w:rPr>
      </w:pPr>
      <w:r w:rsidRPr="006C3F5C">
        <w:rPr>
          <w:sz w:val="32"/>
          <w:szCs w:val="32"/>
          <w:lang w:val="es-PR"/>
        </w:rPr>
        <w:t xml:space="preserve">La decisión de hoy no afectará la distribución del medicamento abortivo </w:t>
      </w:r>
      <w:proofErr w:type="spellStart"/>
      <w:r w:rsidRPr="006C3F5C">
        <w:rPr>
          <w:sz w:val="32"/>
          <w:szCs w:val="32"/>
          <w:lang w:val="es-PR"/>
        </w:rPr>
        <w:t>Mifeprex</w:t>
      </w:r>
      <w:proofErr w:type="spellEnd"/>
      <w:r w:rsidRPr="006C3F5C">
        <w:rPr>
          <w:sz w:val="32"/>
          <w:szCs w:val="32"/>
          <w:lang w:val="es-PR"/>
        </w:rPr>
        <w:t xml:space="preserve"> (genérico: </w:t>
      </w:r>
      <w:proofErr w:type="spellStart"/>
      <w:r w:rsidRPr="006C3F5C">
        <w:rPr>
          <w:sz w:val="32"/>
          <w:szCs w:val="32"/>
          <w:lang w:val="es-PR"/>
        </w:rPr>
        <w:t>mifepristona</w:t>
      </w:r>
      <w:proofErr w:type="spellEnd"/>
      <w:r w:rsidRPr="006C3F5C">
        <w:rPr>
          <w:sz w:val="32"/>
          <w:szCs w:val="32"/>
          <w:lang w:val="es-PR"/>
        </w:rPr>
        <w:t>) hasta que la Corte Suprema de los EE. UU. intervenga.</w:t>
      </w:r>
    </w:p>
    <w:p w:rsidR="006C3F5C" w:rsidRPr="006C3F5C" w:rsidRDefault="006C3F5C" w:rsidP="006C3F5C">
      <w:pPr>
        <w:pStyle w:val="NoSpacing"/>
        <w:rPr>
          <w:sz w:val="32"/>
          <w:szCs w:val="32"/>
          <w:lang w:val="es-PR"/>
        </w:rPr>
      </w:pPr>
    </w:p>
    <w:p w:rsidR="006C3F5C" w:rsidRPr="006C3F5C" w:rsidRDefault="006C3F5C" w:rsidP="006C3F5C">
      <w:pPr>
        <w:pStyle w:val="NoSpacing"/>
        <w:rPr>
          <w:sz w:val="32"/>
          <w:szCs w:val="32"/>
          <w:lang w:val="es-PR"/>
        </w:rPr>
      </w:pPr>
      <w:r w:rsidRPr="006C3F5C">
        <w:rPr>
          <w:sz w:val="32"/>
          <w:szCs w:val="32"/>
          <w:lang w:val="es-PR"/>
        </w:rPr>
        <w:t xml:space="preserve">“La Corte de Apelaciones del Quinto Circuito concluyó que las acciones de la FDA que aflojaron las regulaciones relacionadas con </w:t>
      </w:r>
      <w:proofErr w:type="spellStart"/>
      <w:r w:rsidRPr="006C3F5C">
        <w:rPr>
          <w:sz w:val="32"/>
          <w:szCs w:val="32"/>
          <w:lang w:val="es-PR"/>
        </w:rPr>
        <w:t>Mifeprex</w:t>
      </w:r>
      <w:proofErr w:type="spellEnd"/>
      <w:r w:rsidRPr="006C3F5C">
        <w:rPr>
          <w:sz w:val="32"/>
          <w:szCs w:val="32"/>
          <w:lang w:val="es-PR"/>
        </w:rPr>
        <w:t xml:space="preserve"> </w:t>
      </w:r>
      <w:r w:rsidRPr="006C3F5C">
        <w:rPr>
          <w:sz w:val="32"/>
          <w:szCs w:val="32"/>
          <w:lang w:val="es-PR"/>
        </w:rPr>
        <w:lastRenderedPageBreak/>
        <w:t xml:space="preserve">fueron ilegales”, dijo Carol </w:t>
      </w:r>
      <w:proofErr w:type="spellStart"/>
      <w:r w:rsidRPr="006C3F5C">
        <w:rPr>
          <w:sz w:val="32"/>
          <w:szCs w:val="32"/>
          <w:lang w:val="es-PR"/>
        </w:rPr>
        <w:t>Tobias</w:t>
      </w:r>
      <w:proofErr w:type="spellEnd"/>
      <w:r w:rsidRPr="006C3F5C">
        <w:rPr>
          <w:sz w:val="32"/>
          <w:szCs w:val="32"/>
          <w:lang w:val="es-PR"/>
        </w:rPr>
        <w:t xml:space="preserve">, presidenta de </w:t>
      </w:r>
      <w:proofErr w:type="spellStart"/>
      <w:r w:rsidRPr="006C3F5C">
        <w:rPr>
          <w:sz w:val="32"/>
          <w:szCs w:val="32"/>
          <w:lang w:val="es-PR"/>
        </w:rPr>
        <w:t>National</w:t>
      </w:r>
      <w:proofErr w:type="spellEnd"/>
      <w:r w:rsidRPr="006C3F5C">
        <w:rPr>
          <w:sz w:val="32"/>
          <w:szCs w:val="32"/>
          <w:lang w:val="es-PR"/>
        </w:rPr>
        <w:t xml:space="preserve"> </w:t>
      </w:r>
      <w:proofErr w:type="spellStart"/>
      <w:r w:rsidRPr="006C3F5C">
        <w:rPr>
          <w:sz w:val="32"/>
          <w:szCs w:val="32"/>
          <w:lang w:val="es-PR"/>
        </w:rPr>
        <w:t>Right</w:t>
      </w:r>
      <w:proofErr w:type="spellEnd"/>
      <w:r w:rsidRPr="006C3F5C">
        <w:rPr>
          <w:sz w:val="32"/>
          <w:szCs w:val="32"/>
          <w:lang w:val="es-PR"/>
        </w:rPr>
        <w:t xml:space="preserve"> to </w:t>
      </w:r>
      <w:proofErr w:type="spellStart"/>
      <w:r w:rsidRPr="006C3F5C">
        <w:rPr>
          <w:sz w:val="32"/>
          <w:szCs w:val="32"/>
          <w:lang w:val="es-PR"/>
        </w:rPr>
        <w:t>Life</w:t>
      </w:r>
      <w:proofErr w:type="spellEnd"/>
      <w:r w:rsidRPr="006C3F5C">
        <w:rPr>
          <w:sz w:val="32"/>
          <w:szCs w:val="32"/>
          <w:lang w:val="es-PR"/>
        </w:rPr>
        <w:t>. “Nuestra esperanza es que la decisión de hoy sea confirmada por la Corte Suprema de los Estados Unidos”.</w:t>
      </w:r>
    </w:p>
    <w:p w:rsidR="006C3F5C" w:rsidRPr="006C3F5C" w:rsidRDefault="006C3F5C" w:rsidP="006C3F5C">
      <w:pPr>
        <w:pStyle w:val="NoSpacing"/>
        <w:rPr>
          <w:sz w:val="32"/>
          <w:szCs w:val="32"/>
          <w:lang w:val="es-PR"/>
        </w:rPr>
      </w:pPr>
    </w:p>
    <w:p w:rsidR="006C3F5C" w:rsidRPr="006C3F5C" w:rsidRDefault="006C3F5C" w:rsidP="006C3F5C">
      <w:pPr>
        <w:pStyle w:val="NoSpacing"/>
        <w:rPr>
          <w:sz w:val="32"/>
          <w:szCs w:val="32"/>
          <w:lang w:val="es-PR"/>
        </w:rPr>
      </w:pPr>
      <w:r w:rsidRPr="006C3F5C">
        <w:rPr>
          <w:sz w:val="32"/>
          <w:szCs w:val="32"/>
          <w:lang w:val="es-PR"/>
        </w:rPr>
        <w:t xml:space="preserve">“El fallo de hoy, aunque no está vigente debido a la suspensión previa de la Corte Suprema, también restablecería los protocolos de seguridad para las mujeres de larga data que se eliminaron durante COVID y se hicieron permanentes debido a la presión a favor del aborto sobre la FDA”, dijo </w:t>
      </w:r>
      <w:proofErr w:type="spellStart"/>
      <w:r w:rsidRPr="006C3F5C">
        <w:rPr>
          <w:sz w:val="32"/>
          <w:szCs w:val="32"/>
          <w:lang w:val="es-PR"/>
        </w:rPr>
        <w:t>Tobias</w:t>
      </w:r>
      <w:proofErr w:type="spellEnd"/>
      <w:r w:rsidRPr="006C3F5C">
        <w:rPr>
          <w:sz w:val="32"/>
          <w:szCs w:val="32"/>
          <w:lang w:val="es-PR"/>
        </w:rPr>
        <w:t>.</w:t>
      </w:r>
    </w:p>
    <w:p w:rsidR="006C3F5C" w:rsidRPr="006C3F5C" w:rsidRDefault="006C3F5C" w:rsidP="006C3F5C">
      <w:pPr>
        <w:pStyle w:val="NoSpacing"/>
        <w:rPr>
          <w:sz w:val="32"/>
          <w:szCs w:val="32"/>
          <w:lang w:val="es-PR"/>
        </w:rPr>
      </w:pPr>
    </w:p>
    <w:p w:rsidR="006C3F5C" w:rsidRPr="006C3F5C" w:rsidRDefault="006C3F5C" w:rsidP="006C3F5C">
      <w:pPr>
        <w:pStyle w:val="NoSpacing"/>
        <w:rPr>
          <w:sz w:val="32"/>
          <w:szCs w:val="32"/>
          <w:lang w:val="es-PR"/>
        </w:rPr>
      </w:pPr>
      <w:r w:rsidRPr="006C3F5C">
        <w:rPr>
          <w:sz w:val="32"/>
          <w:szCs w:val="32"/>
          <w:lang w:val="es-PR"/>
        </w:rPr>
        <w:t>En la decisión de hoy, el tribunal señaló:</w:t>
      </w:r>
    </w:p>
    <w:p w:rsidR="006C3F5C" w:rsidRPr="006C3F5C" w:rsidRDefault="006C3F5C" w:rsidP="006C3F5C">
      <w:pPr>
        <w:pStyle w:val="NoSpacing"/>
        <w:rPr>
          <w:sz w:val="32"/>
          <w:szCs w:val="32"/>
          <w:lang w:val="es-PR"/>
        </w:rPr>
      </w:pPr>
    </w:p>
    <w:p w:rsidR="006C3F5C" w:rsidRPr="006C3F5C" w:rsidRDefault="006C3F5C" w:rsidP="006C3F5C">
      <w:pPr>
        <w:pStyle w:val="NoSpacing"/>
        <w:rPr>
          <w:sz w:val="32"/>
          <w:szCs w:val="32"/>
          <w:lang w:val="es-PR"/>
        </w:rPr>
      </w:pPr>
      <w:r w:rsidRPr="006C3F5C">
        <w:rPr>
          <w:sz w:val="32"/>
          <w:szCs w:val="32"/>
          <w:lang w:val="es-PR"/>
        </w:rPr>
        <w:t xml:space="preserve">Afirmamos las partes de la orden de suspensión con respecto a las Enmiendas de 2016 y la Decisión de no aplicación de 2021. Al relajar las restricciones de seguridad de la </w:t>
      </w:r>
      <w:proofErr w:type="spellStart"/>
      <w:r w:rsidRPr="006C3F5C">
        <w:rPr>
          <w:sz w:val="32"/>
          <w:szCs w:val="32"/>
          <w:lang w:val="es-PR"/>
        </w:rPr>
        <w:t>mifepristona</w:t>
      </w:r>
      <w:proofErr w:type="spellEnd"/>
      <w:r w:rsidRPr="006C3F5C">
        <w:rPr>
          <w:sz w:val="32"/>
          <w:szCs w:val="32"/>
          <w:lang w:val="es-PR"/>
        </w:rPr>
        <w:t>, la FDA no abordó varias preocupaciones importantes sobre si el medicamento sería seguro para las mujeres que lo usan. No tuvo en cuenta el efecto acumulativo de eliminar varias salvaguardias importantes al mismo tiempo. No consideró si esos cambios "importantes" e "interrelacionados" podrían alterar el perfil de riesgo, de modo que la agencia debería continuar exigiendo la notificación de eventos adversos no fatales. Y no pudo reunir evidencia</w:t>
      </w:r>
      <w:r w:rsidRPr="006C3F5C">
        <w:rPr>
          <w:lang w:val="es-PR"/>
        </w:rPr>
        <w:t xml:space="preserve"> </w:t>
      </w:r>
      <w:r w:rsidRPr="006C3F5C">
        <w:rPr>
          <w:sz w:val="32"/>
          <w:szCs w:val="32"/>
          <w:lang w:val="es-PR"/>
        </w:rPr>
        <w:t xml:space="preserve">que demostraba afirmativamente que la </w:t>
      </w:r>
      <w:proofErr w:type="spellStart"/>
      <w:r w:rsidRPr="006C3F5C">
        <w:rPr>
          <w:sz w:val="32"/>
          <w:szCs w:val="32"/>
          <w:lang w:val="es-PR"/>
        </w:rPr>
        <w:t>mifepristona</w:t>
      </w:r>
      <w:proofErr w:type="spellEnd"/>
      <w:r w:rsidRPr="006C3F5C">
        <w:rPr>
          <w:sz w:val="32"/>
          <w:szCs w:val="32"/>
          <w:lang w:val="es-PR"/>
        </w:rPr>
        <w:t xml:space="preserve"> se podía usar de manera segura sin ser prescrita y dispensada en persona.</w:t>
      </w:r>
    </w:p>
    <w:p w:rsidR="006C3F5C" w:rsidRPr="006C3F5C" w:rsidRDefault="006C3F5C" w:rsidP="006C3F5C">
      <w:pPr>
        <w:pStyle w:val="NoSpacing"/>
        <w:rPr>
          <w:sz w:val="32"/>
          <w:szCs w:val="32"/>
          <w:lang w:val="es-PR"/>
        </w:rPr>
      </w:pPr>
    </w:p>
    <w:p w:rsidR="006C3F5C" w:rsidRPr="006C3F5C" w:rsidRDefault="006C3F5C" w:rsidP="006C3F5C">
      <w:pPr>
        <w:pStyle w:val="NoSpacing"/>
        <w:rPr>
          <w:sz w:val="32"/>
          <w:szCs w:val="32"/>
          <w:lang w:val="es-PR"/>
        </w:rPr>
      </w:pPr>
      <w:r w:rsidRPr="006C3F5C">
        <w:rPr>
          <w:sz w:val="32"/>
          <w:szCs w:val="32"/>
          <w:lang w:val="es-PR"/>
        </w:rPr>
        <w:t>El 21 de abril, la Corte Suprema de los EE. UU. emitió una orden que suspendió la orden de la corte de distrito y devolvió el asunto al Quinto Circuito.</w:t>
      </w:r>
    </w:p>
    <w:p w:rsidR="006C3F5C" w:rsidRPr="006C3F5C" w:rsidRDefault="006C3F5C" w:rsidP="006C3F5C">
      <w:pPr>
        <w:pStyle w:val="NoSpacing"/>
        <w:rPr>
          <w:sz w:val="32"/>
          <w:szCs w:val="32"/>
          <w:lang w:val="es-PR"/>
        </w:rPr>
      </w:pPr>
    </w:p>
    <w:p w:rsidR="006C3F5C" w:rsidRPr="006C3F5C" w:rsidRDefault="006C3F5C" w:rsidP="006C3F5C">
      <w:pPr>
        <w:pStyle w:val="NoSpacing"/>
        <w:rPr>
          <w:sz w:val="32"/>
          <w:szCs w:val="32"/>
          <w:lang w:val="es-PR"/>
        </w:rPr>
      </w:pPr>
      <w:r w:rsidRPr="006C3F5C">
        <w:rPr>
          <w:sz w:val="32"/>
          <w:szCs w:val="32"/>
          <w:lang w:val="es-PR"/>
        </w:rPr>
        <w:t xml:space="preserve">El juez </w:t>
      </w:r>
      <w:proofErr w:type="spellStart"/>
      <w:r w:rsidRPr="006C3F5C">
        <w:rPr>
          <w:sz w:val="32"/>
          <w:szCs w:val="32"/>
          <w:lang w:val="es-PR"/>
        </w:rPr>
        <w:t>Alito</w:t>
      </w:r>
      <w:proofErr w:type="spellEnd"/>
      <w:r w:rsidRPr="006C3F5C">
        <w:rPr>
          <w:sz w:val="32"/>
          <w:szCs w:val="32"/>
          <w:lang w:val="es-PR"/>
        </w:rPr>
        <w:t xml:space="preserve"> disintió de la orden de la Corte y escribió sobre el fallo original del panel de tres jueces del Quinto Circuito: “Simplemente restauraría las circunstancias que existieron (y que el Gobierno </w:t>
      </w:r>
      <w:r w:rsidRPr="006C3F5C">
        <w:rPr>
          <w:sz w:val="32"/>
          <w:szCs w:val="32"/>
          <w:lang w:val="es-PR"/>
        </w:rPr>
        <w:lastRenderedPageBreak/>
        <w:t>defendió) desde 2000 hasta 2016 bajo tres administraciones presidenciales”.</w:t>
      </w:r>
    </w:p>
    <w:p w:rsidR="006C3F5C" w:rsidRPr="006C3F5C" w:rsidRDefault="006C3F5C" w:rsidP="006C3F5C">
      <w:pPr>
        <w:pStyle w:val="NoSpacing"/>
        <w:rPr>
          <w:sz w:val="32"/>
          <w:szCs w:val="32"/>
          <w:lang w:val="es-PR"/>
        </w:rPr>
      </w:pPr>
    </w:p>
    <w:p w:rsidR="006C3F5C" w:rsidRPr="006C3F5C" w:rsidRDefault="006C3F5C" w:rsidP="006C3F5C">
      <w:pPr>
        <w:pStyle w:val="NoSpacing"/>
        <w:rPr>
          <w:sz w:val="32"/>
          <w:szCs w:val="32"/>
          <w:lang w:val="es-PR"/>
        </w:rPr>
      </w:pPr>
      <w:r w:rsidRPr="006C3F5C">
        <w:rPr>
          <w:sz w:val="32"/>
          <w:szCs w:val="32"/>
          <w:lang w:val="es-PR"/>
        </w:rPr>
        <w:t>Las circunstancias que existieron desde 2000 hasta 2016 fueron una serie de protecciones destinadas a reducir los muchos peligros de los abortos químicos.</w:t>
      </w:r>
    </w:p>
    <w:p w:rsidR="006C3F5C" w:rsidRPr="006C3F5C" w:rsidRDefault="006C3F5C" w:rsidP="006C3F5C">
      <w:pPr>
        <w:pStyle w:val="NoSpacing"/>
        <w:rPr>
          <w:sz w:val="32"/>
          <w:szCs w:val="32"/>
          <w:lang w:val="es-PR"/>
        </w:rPr>
      </w:pPr>
    </w:p>
    <w:p w:rsidR="006C3F5C" w:rsidRPr="006C3F5C" w:rsidRDefault="006C3F5C" w:rsidP="006C3F5C">
      <w:pPr>
        <w:pStyle w:val="NoSpacing"/>
        <w:rPr>
          <w:sz w:val="32"/>
          <w:szCs w:val="32"/>
          <w:lang w:val="es-PR"/>
        </w:rPr>
      </w:pPr>
      <w:r w:rsidRPr="006C3F5C">
        <w:rPr>
          <w:sz w:val="32"/>
          <w:szCs w:val="32"/>
          <w:lang w:val="es-PR"/>
        </w:rPr>
        <w:t xml:space="preserve">En la demanda, Alliance </w:t>
      </w:r>
      <w:proofErr w:type="spellStart"/>
      <w:r w:rsidRPr="006C3F5C">
        <w:rPr>
          <w:sz w:val="32"/>
          <w:szCs w:val="32"/>
          <w:lang w:val="es-PR"/>
        </w:rPr>
        <w:t>for</w:t>
      </w:r>
      <w:proofErr w:type="spellEnd"/>
      <w:r w:rsidRPr="006C3F5C">
        <w:rPr>
          <w:sz w:val="32"/>
          <w:szCs w:val="32"/>
          <w:lang w:val="es-PR"/>
        </w:rPr>
        <w:t xml:space="preserve"> </w:t>
      </w:r>
      <w:proofErr w:type="spellStart"/>
      <w:r w:rsidRPr="006C3F5C">
        <w:rPr>
          <w:sz w:val="32"/>
          <w:szCs w:val="32"/>
          <w:lang w:val="es-PR"/>
        </w:rPr>
        <w:t>Hippocratic</w:t>
      </w:r>
      <w:proofErr w:type="spellEnd"/>
      <w:r w:rsidRPr="006C3F5C">
        <w:rPr>
          <w:sz w:val="32"/>
          <w:szCs w:val="32"/>
          <w:lang w:val="es-PR"/>
        </w:rPr>
        <w:t xml:space="preserve"> Medicine v. U.S. </w:t>
      </w:r>
      <w:proofErr w:type="spellStart"/>
      <w:r w:rsidRPr="006C3F5C">
        <w:rPr>
          <w:sz w:val="32"/>
          <w:szCs w:val="32"/>
          <w:lang w:val="es-PR"/>
        </w:rPr>
        <w:t>Food</w:t>
      </w:r>
      <w:proofErr w:type="spellEnd"/>
      <w:r w:rsidRPr="006C3F5C">
        <w:rPr>
          <w:sz w:val="32"/>
          <w:szCs w:val="32"/>
          <w:lang w:val="es-PR"/>
        </w:rPr>
        <w:t xml:space="preserve"> and </w:t>
      </w:r>
      <w:proofErr w:type="spellStart"/>
      <w:r w:rsidRPr="006C3F5C">
        <w:rPr>
          <w:sz w:val="32"/>
          <w:szCs w:val="32"/>
          <w:lang w:val="es-PR"/>
        </w:rPr>
        <w:t>Drug</w:t>
      </w:r>
      <w:proofErr w:type="spellEnd"/>
      <w:r w:rsidRPr="006C3F5C">
        <w:rPr>
          <w:sz w:val="32"/>
          <w:szCs w:val="32"/>
          <w:lang w:val="es-PR"/>
        </w:rPr>
        <w:t xml:space="preserve"> </w:t>
      </w:r>
      <w:proofErr w:type="spellStart"/>
      <w:r w:rsidRPr="006C3F5C">
        <w:rPr>
          <w:sz w:val="32"/>
          <w:szCs w:val="32"/>
          <w:lang w:val="es-PR"/>
        </w:rPr>
        <w:t>Administration</w:t>
      </w:r>
      <w:proofErr w:type="spellEnd"/>
      <w:r w:rsidRPr="006C3F5C">
        <w:rPr>
          <w:sz w:val="32"/>
          <w:szCs w:val="32"/>
          <w:lang w:val="es-PR"/>
        </w:rPr>
        <w:t xml:space="preserve"> (FDA), los demandantes argumentaron que la FDA aceleró ilegalmente la aprobación de la </w:t>
      </w:r>
      <w:proofErr w:type="spellStart"/>
      <w:r w:rsidRPr="006C3F5C">
        <w:rPr>
          <w:sz w:val="32"/>
          <w:szCs w:val="32"/>
          <w:lang w:val="es-PR"/>
        </w:rPr>
        <w:t>mifepristona</w:t>
      </w:r>
      <w:proofErr w:type="spellEnd"/>
      <w:r w:rsidRPr="006C3F5C">
        <w:rPr>
          <w:sz w:val="32"/>
          <w:szCs w:val="32"/>
          <w:lang w:val="es-PR"/>
        </w:rPr>
        <w:t xml:space="preserve"> a través de un proceso destinado al tratamiento de enfermedades potencialmente mortales.</w:t>
      </w:r>
    </w:p>
    <w:p w:rsidR="006C3F5C" w:rsidRPr="006C3F5C" w:rsidRDefault="006C3F5C" w:rsidP="006C3F5C">
      <w:pPr>
        <w:pStyle w:val="NoSpacing"/>
        <w:rPr>
          <w:sz w:val="32"/>
          <w:szCs w:val="32"/>
          <w:lang w:val="es-PR"/>
        </w:rPr>
      </w:pPr>
    </w:p>
    <w:p w:rsidR="006C3F5C" w:rsidRDefault="006C3F5C" w:rsidP="006C3F5C">
      <w:pPr>
        <w:pStyle w:val="NoSpacing"/>
        <w:rPr>
          <w:sz w:val="32"/>
          <w:szCs w:val="32"/>
          <w:lang w:val="es-PR"/>
        </w:rPr>
      </w:pPr>
      <w:r w:rsidRPr="006C3F5C">
        <w:rPr>
          <w:sz w:val="32"/>
          <w:szCs w:val="32"/>
          <w:lang w:val="es-PR"/>
        </w:rPr>
        <w:t xml:space="preserve">El 13 de abril, un panel diferente de tres jueces del Quinto Circuito eliminó los cambios de 2016, 2021 y 2023 que la FDA había realizado a las medidas de seguridad originales que había aplicado a la </w:t>
      </w:r>
      <w:proofErr w:type="spellStart"/>
      <w:r w:rsidRPr="006C3F5C">
        <w:rPr>
          <w:sz w:val="32"/>
          <w:szCs w:val="32"/>
          <w:lang w:val="es-PR"/>
        </w:rPr>
        <w:t>mifepristona</w:t>
      </w:r>
      <w:proofErr w:type="spellEnd"/>
      <w:r w:rsidRPr="006C3F5C">
        <w:rPr>
          <w:sz w:val="32"/>
          <w:szCs w:val="32"/>
          <w:lang w:val="es-PR"/>
        </w:rPr>
        <w:t>. Ese panel de tres jueces mantuvo el requisito original de que se use solo hasta las 7 semanas de embarazo, el requisito de tres visitas al médico, eliminó la posibilidad de que el medicamento se envíe por correo o lo despachen las farmacias, impidió que las personas que no son médicos lo receten. el fármaco y restableció los requisitos de notificación de eventos adversos no mortales.</w:t>
      </w:r>
    </w:p>
    <w:p w:rsidR="00F153DA" w:rsidRDefault="00F153DA" w:rsidP="006C3F5C">
      <w:pPr>
        <w:pStyle w:val="NoSpacing"/>
        <w:rPr>
          <w:sz w:val="32"/>
          <w:szCs w:val="32"/>
          <w:lang w:val="es-PR"/>
        </w:rPr>
      </w:pPr>
    </w:p>
    <w:p w:rsidR="006C3F5C" w:rsidRPr="006C3F5C" w:rsidRDefault="006C3F5C" w:rsidP="006C3F5C">
      <w:pPr>
        <w:pStyle w:val="NoSpacing"/>
        <w:rPr>
          <w:sz w:val="32"/>
          <w:szCs w:val="32"/>
          <w:lang w:val="es-PR"/>
        </w:rPr>
      </w:pPr>
      <w:r w:rsidRPr="006C3F5C">
        <w:rPr>
          <w:sz w:val="32"/>
          <w:szCs w:val="32"/>
          <w:lang w:val="es-PR"/>
        </w:rPr>
        <w:t xml:space="preserve">La </w:t>
      </w:r>
      <w:proofErr w:type="spellStart"/>
      <w:r w:rsidRPr="006C3F5C">
        <w:rPr>
          <w:sz w:val="32"/>
          <w:szCs w:val="32"/>
          <w:lang w:val="es-PR"/>
        </w:rPr>
        <w:t>mifepristona</w:t>
      </w:r>
      <w:proofErr w:type="spellEnd"/>
      <w:r w:rsidRPr="006C3F5C">
        <w:rPr>
          <w:sz w:val="32"/>
          <w:szCs w:val="32"/>
          <w:lang w:val="es-PR"/>
        </w:rPr>
        <w:t xml:space="preserve"> se usa en combinación con </w:t>
      </w:r>
      <w:proofErr w:type="spellStart"/>
      <w:r w:rsidRPr="006C3F5C">
        <w:rPr>
          <w:sz w:val="32"/>
          <w:szCs w:val="32"/>
          <w:lang w:val="es-PR"/>
        </w:rPr>
        <w:t>misoprostol</w:t>
      </w:r>
      <w:proofErr w:type="spellEnd"/>
      <w:r w:rsidRPr="006C3F5C">
        <w:rPr>
          <w:sz w:val="32"/>
          <w:szCs w:val="32"/>
          <w:lang w:val="es-PR"/>
        </w:rPr>
        <w:t xml:space="preserve">, una prostaglandina, para provocar un aborto. La </w:t>
      </w:r>
      <w:proofErr w:type="spellStart"/>
      <w:r w:rsidRPr="006C3F5C">
        <w:rPr>
          <w:sz w:val="32"/>
          <w:szCs w:val="32"/>
          <w:lang w:val="es-PR"/>
        </w:rPr>
        <w:t>mifepristona</w:t>
      </w:r>
      <w:proofErr w:type="spellEnd"/>
      <w:r w:rsidRPr="006C3F5C">
        <w:rPr>
          <w:sz w:val="32"/>
          <w:szCs w:val="32"/>
          <w:lang w:val="es-PR"/>
        </w:rPr>
        <w:t xml:space="preserve"> bloquea la progesterona, lo que provoca la muerte del feto, mientras que el segundo fármaco, el </w:t>
      </w:r>
      <w:proofErr w:type="spellStart"/>
      <w:r w:rsidRPr="006C3F5C">
        <w:rPr>
          <w:sz w:val="32"/>
          <w:szCs w:val="32"/>
          <w:lang w:val="es-PR"/>
        </w:rPr>
        <w:t>misoprostol</w:t>
      </w:r>
      <w:proofErr w:type="spellEnd"/>
      <w:r w:rsidRPr="006C3F5C">
        <w:rPr>
          <w:sz w:val="32"/>
          <w:szCs w:val="32"/>
          <w:lang w:val="es-PR"/>
        </w:rPr>
        <w:t>, provoca contracciones uterinas poderosas y dolorosas para expulsar al bebé muerto o moribundo.</w:t>
      </w:r>
    </w:p>
    <w:p w:rsidR="006C3F5C" w:rsidRPr="006C3F5C" w:rsidRDefault="006C3F5C" w:rsidP="006C3F5C">
      <w:pPr>
        <w:pStyle w:val="NoSpacing"/>
        <w:rPr>
          <w:sz w:val="32"/>
          <w:szCs w:val="32"/>
          <w:lang w:val="es-PR"/>
        </w:rPr>
      </w:pPr>
    </w:p>
    <w:p w:rsidR="006C3F5C" w:rsidRPr="006C3F5C" w:rsidRDefault="006C3F5C" w:rsidP="006C3F5C">
      <w:pPr>
        <w:pStyle w:val="NoSpacing"/>
        <w:rPr>
          <w:sz w:val="32"/>
          <w:szCs w:val="32"/>
          <w:lang w:val="es-PR"/>
        </w:rPr>
      </w:pPr>
      <w:r w:rsidRPr="006C3F5C">
        <w:rPr>
          <w:sz w:val="32"/>
          <w:szCs w:val="32"/>
          <w:lang w:val="es-PR"/>
        </w:rPr>
        <w:t>La FDA recientemente debilitó los requisitos de la Estrategia de Mitigación y Evaluación de Riesgos (REMS) para el medicamento para permitir que las farmacias lo dispensen e incluso lo envíen por correo.</w:t>
      </w:r>
    </w:p>
    <w:p w:rsidR="006C3F5C" w:rsidRPr="006C3F5C" w:rsidRDefault="006C3F5C" w:rsidP="006C3F5C">
      <w:pPr>
        <w:pStyle w:val="NoSpacing"/>
        <w:rPr>
          <w:sz w:val="32"/>
          <w:szCs w:val="32"/>
          <w:lang w:val="es-PR"/>
        </w:rPr>
      </w:pPr>
    </w:p>
    <w:p w:rsidR="006C3F5C" w:rsidRPr="006C3F5C" w:rsidRDefault="006C3F5C" w:rsidP="006C3F5C">
      <w:pPr>
        <w:pStyle w:val="NoSpacing"/>
        <w:rPr>
          <w:sz w:val="32"/>
          <w:szCs w:val="32"/>
          <w:lang w:val="es-PR"/>
        </w:rPr>
      </w:pPr>
      <w:r w:rsidRPr="006C3F5C">
        <w:rPr>
          <w:sz w:val="32"/>
          <w:szCs w:val="32"/>
          <w:lang w:val="es-PR"/>
        </w:rPr>
        <w:lastRenderedPageBreak/>
        <w:t xml:space="preserve">“Cuando cientos de miles de mujeres toman estas píldoras, incluso un par de puntos porcentuales de mujeres con hemorragias, infecciones o embarazos ectópicos, representa a miles de mujeres que buscan tratamiento desesperadamente, que puede o no estar cerca”, dijo el Dr. Randall. K. </w:t>
      </w:r>
      <w:proofErr w:type="spellStart"/>
      <w:r w:rsidRPr="006C3F5C">
        <w:rPr>
          <w:sz w:val="32"/>
          <w:szCs w:val="32"/>
          <w:lang w:val="es-PR"/>
        </w:rPr>
        <w:t>O'Bannon</w:t>
      </w:r>
      <w:proofErr w:type="spellEnd"/>
      <w:r w:rsidRPr="006C3F5C">
        <w:rPr>
          <w:sz w:val="32"/>
          <w:szCs w:val="32"/>
          <w:lang w:val="es-PR"/>
        </w:rPr>
        <w:t xml:space="preserve">, </w:t>
      </w:r>
      <w:proofErr w:type="spellStart"/>
      <w:r w:rsidRPr="006C3F5C">
        <w:rPr>
          <w:sz w:val="32"/>
          <w:szCs w:val="32"/>
          <w:lang w:val="es-PR"/>
        </w:rPr>
        <w:t>Ph.D</w:t>
      </w:r>
      <w:proofErr w:type="spellEnd"/>
      <w:r w:rsidRPr="006C3F5C">
        <w:rPr>
          <w:sz w:val="32"/>
          <w:szCs w:val="32"/>
          <w:lang w:val="es-PR"/>
        </w:rPr>
        <w:t>., director de Educación e Investigación para el Derecho Nacional a la Vida.</w:t>
      </w:r>
    </w:p>
    <w:p w:rsidR="006C3F5C" w:rsidRPr="006C3F5C" w:rsidRDefault="006C3F5C" w:rsidP="006C3F5C">
      <w:pPr>
        <w:pStyle w:val="NoSpacing"/>
        <w:rPr>
          <w:sz w:val="32"/>
          <w:szCs w:val="32"/>
          <w:lang w:val="es-PR"/>
        </w:rPr>
      </w:pPr>
    </w:p>
    <w:p w:rsidR="006C3F5C" w:rsidRPr="006C3F5C" w:rsidRDefault="006C3F5C" w:rsidP="006C3F5C">
      <w:pPr>
        <w:pStyle w:val="NoSpacing"/>
        <w:rPr>
          <w:sz w:val="32"/>
          <w:szCs w:val="32"/>
          <w:lang w:val="es-PR"/>
        </w:rPr>
      </w:pPr>
      <w:r w:rsidRPr="006C3F5C">
        <w:rPr>
          <w:sz w:val="32"/>
          <w:szCs w:val="32"/>
          <w:lang w:val="es-PR"/>
        </w:rPr>
        <w:t xml:space="preserve">Uno de los mitos comunes sobre la droga es que es "más segura que </w:t>
      </w:r>
      <w:proofErr w:type="spellStart"/>
      <w:r w:rsidRPr="006C3F5C">
        <w:rPr>
          <w:sz w:val="32"/>
          <w:szCs w:val="32"/>
          <w:lang w:val="es-PR"/>
        </w:rPr>
        <w:t>Tylenol</w:t>
      </w:r>
      <w:proofErr w:type="spellEnd"/>
      <w:r w:rsidRPr="006C3F5C">
        <w:rPr>
          <w:sz w:val="32"/>
          <w:szCs w:val="32"/>
          <w:lang w:val="es-PR"/>
        </w:rPr>
        <w:t xml:space="preserve">" (o un argumento similar es que es más segura que </w:t>
      </w:r>
      <w:proofErr w:type="spellStart"/>
      <w:r w:rsidRPr="006C3F5C">
        <w:rPr>
          <w:sz w:val="32"/>
          <w:szCs w:val="32"/>
          <w:lang w:val="es-PR"/>
        </w:rPr>
        <w:t>Advil</w:t>
      </w:r>
      <w:proofErr w:type="spellEnd"/>
      <w:r w:rsidRPr="006C3F5C">
        <w:rPr>
          <w:sz w:val="32"/>
          <w:szCs w:val="32"/>
          <w:lang w:val="es-PR"/>
        </w:rPr>
        <w:t>/</w:t>
      </w:r>
      <w:proofErr w:type="spellStart"/>
      <w:r w:rsidRPr="006C3F5C">
        <w:rPr>
          <w:sz w:val="32"/>
          <w:szCs w:val="32"/>
          <w:lang w:val="es-PR"/>
        </w:rPr>
        <w:t>Ibuprofen</w:t>
      </w:r>
      <w:proofErr w:type="spellEnd"/>
      <w:r w:rsidRPr="006C3F5C">
        <w:rPr>
          <w:sz w:val="32"/>
          <w:szCs w:val="32"/>
          <w:lang w:val="es-PR"/>
        </w:rPr>
        <w:t xml:space="preserve">). El Dr. </w:t>
      </w:r>
      <w:proofErr w:type="spellStart"/>
      <w:r w:rsidRPr="006C3F5C">
        <w:rPr>
          <w:sz w:val="32"/>
          <w:szCs w:val="32"/>
          <w:lang w:val="es-PR"/>
        </w:rPr>
        <w:t>O'Bannon</w:t>
      </w:r>
      <w:proofErr w:type="spellEnd"/>
      <w:r w:rsidRPr="006C3F5C">
        <w:rPr>
          <w:sz w:val="32"/>
          <w:szCs w:val="32"/>
          <w:lang w:val="es-PR"/>
        </w:rPr>
        <w:t xml:space="preserve"> recientemente abordó esto:</w:t>
      </w:r>
    </w:p>
    <w:p w:rsidR="006C3F5C" w:rsidRPr="006C3F5C" w:rsidRDefault="006C3F5C" w:rsidP="006C3F5C">
      <w:pPr>
        <w:pStyle w:val="NoSpacing"/>
        <w:rPr>
          <w:sz w:val="32"/>
          <w:szCs w:val="32"/>
          <w:lang w:val="es-PR"/>
        </w:rPr>
      </w:pPr>
    </w:p>
    <w:p w:rsidR="006C3F5C" w:rsidRDefault="006C3F5C" w:rsidP="006C3F5C">
      <w:pPr>
        <w:pStyle w:val="NoSpacing"/>
        <w:rPr>
          <w:sz w:val="32"/>
          <w:szCs w:val="32"/>
          <w:lang w:val="es-PR"/>
        </w:rPr>
      </w:pPr>
      <w:r w:rsidRPr="006C3F5C">
        <w:rPr>
          <w:sz w:val="32"/>
          <w:szCs w:val="32"/>
          <w:lang w:val="es-PR"/>
        </w:rPr>
        <w:t>Lo que tienes aquí es un juego de manos estadístico</w:t>
      </w:r>
      <w:r w:rsidR="00F153DA">
        <w:rPr>
          <w:sz w:val="32"/>
          <w:szCs w:val="32"/>
          <w:lang w:val="es-PR"/>
        </w:rPr>
        <w:t>s</w:t>
      </w:r>
      <w:r w:rsidRPr="006C3F5C">
        <w:rPr>
          <w:sz w:val="32"/>
          <w:szCs w:val="32"/>
          <w:lang w:val="es-PR"/>
        </w:rPr>
        <w:t xml:space="preserve"> no tan inteligente, donde los defensores intentan que compares la cantidad de muertes de un producto que se usa relativamente poco con uno que las personas usan miles de millones de veces cada año.</w:t>
      </w:r>
    </w:p>
    <w:p w:rsidR="006C3F5C" w:rsidRPr="006C3F5C" w:rsidRDefault="006C3F5C" w:rsidP="006C3F5C">
      <w:pPr>
        <w:pStyle w:val="NoSpacing"/>
        <w:rPr>
          <w:sz w:val="32"/>
          <w:szCs w:val="32"/>
          <w:lang w:val="es-PR"/>
        </w:rPr>
      </w:pPr>
    </w:p>
    <w:p w:rsidR="006C3F5C" w:rsidRPr="006C3F5C" w:rsidRDefault="00F153DA" w:rsidP="006C3F5C">
      <w:pPr>
        <w:pStyle w:val="NoSpacing"/>
        <w:rPr>
          <w:sz w:val="32"/>
          <w:szCs w:val="32"/>
          <w:lang w:val="es-PR"/>
        </w:rPr>
      </w:pPr>
      <w:r w:rsidRPr="00F153DA">
        <w:rPr>
          <w:sz w:val="32"/>
          <w:szCs w:val="32"/>
          <w:lang w:val="es-PR"/>
        </w:rPr>
        <w:t xml:space="preserve">Se nos dice que alrededor de 150 estadounidenses mueren por el uso de </w:t>
      </w:r>
      <w:proofErr w:type="spellStart"/>
      <w:r w:rsidRPr="00F153DA">
        <w:rPr>
          <w:sz w:val="32"/>
          <w:szCs w:val="32"/>
          <w:lang w:val="es-PR"/>
        </w:rPr>
        <w:t>Tylenol</w:t>
      </w:r>
      <w:proofErr w:type="spellEnd"/>
      <w:r w:rsidRPr="00F153DA">
        <w:rPr>
          <w:sz w:val="32"/>
          <w:szCs w:val="32"/>
          <w:lang w:val="es-PR"/>
        </w:rPr>
        <w:t xml:space="preserve"> cada año, generalmente por sobredosis o simplemente por tomar demasiado durante un período prolongado de tiempo. Al mismo tiempo, la FDA nos dice que ha habido 28 muertes, que sepamos, entre pacientes estadounidenses con </w:t>
      </w:r>
      <w:proofErr w:type="spellStart"/>
      <w:r w:rsidRPr="00F153DA">
        <w:rPr>
          <w:sz w:val="32"/>
          <w:szCs w:val="32"/>
          <w:lang w:val="es-PR"/>
        </w:rPr>
        <w:t>mifepristona</w:t>
      </w:r>
      <w:proofErr w:type="spellEnd"/>
      <w:r w:rsidRPr="00F153DA">
        <w:rPr>
          <w:sz w:val="32"/>
          <w:szCs w:val="32"/>
          <w:lang w:val="es-PR"/>
        </w:rPr>
        <w:t xml:space="preserve"> desde que se aprobó el medicamento en 2000.</w:t>
      </w:r>
      <w:r>
        <w:rPr>
          <w:sz w:val="32"/>
          <w:szCs w:val="32"/>
          <w:lang w:val="es-PR"/>
        </w:rPr>
        <w:t xml:space="preserve"> </w:t>
      </w:r>
      <w:r w:rsidR="006C3F5C" w:rsidRPr="006C3F5C">
        <w:rPr>
          <w:sz w:val="32"/>
          <w:szCs w:val="32"/>
          <w:lang w:val="es-PR"/>
        </w:rPr>
        <w:t xml:space="preserve">Entonces, ¿28 muertes por </w:t>
      </w:r>
      <w:proofErr w:type="spellStart"/>
      <w:r w:rsidR="006C3F5C" w:rsidRPr="006C3F5C">
        <w:rPr>
          <w:sz w:val="32"/>
          <w:szCs w:val="32"/>
          <w:lang w:val="es-PR"/>
        </w:rPr>
        <w:t>mifepristona</w:t>
      </w:r>
      <w:proofErr w:type="spellEnd"/>
      <w:r w:rsidR="006C3F5C" w:rsidRPr="006C3F5C">
        <w:rPr>
          <w:sz w:val="32"/>
          <w:szCs w:val="32"/>
          <w:lang w:val="es-PR"/>
        </w:rPr>
        <w:t xml:space="preserve"> en veinte años contra 150 muertes por </w:t>
      </w:r>
      <w:proofErr w:type="spellStart"/>
      <w:r w:rsidR="006C3F5C" w:rsidRPr="006C3F5C">
        <w:rPr>
          <w:sz w:val="32"/>
          <w:szCs w:val="32"/>
          <w:lang w:val="es-PR"/>
        </w:rPr>
        <w:t>Tylenol</w:t>
      </w:r>
      <w:proofErr w:type="spellEnd"/>
      <w:r w:rsidR="006C3F5C" w:rsidRPr="006C3F5C">
        <w:rPr>
          <w:sz w:val="32"/>
          <w:szCs w:val="32"/>
          <w:lang w:val="es-PR"/>
        </w:rPr>
        <w:t xml:space="preserve"> en solo un año? Parece que la </w:t>
      </w:r>
      <w:proofErr w:type="spellStart"/>
      <w:r w:rsidR="006C3F5C" w:rsidRPr="006C3F5C">
        <w:rPr>
          <w:sz w:val="32"/>
          <w:szCs w:val="32"/>
          <w:lang w:val="es-PR"/>
        </w:rPr>
        <w:t>mifepristona</w:t>
      </w:r>
      <w:proofErr w:type="spellEnd"/>
      <w:r w:rsidR="006C3F5C" w:rsidRPr="006C3F5C">
        <w:rPr>
          <w:sz w:val="32"/>
          <w:szCs w:val="32"/>
          <w:lang w:val="es-PR"/>
        </w:rPr>
        <w:t xml:space="preserve"> es más segura.</w:t>
      </w:r>
    </w:p>
    <w:p w:rsidR="006C3F5C" w:rsidRPr="006C3F5C" w:rsidRDefault="006C3F5C" w:rsidP="006C3F5C">
      <w:pPr>
        <w:pStyle w:val="NoSpacing"/>
        <w:rPr>
          <w:sz w:val="32"/>
          <w:szCs w:val="32"/>
          <w:lang w:val="es-PR"/>
        </w:rPr>
      </w:pPr>
    </w:p>
    <w:p w:rsidR="006C3F5C" w:rsidRPr="006C3F5C" w:rsidRDefault="006C3F5C" w:rsidP="006C3F5C">
      <w:pPr>
        <w:pStyle w:val="NoSpacing"/>
        <w:rPr>
          <w:sz w:val="32"/>
          <w:szCs w:val="32"/>
          <w:lang w:val="es-PR"/>
        </w:rPr>
      </w:pPr>
      <w:r w:rsidRPr="006C3F5C">
        <w:rPr>
          <w:sz w:val="32"/>
          <w:szCs w:val="32"/>
          <w:lang w:val="es-PR"/>
        </w:rPr>
        <w:t xml:space="preserve">Pero espera. Eso es 150 muertes por </w:t>
      </w:r>
      <w:proofErr w:type="spellStart"/>
      <w:r w:rsidRPr="006C3F5C">
        <w:rPr>
          <w:sz w:val="32"/>
          <w:szCs w:val="32"/>
          <w:lang w:val="es-PR"/>
        </w:rPr>
        <w:t>Tylenol</w:t>
      </w:r>
      <w:proofErr w:type="spellEnd"/>
      <w:r w:rsidRPr="006C3F5C">
        <w:rPr>
          <w:sz w:val="32"/>
          <w:szCs w:val="32"/>
          <w:lang w:val="es-PR"/>
        </w:rPr>
        <w:t xml:space="preserve"> en un contexto de 25 mil millones de dosis de </w:t>
      </w:r>
      <w:proofErr w:type="spellStart"/>
      <w:r w:rsidRPr="006C3F5C">
        <w:rPr>
          <w:sz w:val="32"/>
          <w:szCs w:val="32"/>
          <w:lang w:val="es-PR"/>
        </w:rPr>
        <w:t>Tylenol</w:t>
      </w:r>
      <w:proofErr w:type="spellEnd"/>
      <w:r w:rsidRPr="006C3F5C">
        <w:rPr>
          <w:sz w:val="32"/>
          <w:szCs w:val="32"/>
          <w:lang w:val="es-PR"/>
        </w:rPr>
        <w:t xml:space="preserve"> en un año. Se nos dice que ha habido solo 5.6 millones de abortos químicos totales con </w:t>
      </w:r>
      <w:proofErr w:type="spellStart"/>
      <w:r w:rsidRPr="006C3F5C">
        <w:rPr>
          <w:sz w:val="32"/>
          <w:szCs w:val="32"/>
          <w:lang w:val="es-PR"/>
        </w:rPr>
        <w:t>mifepristona</w:t>
      </w:r>
      <w:proofErr w:type="spellEnd"/>
      <w:r w:rsidRPr="006C3F5C">
        <w:rPr>
          <w:sz w:val="32"/>
          <w:szCs w:val="32"/>
          <w:lang w:val="es-PR"/>
        </w:rPr>
        <w:t xml:space="preserve"> en los EE. UU. desde esa aprobación en 2000, menos de una milésima parte de las ventas de </w:t>
      </w:r>
      <w:proofErr w:type="spellStart"/>
      <w:r w:rsidRPr="006C3F5C">
        <w:rPr>
          <w:sz w:val="32"/>
          <w:szCs w:val="32"/>
          <w:lang w:val="es-PR"/>
        </w:rPr>
        <w:t>Tylenol</w:t>
      </w:r>
      <w:proofErr w:type="spellEnd"/>
      <w:r w:rsidRPr="006C3F5C">
        <w:rPr>
          <w:sz w:val="32"/>
          <w:szCs w:val="32"/>
          <w:lang w:val="es-PR"/>
        </w:rPr>
        <w:t xml:space="preserve"> en un solo año.</w:t>
      </w:r>
    </w:p>
    <w:p w:rsidR="006C3F5C" w:rsidRPr="006C3F5C" w:rsidRDefault="006C3F5C" w:rsidP="006C3F5C">
      <w:pPr>
        <w:pStyle w:val="NoSpacing"/>
        <w:rPr>
          <w:sz w:val="32"/>
          <w:szCs w:val="32"/>
          <w:lang w:val="es-PR"/>
        </w:rPr>
      </w:pPr>
    </w:p>
    <w:p w:rsidR="006C3F5C" w:rsidRPr="006C3F5C" w:rsidRDefault="006C3F5C" w:rsidP="006C3F5C">
      <w:pPr>
        <w:pStyle w:val="NoSpacing"/>
        <w:rPr>
          <w:sz w:val="32"/>
          <w:szCs w:val="32"/>
          <w:lang w:val="es-PR"/>
        </w:rPr>
      </w:pPr>
      <w:r w:rsidRPr="006C3F5C">
        <w:rPr>
          <w:sz w:val="32"/>
          <w:szCs w:val="32"/>
          <w:lang w:val="es-PR"/>
        </w:rPr>
        <w:t>Tenga en cuenta lo que esto le hace a su factor de riesgo.</w:t>
      </w:r>
    </w:p>
    <w:p w:rsidR="006C3F5C" w:rsidRPr="006C3F5C" w:rsidRDefault="006C3F5C" w:rsidP="006C3F5C">
      <w:pPr>
        <w:pStyle w:val="NoSpacing"/>
        <w:rPr>
          <w:sz w:val="32"/>
          <w:szCs w:val="32"/>
          <w:lang w:val="es-PR"/>
        </w:rPr>
      </w:pPr>
    </w:p>
    <w:p w:rsidR="006C3F5C" w:rsidRPr="006C3F5C" w:rsidRDefault="006C3F5C" w:rsidP="006C3F5C">
      <w:pPr>
        <w:pStyle w:val="NoSpacing"/>
        <w:rPr>
          <w:sz w:val="32"/>
          <w:szCs w:val="32"/>
          <w:lang w:val="es-PR"/>
        </w:rPr>
      </w:pPr>
      <w:r w:rsidRPr="006C3F5C">
        <w:rPr>
          <w:sz w:val="32"/>
          <w:szCs w:val="32"/>
          <w:lang w:val="es-PR"/>
        </w:rPr>
        <w:lastRenderedPageBreak/>
        <w:t xml:space="preserve">Usando las cifras mínimas proporcionadas por la FDA, su riesgo de morir por tomar </w:t>
      </w:r>
      <w:proofErr w:type="spellStart"/>
      <w:r w:rsidRPr="006C3F5C">
        <w:rPr>
          <w:sz w:val="32"/>
          <w:szCs w:val="32"/>
          <w:lang w:val="es-PR"/>
        </w:rPr>
        <w:t>mifepristona</w:t>
      </w:r>
      <w:proofErr w:type="spellEnd"/>
      <w:r w:rsidRPr="006C3F5C">
        <w:rPr>
          <w:sz w:val="32"/>
          <w:szCs w:val="32"/>
          <w:lang w:val="es-PR"/>
        </w:rPr>
        <w:t xml:space="preserve"> es de aproximadamente 1 en 200,000. No es grande, pero no despreciable. Y recuerde que su riesgo de que una complicación lo lleve a la sala de emergencias es más cercano a uno en 10.</w:t>
      </w:r>
    </w:p>
    <w:p w:rsidR="006C3F5C" w:rsidRPr="006C3F5C" w:rsidRDefault="006C3F5C" w:rsidP="006C3F5C">
      <w:pPr>
        <w:pStyle w:val="NoSpacing"/>
        <w:rPr>
          <w:sz w:val="32"/>
          <w:szCs w:val="32"/>
          <w:lang w:val="es-PR"/>
        </w:rPr>
      </w:pPr>
    </w:p>
    <w:p w:rsidR="006C3F5C" w:rsidRPr="006C3F5C" w:rsidRDefault="006C3F5C" w:rsidP="006C3F5C">
      <w:pPr>
        <w:pStyle w:val="NoSpacing"/>
        <w:rPr>
          <w:sz w:val="32"/>
          <w:szCs w:val="32"/>
          <w:lang w:val="es-PR"/>
        </w:rPr>
      </w:pPr>
      <w:r w:rsidRPr="006C3F5C">
        <w:rPr>
          <w:sz w:val="32"/>
          <w:szCs w:val="32"/>
          <w:lang w:val="es-PR"/>
        </w:rPr>
        <w:t xml:space="preserve">Pero su riesgo de muerte por </w:t>
      </w:r>
      <w:proofErr w:type="spellStart"/>
      <w:r w:rsidRPr="006C3F5C">
        <w:rPr>
          <w:sz w:val="32"/>
          <w:szCs w:val="32"/>
          <w:lang w:val="es-PR"/>
        </w:rPr>
        <w:t>Tylenol</w:t>
      </w:r>
      <w:proofErr w:type="spellEnd"/>
      <w:r w:rsidRPr="006C3F5C">
        <w:rPr>
          <w:sz w:val="32"/>
          <w:szCs w:val="32"/>
          <w:lang w:val="es-PR"/>
        </w:rPr>
        <w:t xml:space="preserve"> es en realidad algo así como una probabilidad en 166,7 millones, incluso aquellos que toman una sobredosis y no siguen las instrucciones del fabricante.</w:t>
      </w:r>
    </w:p>
    <w:p w:rsidR="006C3F5C" w:rsidRPr="006C3F5C" w:rsidRDefault="006C3F5C" w:rsidP="006C3F5C">
      <w:pPr>
        <w:pStyle w:val="NoSpacing"/>
        <w:rPr>
          <w:sz w:val="32"/>
          <w:szCs w:val="32"/>
          <w:lang w:val="es-PR"/>
        </w:rPr>
      </w:pPr>
    </w:p>
    <w:p w:rsidR="006C3F5C" w:rsidRPr="006C3F5C" w:rsidRDefault="006C3F5C" w:rsidP="006C3F5C">
      <w:pPr>
        <w:pStyle w:val="NoSpacing"/>
        <w:rPr>
          <w:sz w:val="32"/>
          <w:szCs w:val="32"/>
          <w:lang w:val="es-PR"/>
        </w:rPr>
      </w:pPr>
      <w:r w:rsidRPr="006C3F5C">
        <w:rPr>
          <w:sz w:val="32"/>
          <w:szCs w:val="32"/>
          <w:lang w:val="es-PR"/>
        </w:rPr>
        <w:t xml:space="preserve">Esto significa que su riesgo de morir a causa de la </w:t>
      </w:r>
      <w:proofErr w:type="spellStart"/>
      <w:r w:rsidRPr="006C3F5C">
        <w:rPr>
          <w:sz w:val="32"/>
          <w:szCs w:val="32"/>
          <w:lang w:val="es-PR"/>
        </w:rPr>
        <w:t>mifepristona</w:t>
      </w:r>
      <w:proofErr w:type="spellEnd"/>
      <w:r w:rsidRPr="006C3F5C">
        <w:rPr>
          <w:sz w:val="32"/>
          <w:szCs w:val="32"/>
          <w:lang w:val="es-PR"/>
        </w:rPr>
        <w:t xml:space="preserve"> es aproximadamente 833 veces mayor que el ries</w:t>
      </w:r>
      <w:r w:rsidR="00F153DA">
        <w:rPr>
          <w:sz w:val="32"/>
          <w:szCs w:val="32"/>
          <w:lang w:val="es-PR"/>
        </w:rPr>
        <w:t xml:space="preserve">go de morir a causa de </w:t>
      </w:r>
      <w:proofErr w:type="spellStart"/>
      <w:r w:rsidR="00F153DA">
        <w:rPr>
          <w:sz w:val="32"/>
          <w:szCs w:val="32"/>
          <w:lang w:val="es-PR"/>
        </w:rPr>
        <w:t>Tylenol</w:t>
      </w:r>
      <w:proofErr w:type="spellEnd"/>
      <w:r w:rsidR="00F153DA">
        <w:rPr>
          <w:sz w:val="32"/>
          <w:szCs w:val="32"/>
          <w:lang w:val="es-PR"/>
        </w:rPr>
        <w:t xml:space="preserve">. </w:t>
      </w:r>
      <w:r w:rsidRPr="006C3F5C">
        <w:rPr>
          <w:sz w:val="32"/>
          <w:szCs w:val="32"/>
          <w:lang w:val="es-PR"/>
        </w:rPr>
        <w:t xml:space="preserve">Se abordan mitos adicionales en un libro blanco El derecho nacional a la vida publicado el 5 de abril. Se puede acceder a abordar muchos de los mitos que los medios repiten sobre la aprobación y el manejo de </w:t>
      </w:r>
      <w:proofErr w:type="spellStart"/>
      <w:r w:rsidRPr="006C3F5C">
        <w:rPr>
          <w:sz w:val="32"/>
          <w:szCs w:val="32"/>
          <w:lang w:val="es-PR"/>
        </w:rPr>
        <w:t>mifeprex</w:t>
      </w:r>
      <w:proofErr w:type="spellEnd"/>
      <w:r w:rsidRPr="006C3F5C">
        <w:rPr>
          <w:sz w:val="32"/>
          <w:szCs w:val="32"/>
          <w:lang w:val="es-PR"/>
        </w:rPr>
        <w:t xml:space="preserve"> (</w:t>
      </w:r>
      <w:proofErr w:type="spellStart"/>
      <w:r w:rsidRPr="006C3F5C">
        <w:rPr>
          <w:sz w:val="32"/>
          <w:szCs w:val="32"/>
          <w:lang w:val="es-PR"/>
        </w:rPr>
        <w:t>mifepristona</w:t>
      </w:r>
      <w:proofErr w:type="spellEnd"/>
      <w:r w:rsidRPr="006C3F5C">
        <w:rPr>
          <w:sz w:val="32"/>
          <w:szCs w:val="32"/>
          <w:lang w:val="es-PR"/>
        </w:rPr>
        <w:t>) por parte de la FDA aquí.</w:t>
      </w:r>
    </w:p>
    <w:p w:rsidR="006C3F5C" w:rsidRPr="006C3F5C" w:rsidRDefault="006C3F5C" w:rsidP="006C3F5C">
      <w:pPr>
        <w:pStyle w:val="NoSpacing"/>
        <w:rPr>
          <w:sz w:val="32"/>
          <w:szCs w:val="32"/>
          <w:lang w:val="es-PR"/>
        </w:rPr>
      </w:pPr>
    </w:p>
    <w:p w:rsidR="00615425" w:rsidRPr="00615425" w:rsidRDefault="00615425" w:rsidP="00615425">
      <w:pPr>
        <w:pStyle w:val="NoSpacing"/>
        <w:rPr>
          <w:sz w:val="32"/>
          <w:szCs w:val="32"/>
          <w:lang w:val="es-PR"/>
        </w:rPr>
      </w:pPr>
      <w:r w:rsidRPr="00615425">
        <w:rPr>
          <w:sz w:val="32"/>
          <w:szCs w:val="32"/>
          <w:lang w:val="es-PR"/>
        </w:rPr>
        <w:t xml:space="preserve">¿Quién es el dueño de la </w:t>
      </w:r>
      <w:proofErr w:type="spellStart"/>
      <w:r w:rsidRPr="00615425">
        <w:rPr>
          <w:sz w:val="32"/>
          <w:szCs w:val="32"/>
          <w:lang w:val="es-PR"/>
        </w:rPr>
        <w:t>mifepristona</w:t>
      </w:r>
      <w:proofErr w:type="spellEnd"/>
      <w:r w:rsidRPr="00615425">
        <w:rPr>
          <w:sz w:val="32"/>
          <w:szCs w:val="32"/>
          <w:lang w:val="es-PR"/>
        </w:rPr>
        <w:t>?</w:t>
      </w:r>
    </w:p>
    <w:p w:rsidR="006C3F5C" w:rsidRDefault="00615425" w:rsidP="00615425">
      <w:pPr>
        <w:pStyle w:val="NoSpacing"/>
        <w:rPr>
          <w:sz w:val="32"/>
          <w:szCs w:val="32"/>
          <w:lang w:val="es-PR"/>
        </w:rPr>
      </w:pPr>
      <w:r w:rsidRPr="00615425">
        <w:rPr>
          <w:sz w:val="32"/>
          <w:szCs w:val="32"/>
          <w:lang w:val="es-PR"/>
        </w:rPr>
        <w:t xml:space="preserve">El 16 de mayo de 1994, </w:t>
      </w:r>
      <w:proofErr w:type="spellStart"/>
      <w:r w:rsidRPr="00615425">
        <w:rPr>
          <w:sz w:val="32"/>
          <w:szCs w:val="32"/>
          <w:lang w:val="es-PR"/>
        </w:rPr>
        <w:t>Roussel-Uclaf</w:t>
      </w:r>
      <w:proofErr w:type="spellEnd"/>
      <w:r w:rsidRPr="00615425">
        <w:rPr>
          <w:sz w:val="32"/>
          <w:szCs w:val="32"/>
          <w:lang w:val="es-PR"/>
        </w:rPr>
        <w:t xml:space="preserve"> anunció que donaría sin remuneración todos los derechos para los usos médicos de la </w:t>
      </w:r>
      <w:proofErr w:type="spellStart"/>
      <w:r w:rsidRPr="00615425">
        <w:rPr>
          <w:sz w:val="32"/>
          <w:szCs w:val="32"/>
          <w:lang w:val="es-PR"/>
        </w:rPr>
        <w:t>mifepristona</w:t>
      </w:r>
      <w:proofErr w:type="spellEnd"/>
      <w:r w:rsidRPr="00615425">
        <w:rPr>
          <w:sz w:val="32"/>
          <w:szCs w:val="32"/>
          <w:lang w:val="es-PR"/>
        </w:rPr>
        <w:t xml:space="preserve"> en los Estados Unidos al Consejo de Población, que posteriormente autorizó la </w:t>
      </w:r>
      <w:proofErr w:type="spellStart"/>
      <w:r w:rsidRPr="00615425">
        <w:rPr>
          <w:sz w:val="32"/>
          <w:szCs w:val="32"/>
          <w:lang w:val="es-PR"/>
        </w:rPr>
        <w:t>mifepristona</w:t>
      </w:r>
      <w:proofErr w:type="spellEnd"/>
      <w:r w:rsidRPr="00615425">
        <w:rPr>
          <w:sz w:val="32"/>
          <w:szCs w:val="32"/>
          <w:lang w:val="es-PR"/>
        </w:rPr>
        <w:t xml:space="preserve"> a </w:t>
      </w:r>
      <w:proofErr w:type="spellStart"/>
      <w:r w:rsidRPr="00615425">
        <w:rPr>
          <w:sz w:val="32"/>
          <w:szCs w:val="32"/>
          <w:lang w:val="es-PR"/>
        </w:rPr>
        <w:t>Danco</w:t>
      </w:r>
      <w:proofErr w:type="spellEnd"/>
      <w:r w:rsidRPr="00615425">
        <w:rPr>
          <w:sz w:val="32"/>
          <w:szCs w:val="32"/>
          <w:lang w:val="es-PR"/>
        </w:rPr>
        <w:t xml:space="preserve"> </w:t>
      </w:r>
      <w:proofErr w:type="spellStart"/>
      <w:r w:rsidRPr="00615425">
        <w:rPr>
          <w:sz w:val="32"/>
          <w:szCs w:val="32"/>
          <w:lang w:val="es-PR"/>
        </w:rPr>
        <w:t>Laboratories</w:t>
      </w:r>
      <w:proofErr w:type="spellEnd"/>
      <w:r w:rsidRPr="00615425">
        <w:rPr>
          <w:sz w:val="32"/>
          <w:szCs w:val="32"/>
          <w:lang w:val="es-PR"/>
        </w:rPr>
        <w:t>, una nueva empresa de un solo producto inmune a los boicots antiaborto, que recibió la aprobación...</w:t>
      </w:r>
    </w:p>
    <w:p w:rsidR="00615425" w:rsidRDefault="00615425" w:rsidP="00615425">
      <w:pPr>
        <w:pStyle w:val="NoSpacing"/>
        <w:rPr>
          <w:sz w:val="32"/>
          <w:szCs w:val="32"/>
          <w:lang w:val="es-PR"/>
        </w:rPr>
      </w:pPr>
    </w:p>
    <w:p w:rsidR="00615425" w:rsidRPr="00615425" w:rsidRDefault="00615425" w:rsidP="00615425">
      <w:pPr>
        <w:pStyle w:val="NoSpacing"/>
        <w:rPr>
          <w:sz w:val="32"/>
          <w:szCs w:val="32"/>
          <w:lang w:val="es-PR"/>
        </w:rPr>
      </w:pPr>
      <w:r w:rsidRPr="00615425">
        <w:rPr>
          <w:sz w:val="32"/>
          <w:szCs w:val="32"/>
          <w:lang w:val="es-PR"/>
        </w:rPr>
        <w:t>Este complicado recurso de derecho administrativo se refiere a la regulación de</w:t>
      </w:r>
      <w:r w:rsidR="00195387">
        <w:rPr>
          <w:sz w:val="32"/>
          <w:szCs w:val="32"/>
          <w:lang w:val="es-PR"/>
        </w:rPr>
        <w:t xml:space="preserve"> </w:t>
      </w:r>
      <w:proofErr w:type="spellStart"/>
      <w:r w:rsidRPr="00615425">
        <w:rPr>
          <w:sz w:val="32"/>
          <w:szCs w:val="32"/>
          <w:lang w:val="es-PR"/>
        </w:rPr>
        <w:t>mifepristona</w:t>
      </w:r>
      <w:proofErr w:type="spellEnd"/>
      <w:r w:rsidRPr="00615425">
        <w:rPr>
          <w:sz w:val="32"/>
          <w:szCs w:val="32"/>
          <w:lang w:val="es-PR"/>
        </w:rPr>
        <w:t>, un fármaco utilizado para provocar el aborto. Alimentos y</w:t>
      </w:r>
      <w:r w:rsidR="00C95C66">
        <w:rPr>
          <w:sz w:val="32"/>
          <w:szCs w:val="32"/>
          <w:lang w:val="es-PR"/>
        </w:rPr>
        <w:t xml:space="preserve"> </w:t>
      </w:r>
      <w:r w:rsidRPr="00615425">
        <w:rPr>
          <w:sz w:val="32"/>
          <w:szCs w:val="32"/>
          <w:lang w:val="es-PR"/>
        </w:rPr>
        <w:t xml:space="preserve">La Administración de Medicamentos aprobó la </w:t>
      </w:r>
      <w:proofErr w:type="spellStart"/>
      <w:r w:rsidRPr="00615425">
        <w:rPr>
          <w:sz w:val="32"/>
          <w:szCs w:val="32"/>
          <w:lang w:val="es-PR"/>
        </w:rPr>
        <w:t>mifepristona</w:t>
      </w:r>
      <w:proofErr w:type="spellEnd"/>
      <w:r w:rsidRPr="00615425">
        <w:rPr>
          <w:sz w:val="32"/>
          <w:szCs w:val="32"/>
          <w:lang w:val="es-PR"/>
        </w:rPr>
        <w:t xml:space="preserve"> para su uso en 2000 bajo la marca</w:t>
      </w:r>
      <w:r w:rsidR="00195387">
        <w:rPr>
          <w:sz w:val="32"/>
          <w:szCs w:val="32"/>
          <w:lang w:val="es-PR"/>
        </w:rPr>
        <w:t xml:space="preserve"> </w:t>
      </w:r>
      <w:r w:rsidRPr="00615425">
        <w:rPr>
          <w:sz w:val="32"/>
          <w:szCs w:val="32"/>
          <w:lang w:val="es-PR"/>
        </w:rPr>
        <w:t xml:space="preserve">nombre </w:t>
      </w:r>
      <w:proofErr w:type="spellStart"/>
      <w:r w:rsidRPr="00615425">
        <w:rPr>
          <w:sz w:val="32"/>
          <w:szCs w:val="32"/>
          <w:lang w:val="es-PR"/>
        </w:rPr>
        <w:t>Mifeprex</w:t>
      </w:r>
      <w:proofErr w:type="spellEnd"/>
      <w:r w:rsidRPr="00615425">
        <w:rPr>
          <w:sz w:val="32"/>
          <w:szCs w:val="32"/>
          <w:lang w:val="es-PR"/>
        </w:rPr>
        <w:t>. Al mismo tiempo, la FDA impuso una serie de condiciones diseñadas para evitar que el medicamento cause efectos secundarios médicos graves. FDA</w:t>
      </w:r>
    </w:p>
    <w:p w:rsidR="00615425" w:rsidRPr="00615425" w:rsidRDefault="00615425" w:rsidP="00615425">
      <w:pPr>
        <w:pStyle w:val="NoSpacing"/>
        <w:rPr>
          <w:sz w:val="32"/>
          <w:szCs w:val="32"/>
          <w:lang w:val="es-PR"/>
        </w:rPr>
      </w:pPr>
      <w:r w:rsidRPr="00615425">
        <w:rPr>
          <w:sz w:val="32"/>
          <w:szCs w:val="32"/>
          <w:lang w:val="es-PR"/>
        </w:rPr>
        <w:lastRenderedPageBreak/>
        <w:t>enmendó esas condiciones en 2016, generalmente aligerando las protecciones anteriores.</w:t>
      </w:r>
      <w:r w:rsidR="00C95C66">
        <w:rPr>
          <w:sz w:val="32"/>
          <w:szCs w:val="32"/>
          <w:lang w:val="es-PR"/>
        </w:rPr>
        <w:t xml:space="preserve"> </w:t>
      </w:r>
      <w:r w:rsidRPr="00615425">
        <w:rPr>
          <w:sz w:val="32"/>
          <w:szCs w:val="32"/>
          <w:lang w:val="es-PR"/>
        </w:rPr>
        <w:t>Luego aprobó una versión genérica en 2019. Y en 2021, la FDA anunció</w:t>
      </w:r>
      <w:r w:rsidR="00C95C66">
        <w:rPr>
          <w:sz w:val="32"/>
          <w:szCs w:val="32"/>
          <w:lang w:val="es-PR"/>
        </w:rPr>
        <w:t xml:space="preserve"> </w:t>
      </w:r>
      <w:r w:rsidRPr="00615425">
        <w:rPr>
          <w:sz w:val="32"/>
          <w:szCs w:val="32"/>
          <w:lang w:val="es-PR"/>
        </w:rPr>
        <w:t xml:space="preserve">que no haría cumplir una regulación de la agencia que requiere que la </w:t>
      </w:r>
      <w:proofErr w:type="spellStart"/>
      <w:r w:rsidRPr="00615425">
        <w:rPr>
          <w:sz w:val="32"/>
          <w:szCs w:val="32"/>
          <w:lang w:val="es-PR"/>
        </w:rPr>
        <w:t>mifepristona</w:t>
      </w:r>
      <w:proofErr w:type="spellEnd"/>
      <w:r w:rsidRPr="00615425">
        <w:rPr>
          <w:sz w:val="32"/>
          <w:szCs w:val="32"/>
          <w:lang w:val="es-PR"/>
        </w:rPr>
        <w:t xml:space="preserve"> sea</w:t>
      </w:r>
      <w:r w:rsidR="00C95C66">
        <w:rPr>
          <w:sz w:val="32"/>
          <w:szCs w:val="32"/>
          <w:lang w:val="es-PR"/>
        </w:rPr>
        <w:t xml:space="preserve"> </w:t>
      </w:r>
      <w:r w:rsidRPr="00615425">
        <w:rPr>
          <w:sz w:val="32"/>
          <w:szCs w:val="32"/>
          <w:lang w:val="es-PR"/>
        </w:rPr>
        <w:t xml:space="preserve">prescrito y dispensado en persona. La agencia finalmente eliminó ese requisito de las condiciones de uso de la </w:t>
      </w:r>
      <w:proofErr w:type="spellStart"/>
      <w:r w:rsidRPr="00615425">
        <w:rPr>
          <w:sz w:val="32"/>
          <w:szCs w:val="32"/>
          <w:lang w:val="es-PR"/>
        </w:rPr>
        <w:t>mifepristona</w:t>
      </w:r>
      <w:proofErr w:type="spellEnd"/>
      <w:r w:rsidRPr="00615425">
        <w:rPr>
          <w:sz w:val="32"/>
          <w:szCs w:val="32"/>
          <w:lang w:val="es-PR"/>
        </w:rPr>
        <w:t>.</w:t>
      </w:r>
    </w:p>
    <w:p w:rsidR="00C95C66" w:rsidRDefault="00C95C66" w:rsidP="00615425">
      <w:pPr>
        <w:pStyle w:val="NoSpacing"/>
        <w:rPr>
          <w:sz w:val="32"/>
          <w:szCs w:val="32"/>
          <w:lang w:val="es-PR"/>
        </w:rPr>
      </w:pPr>
    </w:p>
    <w:p w:rsidR="00615425" w:rsidRDefault="00615425" w:rsidP="00615425">
      <w:pPr>
        <w:pStyle w:val="NoSpacing"/>
        <w:rPr>
          <w:sz w:val="32"/>
          <w:szCs w:val="32"/>
          <w:lang w:val="es-PR"/>
        </w:rPr>
      </w:pPr>
      <w:r w:rsidRPr="00615425">
        <w:rPr>
          <w:sz w:val="32"/>
          <w:szCs w:val="32"/>
          <w:lang w:val="es-PR"/>
        </w:rPr>
        <w:t>El objeto de esta apelación son esas cuatro acciones: la Aprobación de 2000,</w:t>
      </w:r>
      <w:r w:rsidR="00C95C66">
        <w:rPr>
          <w:sz w:val="32"/>
          <w:szCs w:val="32"/>
          <w:lang w:val="es-PR"/>
        </w:rPr>
        <w:t xml:space="preserve"> </w:t>
      </w:r>
      <w:r w:rsidRPr="00615425">
        <w:rPr>
          <w:sz w:val="32"/>
          <w:szCs w:val="32"/>
          <w:lang w:val="es-PR"/>
        </w:rPr>
        <w:t>Modificaciones de 2016, Aprobación genérica de 2019 y Decisión de no aplicación de 2021. Son desafiados por la Alianza para la Medicina Hipocrática, una</w:t>
      </w:r>
      <w:r w:rsidR="00C95C66">
        <w:rPr>
          <w:sz w:val="32"/>
          <w:szCs w:val="32"/>
          <w:lang w:val="es-PR"/>
        </w:rPr>
        <w:t xml:space="preserve"> </w:t>
      </w:r>
      <w:r w:rsidRPr="00615425">
        <w:rPr>
          <w:sz w:val="32"/>
          <w:szCs w:val="32"/>
          <w:lang w:val="es-PR"/>
        </w:rPr>
        <w:t xml:space="preserve">asociación de médicos que investigan, enseñan y defienden la ética </w:t>
      </w:r>
      <w:proofErr w:type="spellStart"/>
      <w:r w:rsidRPr="00615425">
        <w:rPr>
          <w:sz w:val="32"/>
          <w:szCs w:val="32"/>
          <w:lang w:val="es-PR"/>
        </w:rPr>
        <w:t>médicaprácticas</w:t>
      </w:r>
      <w:proofErr w:type="spellEnd"/>
      <w:r w:rsidRPr="00615425">
        <w:rPr>
          <w:sz w:val="32"/>
          <w:szCs w:val="32"/>
          <w:lang w:val="es-PR"/>
        </w:rPr>
        <w:t>: varias organizaciones similares y</w:t>
      </w:r>
      <w:r w:rsidR="00C95C66">
        <w:rPr>
          <w:sz w:val="32"/>
          <w:szCs w:val="32"/>
          <w:lang w:val="es-PR"/>
        </w:rPr>
        <w:t xml:space="preserve"> varios médicos individuales. </w:t>
      </w:r>
    </w:p>
    <w:p w:rsidR="00C95C66" w:rsidRPr="00615425" w:rsidRDefault="00C95C66" w:rsidP="00615425">
      <w:pPr>
        <w:pStyle w:val="NoSpacing"/>
        <w:rPr>
          <w:sz w:val="32"/>
          <w:szCs w:val="32"/>
          <w:lang w:val="es-PR"/>
        </w:rPr>
      </w:pPr>
    </w:p>
    <w:p w:rsidR="00615425" w:rsidRPr="00615425" w:rsidRDefault="00615425" w:rsidP="00615425">
      <w:pPr>
        <w:pStyle w:val="NoSpacing"/>
        <w:rPr>
          <w:sz w:val="32"/>
          <w:szCs w:val="32"/>
          <w:lang w:val="es-PR"/>
        </w:rPr>
      </w:pPr>
      <w:r w:rsidRPr="00615425">
        <w:rPr>
          <w:sz w:val="32"/>
          <w:szCs w:val="32"/>
          <w:lang w:val="es-PR"/>
        </w:rPr>
        <w:t xml:space="preserve">En la parte inferior, las organizaciones médicas y los médicos sostienen que la FDA pasó por alto importantes riesgos de seguridad al aprobar la </w:t>
      </w:r>
      <w:proofErr w:type="spellStart"/>
      <w:r w:rsidRPr="00615425">
        <w:rPr>
          <w:sz w:val="32"/>
          <w:szCs w:val="32"/>
          <w:lang w:val="es-PR"/>
        </w:rPr>
        <w:t>mifepristona</w:t>
      </w:r>
      <w:proofErr w:type="spellEnd"/>
      <w:r w:rsidRPr="00615425">
        <w:rPr>
          <w:sz w:val="32"/>
          <w:szCs w:val="32"/>
          <w:lang w:val="es-PR"/>
        </w:rPr>
        <w:t xml:space="preserve"> y modificar sus restricciones. Afirman que las acciones de la FDA fueron ilegales bajo la Ley de Procedimiento Administrativo.</w:t>
      </w:r>
    </w:p>
    <w:p w:rsidR="00C95C66" w:rsidRDefault="00C95C66" w:rsidP="00615425">
      <w:pPr>
        <w:pStyle w:val="NoSpacing"/>
        <w:rPr>
          <w:sz w:val="32"/>
          <w:szCs w:val="32"/>
          <w:lang w:val="es-PR"/>
        </w:rPr>
      </w:pPr>
    </w:p>
    <w:p w:rsidR="00615425" w:rsidRPr="00615425" w:rsidRDefault="00615425" w:rsidP="00615425">
      <w:pPr>
        <w:pStyle w:val="NoSpacing"/>
        <w:rPr>
          <w:sz w:val="32"/>
          <w:szCs w:val="32"/>
          <w:lang w:val="es-PR"/>
        </w:rPr>
      </w:pPr>
      <w:r w:rsidRPr="00615425">
        <w:rPr>
          <w:sz w:val="32"/>
          <w:szCs w:val="32"/>
          <w:lang w:val="es-PR"/>
        </w:rPr>
        <w:t>Las Organizaciones buscan alivio en nombre de sus miembros, muchos de</w:t>
      </w:r>
      <w:r w:rsidR="00C95C66">
        <w:rPr>
          <w:sz w:val="32"/>
          <w:szCs w:val="32"/>
          <w:lang w:val="es-PR"/>
        </w:rPr>
        <w:t xml:space="preserve"> </w:t>
      </w:r>
      <w:r w:rsidRPr="00615425">
        <w:rPr>
          <w:sz w:val="32"/>
          <w:szCs w:val="32"/>
          <w:lang w:val="es-PR"/>
        </w:rPr>
        <w:t>que son obstetras/ginecólogos o médicos de urgencias. Muchas mujeres se enfrentan a graves</w:t>
      </w:r>
      <w:r w:rsidR="00C95C66">
        <w:rPr>
          <w:sz w:val="32"/>
          <w:szCs w:val="32"/>
          <w:lang w:val="es-PR"/>
        </w:rPr>
        <w:t xml:space="preserve"> </w:t>
      </w:r>
      <w:r w:rsidRPr="00615425">
        <w:rPr>
          <w:sz w:val="32"/>
          <w:szCs w:val="32"/>
          <w:lang w:val="es-PR"/>
        </w:rPr>
        <w:t xml:space="preserve">Complicaciones como resultado de tomar </w:t>
      </w:r>
      <w:proofErr w:type="spellStart"/>
      <w:r w:rsidRPr="00615425">
        <w:rPr>
          <w:sz w:val="32"/>
          <w:szCs w:val="32"/>
          <w:lang w:val="es-PR"/>
        </w:rPr>
        <w:t>mifepristona</w:t>
      </w:r>
      <w:proofErr w:type="spellEnd"/>
      <w:r w:rsidRPr="00615425">
        <w:rPr>
          <w:sz w:val="32"/>
          <w:szCs w:val="32"/>
          <w:lang w:val="es-PR"/>
        </w:rPr>
        <w:t xml:space="preserve">. Los doctores </w:t>
      </w:r>
      <w:r>
        <w:rPr>
          <w:sz w:val="32"/>
          <w:szCs w:val="32"/>
          <w:lang w:val="es-PR"/>
        </w:rPr>
        <w:t xml:space="preserve">alegan que ellos </w:t>
      </w:r>
      <w:r w:rsidRPr="00615425">
        <w:rPr>
          <w:sz w:val="32"/>
          <w:szCs w:val="32"/>
          <w:lang w:val="es-PR"/>
        </w:rPr>
        <w:t xml:space="preserve">se ven perjudicados cuando </w:t>
      </w:r>
      <w:r>
        <w:rPr>
          <w:sz w:val="32"/>
          <w:szCs w:val="32"/>
          <w:lang w:val="es-PR"/>
        </w:rPr>
        <w:t xml:space="preserve">tratan a ese tipo de pacientes. </w:t>
      </w:r>
      <w:r w:rsidRPr="00615425">
        <w:rPr>
          <w:sz w:val="32"/>
          <w:szCs w:val="32"/>
          <w:lang w:val="es-PR"/>
        </w:rPr>
        <w:t xml:space="preserve">Según los médicos, cuando tratan a mujeres que están experimentando complicaciones después de tomar </w:t>
      </w:r>
      <w:proofErr w:type="spellStart"/>
      <w:r w:rsidRPr="00615425">
        <w:rPr>
          <w:sz w:val="32"/>
          <w:szCs w:val="32"/>
          <w:lang w:val="es-PR"/>
        </w:rPr>
        <w:t>mifepristo</w:t>
      </w:r>
      <w:r>
        <w:rPr>
          <w:sz w:val="32"/>
          <w:szCs w:val="32"/>
          <w:lang w:val="es-PR"/>
        </w:rPr>
        <w:t>na</w:t>
      </w:r>
      <w:proofErr w:type="spellEnd"/>
      <w:r>
        <w:rPr>
          <w:sz w:val="32"/>
          <w:szCs w:val="32"/>
          <w:lang w:val="es-PR"/>
        </w:rPr>
        <w:t xml:space="preserve">, se les exige que realicen o </w:t>
      </w:r>
      <w:r w:rsidRPr="00615425">
        <w:rPr>
          <w:sz w:val="32"/>
          <w:szCs w:val="32"/>
          <w:lang w:val="es-PR"/>
        </w:rPr>
        <w:t>completar un aborto, o ser requerido de otra manera pa</w:t>
      </w:r>
      <w:r>
        <w:rPr>
          <w:sz w:val="32"/>
          <w:szCs w:val="32"/>
          <w:lang w:val="es-PR"/>
        </w:rPr>
        <w:t xml:space="preserve">ra participar en un proceso que </w:t>
      </w:r>
      <w:r w:rsidRPr="00615425">
        <w:rPr>
          <w:sz w:val="32"/>
          <w:szCs w:val="32"/>
          <w:lang w:val="es-PR"/>
        </w:rPr>
        <w:t>facilita el aborto. Sostienen que realizar personalmente esos procedimientos viola sus creencias morales sinceras. Los docto</w:t>
      </w:r>
      <w:r>
        <w:rPr>
          <w:sz w:val="32"/>
          <w:szCs w:val="32"/>
          <w:lang w:val="es-PR"/>
        </w:rPr>
        <w:t xml:space="preserve">res también sostienen </w:t>
      </w:r>
      <w:r w:rsidRPr="00615425">
        <w:rPr>
          <w:sz w:val="32"/>
          <w:szCs w:val="32"/>
          <w:lang w:val="es-PR"/>
        </w:rPr>
        <w:t xml:space="preserve">que el tratamiento de pacientes con </w:t>
      </w:r>
      <w:proofErr w:type="spellStart"/>
      <w:r w:rsidRPr="00615425">
        <w:rPr>
          <w:sz w:val="32"/>
          <w:szCs w:val="32"/>
          <w:lang w:val="es-PR"/>
        </w:rPr>
        <w:t>mifeprist</w:t>
      </w:r>
      <w:r>
        <w:rPr>
          <w:sz w:val="32"/>
          <w:szCs w:val="32"/>
          <w:lang w:val="es-PR"/>
        </w:rPr>
        <w:t>ona</w:t>
      </w:r>
      <w:proofErr w:type="spellEnd"/>
      <w:r>
        <w:rPr>
          <w:sz w:val="32"/>
          <w:szCs w:val="32"/>
          <w:lang w:val="es-PR"/>
        </w:rPr>
        <w:t xml:space="preserve"> desvía tiempo y recursos de </w:t>
      </w:r>
      <w:r w:rsidRPr="00615425">
        <w:rPr>
          <w:sz w:val="32"/>
          <w:szCs w:val="32"/>
          <w:lang w:val="es-PR"/>
        </w:rPr>
        <w:t>sus pacientes ordinarios, causa angustia mental y emocional sustancial, y</w:t>
      </w:r>
      <w:r>
        <w:rPr>
          <w:sz w:val="32"/>
          <w:szCs w:val="32"/>
          <w:lang w:val="es-PR"/>
        </w:rPr>
        <w:t xml:space="preserve"> </w:t>
      </w:r>
      <w:r w:rsidRPr="00615425">
        <w:rPr>
          <w:sz w:val="32"/>
          <w:szCs w:val="32"/>
          <w:lang w:val="es-PR"/>
        </w:rPr>
        <w:t>los expone a un mayor riesgo de mala praxis y mayores costos de seguro.</w:t>
      </w:r>
    </w:p>
    <w:p w:rsidR="00C95C66" w:rsidRDefault="00C95C66" w:rsidP="00615425">
      <w:pPr>
        <w:pStyle w:val="NoSpacing"/>
        <w:rPr>
          <w:sz w:val="32"/>
          <w:szCs w:val="32"/>
          <w:lang w:val="es-PR"/>
        </w:rPr>
      </w:pPr>
    </w:p>
    <w:p w:rsidR="00615425" w:rsidRPr="00615425" w:rsidRDefault="00615425" w:rsidP="00615425">
      <w:pPr>
        <w:pStyle w:val="NoSpacing"/>
        <w:rPr>
          <w:sz w:val="32"/>
          <w:szCs w:val="32"/>
          <w:lang w:val="es-PR"/>
        </w:rPr>
      </w:pPr>
      <w:r w:rsidRPr="00615425">
        <w:rPr>
          <w:sz w:val="32"/>
          <w:szCs w:val="32"/>
          <w:lang w:val="es-PR"/>
        </w:rPr>
        <w:t>Buscando prevenir dichas supuestas lesiones, los Organismos Médicos</w:t>
      </w:r>
    </w:p>
    <w:p w:rsidR="00615425" w:rsidRPr="00615425" w:rsidRDefault="00615425" w:rsidP="00615425">
      <w:pPr>
        <w:pStyle w:val="NoSpacing"/>
        <w:rPr>
          <w:sz w:val="32"/>
          <w:szCs w:val="32"/>
          <w:lang w:val="es-PR"/>
        </w:rPr>
      </w:pPr>
      <w:r w:rsidRPr="00615425">
        <w:rPr>
          <w:sz w:val="32"/>
          <w:szCs w:val="32"/>
          <w:lang w:val="es-PR"/>
        </w:rPr>
        <w:t>y los médicos pidieron medidas cautelares preliminares. el tribunal de distrito</w:t>
      </w:r>
      <w:r w:rsidR="00C95C66">
        <w:rPr>
          <w:sz w:val="32"/>
          <w:szCs w:val="32"/>
          <w:lang w:val="es-PR"/>
        </w:rPr>
        <w:t xml:space="preserve"> </w:t>
      </w:r>
      <w:r w:rsidRPr="00615425">
        <w:rPr>
          <w:sz w:val="32"/>
          <w:szCs w:val="32"/>
          <w:lang w:val="es-PR"/>
        </w:rPr>
        <w:t>concedió la moción, pero en lugar de entrar en una orden judicial tradicional, el</w:t>
      </w:r>
      <w:r w:rsidR="00C95C66">
        <w:rPr>
          <w:sz w:val="32"/>
          <w:szCs w:val="32"/>
          <w:lang w:val="es-PR"/>
        </w:rPr>
        <w:t xml:space="preserve"> </w:t>
      </w:r>
      <w:r w:rsidRPr="00615425">
        <w:rPr>
          <w:sz w:val="32"/>
          <w:szCs w:val="32"/>
          <w:lang w:val="es-PR"/>
        </w:rPr>
        <w:t xml:space="preserve">tribunal suspendió la fecha de vigencia de cada una </w:t>
      </w:r>
      <w:r w:rsidR="00C95C66">
        <w:rPr>
          <w:sz w:val="32"/>
          <w:szCs w:val="32"/>
          <w:lang w:val="es-PR"/>
        </w:rPr>
        <w:t>de las acciones impugnadas bajo</w:t>
      </w:r>
      <w:r w:rsidRPr="00615425">
        <w:rPr>
          <w:sz w:val="32"/>
          <w:szCs w:val="32"/>
          <w:lang w:val="es-PR"/>
        </w:rPr>
        <w:t xml:space="preserve">. La FDA apeló, al igual que </w:t>
      </w:r>
      <w:proofErr w:type="spellStart"/>
      <w:r w:rsidRPr="00615425">
        <w:rPr>
          <w:sz w:val="32"/>
          <w:szCs w:val="32"/>
          <w:lang w:val="es-PR"/>
        </w:rPr>
        <w:t>Intervenor</w:t>
      </w:r>
      <w:proofErr w:type="spellEnd"/>
      <w:r w:rsidRPr="00615425">
        <w:rPr>
          <w:sz w:val="32"/>
          <w:szCs w:val="32"/>
          <w:lang w:val="es-PR"/>
        </w:rPr>
        <w:t xml:space="preserve"> </w:t>
      </w:r>
      <w:proofErr w:type="spellStart"/>
      <w:r w:rsidRPr="00615425">
        <w:rPr>
          <w:sz w:val="32"/>
          <w:szCs w:val="32"/>
          <w:lang w:val="es-PR"/>
        </w:rPr>
        <w:t>Danco</w:t>
      </w:r>
      <w:proofErr w:type="spellEnd"/>
      <w:r w:rsidRPr="00615425">
        <w:rPr>
          <w:sz w:val="32"/>
          <w:szCs w:val="32"/>
          <w:lang w:val="es-PR"/>
        </w:rPr>
        <w:t xml:space="preserve"> </w:t>
      </w:r>
      <w:proofErr w:type="spellStart"/>
      <w:r w:rsidRPr="00615425">
        <w:rPr>
          <w:sz w:val="32"/>
          <w:szCs w:val="32"/>
          <w:lang w:val="es-PR"/>
        </w:rPr>
        <w:t>Laboratories</w:t>
      </w:r>
      <w:proofErr w:type="spellEnd"/>
      <w:r w:rsidRPr="00615425">
        <w:rPr>
          <w:sz w:val="32"/>
          <w:szCs w:val="32"/>
          <w:lang w:val="es-PR"/>
        </w:rPr>
        <w:t>, LLC,</w:t>
      </w:r>
      <w:r w:rsidR="00C95C66">
        <w:rPr>
          <w:sz w:val="32"/>
          <w:szCs w:val="32"/>
          <w:lang w:val="es-PR"/>
        </w:rPr>
        <w:t xml:space="preserve"> </w:t>
      </w:r>
      <w:r w:rsidRPr="00615425">
        <w:rPr>
          <w:sz w:val="32"/>
          <w:szCs w:val="32"/>
          <w:lang w:val="es-PR"/>
        </w:rPr>
        <w:t xml:space="preserve">la empresa farmacéutica que distribuye </w:t>
      </w:r>
      <w:proofErr w:type="spellStart"/>
      <w:r w:rsidRPr="00615425">
        <w:rPr>
          <w:sz w:val="32"/>
          <w:szCs w:val="32"/>
          <w:lang w:val="es-PR"/>
        </w:rPr>
        <w:t>Mifeprex</w:t>
      </w:r>
      <w:proofErr w:type="spellEnd"/>
      <w:r w:rsidRPr="00615425">
        <w:rPr>
          <w:sz w:val="32"/>
          <w:szCs w:val="32"/>
          <w:lang w:val="es-PR"/>
        </w:rPr>
        <w:t>.</w:t>
      </w:r>
    </w:p>
    <w:p w:rsidR="00C95C66" w:rsidRDefault="00C95C66" w:rsidP="00615425">
      <w:pPr>
        <w:pStyle w:val="NoSpacing"/>
        <w:rPr>
          <w:sz w:val="32"/>
          <w:szCs w:val="32"/>
          <w:lang w:val="es-PR"/>
        </w:rPr>
      </w:pPr>
    </w:p>
    <w:p w:rsidR="00615425" w:rsidRPr="00615425" w:rsidRDefault="00615425" w:rsidP="00615425">
      <w:pPr>
        <w:pStyle w:val="NoSpacing"/>
        <w:rPr>
          <w:sz w:val="32"/>
          <w:szCs w:val="32"/>
          <w:lang w:val="es-PR"/>
        </w:rPr>
      </w:pPr>
      <w:r w:rsidRPr="00615425">
        <w:rPr>
          <w:sz w:val="32"/>
          <w:szCs w:val="32"/>
          <w:lang w:val="es-PR"/>
        </w:rPr>
        <w:t>Después de una extensa sesión informativa y argumentos orales, sostenemos que el dist</w:t>
      </w:r>
      <w:r>
        <w:rPr>
          <w:sz w:val="32"/>
          <w:szCs w:val="32"/>
          <w:lang w:val="es-PR"/>
        </w:rPr>
        <w:t xml:space="preserve">rito </w:t>
      </w:r>
      <w:r w:rsidRPr="00615425">
        <w:rPr>
          <w:sz w:val="32"/>
          <w:szCs w:val="32"/>
          <w:lang w:val="es-PR"/>
        </w:rPr>
        <w:t>a orden de suspensión del tribunal debe ANULARSE en parte y AFIRMARSE en parte.</w:t>
      </w:r>
    </w:p>
    <w:p w:rsidR="00615425" w:rsidRDefault="00615425" w:rsidP="00615425">
      <w:pPr>
        <w:pStyle w:val="NoSpacing"/>
        <w:rPr>
          <w:sz w:val="32"/>
          <w:szCs w:val="32"/>
          <w:lang w:val="es-PR"/>
        </w:rPr>
      </w:pPr>
    </w:p>
    <w:p w:rsidR="00615425" w:rsidRPr="00615425" w:rsidRDefault="00615425" w:rsidP="00615425">
      <w:pPr>
        <w:pStyle w:val="NoSpacing"/>
        <w:rPr>
          <w:sz w:val="32"/>
          <w:szCs w:val="32"/>
          <w:lang w:val="es-PR"/>
        </w:rPr>
      </w:pPr>
      <w:r w:rsidRPr="00615425">
        <w:rPr>
          <w:sz w:val="32"/>
          <w:szCs w:val="32"/>
          <w:lang w:val="es-PR"/>
        </w:rPr>
        <w:t>Concluimos que la pretensión de las Organizaciones Médic</w:t>
      </w:r>
      <w:r>
        <w:rPr>
          <w:sz w:val="32"/>
          <w:szCs w:val="32"/>
          <w:lang w:val="es-PR"/>
        </w:rPr>
        <w:t xml:space="preserve">as y los Médicos en cuanto a la </w:t>
      </w:r>
      <w:r w:rsidRPr="00615425">
        <w:rPr>
          <w:sz w:val="32"/>
          <w:szCs w:val="32"/>
          <w:lang w:val="es-PR"/>
        </w:rPr>
        <w:t>2000 Es probable que la aprobación esté prohibida por el estatuto de limitaciones. En consecuencia, que</w:t>
      </w:r>
    </w:p>
    <w:p w:rsidR="00615425" w:rsidRPr="00615425" w:rsidRDefault="00615425" w:rsidP="00615425">
      <w:pPr>
        <w:pStyle w:val="NoSpacing"/>
        <w:rPr>
          <w:sz w:val="32"/>
          <w:szCs w:val="32"/>
          <w:lang w:val="es-PR"/>
        </w:rPr>
      </w:pPr>
      <w:r w:rsidRPr="00615425">
        <w:rPr>
          <w:sz w:val="32"/>
          <w:szCs w:val="32"/>
          <w:lang w:val="es-PR"/>
        </w:rPr>
        <w:t>componente de la orden del tribunal de distrito d</w:t>
      </w:r>
      <w:r>
        <w:rPr>
          <w:sz w:val="32"/>
          <w:szCs w:val="32"/>
          <w:lang w:val="es-PR"/>
        </w:rPr>
        <w:t xml:space="preserve">ebe ser ANULADO. Esto significa </w:t>
      </w:r>
      <w:r w:rsidRPr="00615425">
        <w:rPr>
          <w:sz w:val="32"/>
          <w:szCs w:val="32"/>
          <w:lang w:val="es-PR"/>
        </w:rPr>
        <w:t xml:space="preserve">que, hasta sentencia firme, </w:t>
      </w:r>
      <w:proofErr w:type="spellStart"/>
      <w:r w:rsidRPr="00615425">
        <w:rPr>
          <w:sz w:val="32"/>
          <w:szCs w:val="32"/>
          <w:lang w:val="es-PR"/>
        </w:rPr>
        <w:t>Mifeprex</w:t>
      </w:r>
      <w:proofErr w:type="spellEnd"/>
      <w:r w:rsidRPr="00615425">
        <w:rPr>
          <w:sz w:val="32"/>
          <w:szCs w:val="32"/>
          <w:lang w:val="es-PR"/>
        </w:rPr>
        <w:t xml:space="preserve"> permanecerá</w:t>
      </w:r>
      <w:r>
        <w:rPr>
          <w:sz w:val="32"/>
          <w:szCs w:val="32"/>
          <w:lang w:val="es-PR"/>
        </w:rPr>
        <w:t xml:space="preserve"> a disposición del público bajo </w:t>
      </w:r>
      <w:r w:rsidRPr="00615425">
        <w:rPr>
          <w:sz w:val="32"/>
          <w:szCs w:val="32"/>
          <w:lang w:val="es-PR"/>
        </w:rPr>
        <w:t>las condiciones de uso que existían en 2016.</w:t>
      </w:r>
    </w:p>
    <w:p w:rsidR="00C95C66" w:rsidRDefault="00C95C66" w:rsidP="00615425">
      <w:pPr>
        <w:pStyle w:val="NoSpacing"/>
        <w:rPr>
          <w:sz w:val="32"/>
          <w:szCs w:val="32"/>
          <w:lang w:val="es-PR"/>
        </w:rPr>
      </w:pPr>
    </w:p>
    <w:p w:rsidR="00615425" w:rsidRPr="00615425" w:rsidRDefault="00615425" w:rsidP="00615425">
      <w:pPr>
        <w:pStyle w:val="NoSpacing"/>
        <w:rPr>
          <w:sz w:val="32"/>
          <w:szCs w:val="32"/>
          <w:lang w:val="es-PR"/>
        </w:rPr>
      </w:pPr>
      <w:r w:rsidRPr="00615425">
        <w:rPr>
          <w:sz w:val="32"/>
          <w:szCs w:val="32"/>
          <w:lang w:val="es-PR"/>
        </w:rPr>
        <w:t>También ANULAMOS la parte de la orden relacionada con la Aprobación Genérica de 2019 porque las Organizacione</w:t>
      </w:r>
      <w:r>
        <w:rPr>
          <w:sz w:val="32"/>
          <w:szCs w:val="32"/>
          <w:lang w:val="es-PR"/>
        </w:rPr>
        <w:t xml:space="preserve">s Médicas y los Doctores no han </w:t>
      </w:r>
      <w:r w:rsidRPr="00615425">
        <w:rPr>
          <w:sz w:val="32"/>
          <w:szCs w:val="32"/>
          <w:lang w:val="es-PR"/>
        </w:rPr>
        <w:t>demostrado que están lesionados por esa acción en par</w:t>
      </w:r>
      <w:r>
        <w:rPr>
          <w:sz w:val="32"/>
          <w:szCs w:val="32"/>
          <w:lang w:val="es-PR"/>
        </w:rPr>
        <w:t xml:space="preserve">ticular. La versión genérica de </w:t>
      </w:r>
      <w:r w:rsidRPr="00615425">
        <w:rPr>
          <w:sz w:val="32"/>
          <w:szCs w:val="32"/>
          <w:lang w:val="es-PR"/>
        </w:rPr>
        <w:t xml:space="preserve">La </w:t>
      </w:r>
      <w:proofErr w:type="spellStart"/>
      <w:r w:rsidRPr="00615425">
        <w:rPr>
          <w:sz w:val="32"/>
          <w:szCs w:val="32"/>
          <w:lang w:val="es-PR"/>
        </w:rPr>
        <w:t>mifepristona</w:t>
      </w:r>
      <w:proofErr w:type="spellEnd"/>
      <w:r w:rsidRPr="00615425">
        <w:rPr>
          <w:sz w:val="32"/>
          <w:szCs w:val="32"/>
          <w:lang w:val="es-PR"/>
        </w:rPr>
        <w:t xml:space="preserve"> también estará disponible en las mismas condiciones que </w:t>
      </w:r>
      <w:proofErr w:type="spellStart"/>
      <w:r w:rsidRPr="00615425">
        <w:rPr>
          <w:sz w:val="32"/>
          <w:szCs w:val="32"/>
          <w:lang w:val="es-PR"/>
        </w:rPr>
        <w:t>Mifeprex</w:t>
      </w:r>
      <w:proofErr w:type="spellEnd"/>
      <w:r w:rsidRPr="00615425">
        <w:rPr>
          <w:sz w:val="32"/>
          <w:szCs w:val="32"/>
          <w:lang w:val="es-PR"/>
        </w:rPr>
        <w:t>.</w:t>
      </w:r>
    </w:p>
    <w:p w:rsidR="00615425" w:rsidRDefault="00615425" w:rsidP="00615425">
      <w:pPr>
        <w:pStyle w:val="NoSpacing"/>
        <w:rPr>
          <w:sz w:val="32"/>
          <w:szCs w:val="32"/>
          <w:lang w:val="es-PR"/>
        </w:rPr>
      </w:pPr>
    </w:p>
    <w:p w:rsidR="00615425" w:rsidRDefault="00615425" w:rsidP="00615425">
      <w:pPr>
        <w:pStyle w:val="NoSpacing"/>
        <w:rPr>
          <w:sz w:val="32"/>
          <w:szCs w:val="32"/>
          <w:lang w:val="es-PR"/>
        </w:rPr>
      </w:pPr>
      <w:r w:rsidRPr="00615425">
        <w:rPr>
          <w:sz w:val="32"/>
          <w:szCs w:val="32"/>
          <w:lang w:val="es-PR"/>
        </w:rPr>
        <w:t>AFIRMAMOS los componentes de la orden d</w:t>
      </w:r>
      <w:r>
        <w:rPr>
          <w:sz w:val="32"/>
          <w:szCs w:val="32"/>
          <w:lang w:val="es-PR"/>
        </w:rPr>
        <w:t xml:space="preserve">e suspensión que atañen al 2016 </w:t>
      </w:r>
      <w:r w:rsidRPr="00615425">
        <w:rPr>
          <w:sz w:val="32"/>
          <w:szCs w:val="32"/>
          <w:lang w:val="es-PR"/>
        </w:rPr>
        <w:t xml:space="preserve">Modificaciones y la Decisión de No Ejecución de 2021. </w:t>
      </w:r>
      <w:r>
        <w:rPr>
          <w:sz w:val="32"/>
          <w:szCs w:val="32"/>
          <w:lang w:val="es-PR"/>
        </w:rPr>
        <w:t>Q</w:t>
      </w:r>
      <w:r w:rsidRPr="00615425">
        <w:rPr>
          <w:sz w:val="32"/>
          <w:szCs w:val="32"/>
          <w:lang w:val="es-PR"/>
        </w:rPr>
        <w:t>ue generalmente aflojan las protecciones y r</w:t>
      </w:r>
      <w:r>
        <w:rPr>
          <w:sz w:val="32"/>
          <w:szCs w:val="32"/>
          <w:lang w:val="es-PR"/>
        </w:rPr>
        <w:t>egulaciones relacionadas con el</w:t>
      </w:r>
      <w:r w:rsidR="00C95C66">
        <w:rPr>
          <w:sz w:val="32"/>
          <w:szCs w:val="32"/>
          <w:lang w:val="es-PR"/>
        </w:rPr>
        <w:t xml:space="preserve"> </w:t>
      </w:r>
      <w:r w:rsidRPr="00615425">
        <w:rPr>
          <w:sz w:val="32"/>
          <w:szCs w:val="32"/>
          <w:lang w:val="es-PR"/>
        </w:rPr>
        <w:t xml:space="preserve">uso de </w:t>
      </w:r>
      <w:proofErr w:type="spellStart"/>
      <w:r w:rsidRPr="00615425">
        <w:rPr>
          <w:sz w:val="32"/>
          <w:szCs w:val="32"/>
          <w:lang w:val="es-PR"/>
        </w:rPr>
        <w:t>mifepristona</w:t>
      </w:r>
      <w:proofErr w:type="spellEnd"/>
      <w:r w:rsidRPr="00615425">
        <w:rPr>
          <w:sz w:val="32"/>
          <w:szCs w:val="32"/>
          <w:lang w:val="es-PR"/>
        </w:rPr>
        <w:t xml:space="preserve">—se suspenderá durante </w:t>
      </w:r>
      <w:r>
        <w:rPr>
          <w:sz w:val="32"/>
          <w:szCs w:val="32"/>
          <w:lang w:val="es-PR"/>
        </w:rPr>
        <w:t>la tramitación de este litigio.</w:t>
      </w:r>
      <w:r w:rsidR="00C95C66">
        <w:rPr>
          <w:sz w:val="32"/>
          <w:szCs w:val="32"/>
          <w:lang w:val="es-PR"/>
        </w:rPr>
        <w:t xml:space="preserve"> </w:t>
      </w:r>
      <w:r w:rsidRPr="00615425">
        <w:rPr>
          <w:sz w:val="32"/>
          <w:szCs w:val="32"/>
          <w:lang w:val="es-PR"/>
        </w:rPr>
        <w:t>Finalmente, señalamos que nuestra tenencia es</w:t>
      </w:r>
      <w:r>
        <w:rPr>
          <w:sz w:val="32"/>
          <w:szCs w:val="32"/>
          <w:lang w:val="es-PR"/>
        </w:rPr>
        <w:t xml:space="preserve">tá sujeta a la orden previa del </w:t>
      </w:r>
      <w:r w:rsidRPr="00615425">
        <w:rPr>
          <w:sz w:val="32"/>
          <w:szCs w:val="32"/>
          <w:lang w:val="es-PR"/>
        </w:rPr>
        <w:t xml:space="preserve">Tribunal Supremo, que suspendió la orden del tribunal </w:t>
      </w:r>
      <w:r w:rsidRPr="00615425">
        <w:rPr>
          <w:sz w:val="32"/>
          <w:szCs w:val="32"/>
          <w:lang w:val="es-PR"/>
        </w:rPr>
        <w:lastRenderedPageBreak/>
        <w:t>de distrit</w:t>
      </w:r>
      <w:r>
        <w:rPr>
          <w:sz w:val="32"/>
          <w:szCs w:val="32"/>
          <w:lang w:val="es-PR"/>
        </w:rPr>
        <w:t>o en espera de la resolución de</w:t>
      </w:r>
      <w:r w:rsidR="00C95C66">
        <w:rPr>
          <w:sz w:val="32"/>
          <w:szCs w:val="32"/>
          <w:lang w:val="es-PR"/>
        </w:rPr>
        <w:t xml:space="preserve"> </w:t>
      </w:r>
      <w:r w:rsidRPr="00615425">
        <w:rPr>
          <w:sz w:val="32"/>
          <w:szCs w:val="32"/>
          <w:lang w:val="es-PR"/>
        </w:rPr>
        <w:t>esta apelación y disposición de cualquier petici</w:t>
      </w:r>
      <w:r>
        <w:rPr>
          <w:sz w:val="32"/>
          <w:szCs w:val="32"/>
          <w:lang w:val="es-PR"/>
        </w:rPr>
        <w:t xml:space="preserve">ón de </w:t>
      </w:r>
      <w:proofErr w:type="spellStart"/>
      <w:r>
        <w:rPr>
          <w:sz w:val="32"/>
          <w:szCs w:val="32"/>
          <w:lang w:val="es-PR"/>
        </w:rPr>
        <w:t>certiorari</w:t>
      </w:r>
      <w:proofErr w:type="spellEnd"/>
      <w:r>
        <w:rPr>
          <w:sz w:val="32"/>
          <w:szCs w:val="32"/>
          <w:lang w:val="es-PR"/>
        </w:rPr>
        <w:t xml:space="preserve">. </w:t>
      </w:r>
      <w:proofErr w:type="spellStart"/>
      <w:r>
        <w:rPr>
          <w:sz w:val="32"/>
          <w:szCs w:val="32"/>
          <w:lang w:val="es-PR"/>
        </w:rPr>
        <w:t>Danco</w:t>
      </w:r>
      <w:proofErr w:type="spellEnd"/>
      <w:r>
        <w:rPr>
          <w:sz w:val="32"/>
          <w:szCs w:val="32"/>
          <w:lang w:val="es-PR"/>
        </w:rPr>
        <w:t xml:space="preserve"> </w:t>
      </w:r>
      <w:proofErr w:type="spellStart"/>
      <w:proofErr w:type="gramStart"/>
      <w:r>
        <w:rPr>
          <w:sz w:val="32"/>
          <w:szCs w:val="32"/>
          <w:lang w:val="es-PR"/>
        </w:rPr>
        <w:t>Lab'ys,L</w:t>
      </w:r>
      <w:r w:rsidRPr="00615425">
        <w:rPr>
          <w:sz w:val="32"/>
          <w:szCs w:val="32"/>
          <w:lang w:val="es-PR"/>
        </w:rPr>
        <w:t>LC</w:t>
      </w:r>
      <w:proofErr w:type="spellEnd"/>
      <w:proofErr w:type="gramEnd"/>
      <w:r w:rsidRPr="00615425">
        <w:rPr>
          <w:sz w:val="32"/>
          <w:szCs w:val="32"/>
          <w:lang w:val="es-PR"/>
        </w:rPr>
        <w:t xml:space="preserve"> contra todos. para </w:t>
      </w:r>
      <w:proofErr w:type="spellStart"/>
      <w:r w:rsidRPr="00615425">
        <w:rPr>
          <w:sz w:val="32"/>
          <w:szCs w:val="32"/>
          <w:lang w:val="es-PR"/>
        </w:rPr>
        <w:t>Hippocratic</w:t>
      </w:r>
      <w:proofErr w:type="spellEnd"/>
      <w:r w:rsidRPr="00615425">
        <w:rPr>
          <w:sz w:val="32"/>
          <w:szCs w:val="32"/>
          <w:lang w:val="es-PR"/>
        </w:rPr>
        <w:t xml:space="preserve"> </w:t>
      </w:r>
      <w:proofErr w:type="spellStart"/>
      <w:r w:rsidRPr="00615425">
        <w:rPr>
          <w:sz w:val="32"/>
          <w:szCs w:val="32"/>
          <w:lang w:val="es-PR"/>
        </w:rPr>
        <w:t>Med</w:t>
      </w:r>
      <w:proofErr w:type="spellEnd"/>
      <w:r w:rsidRPr="00615425">
        <w:rPr>
          <w:sz w:val="32"/>
          <w:szCs w:val="32"/>
          <w:lang w:val="es-PR"/>
        </w:rPr>
        <w:t xml:space="preserve">., 143 S. </w:t>
      </w:r>
      <w:proofErr w:type="spellStart"/>
      <w:r w:rsidRPr="00615425">
        <w:rPr>
          <w:sz w:val="32"/>
          <w:szCs w:val="32"/>
          <w:lang w:val="es-PR"/>
        </w:rPr>
        <w:t>Ct</w:t>
      </w:r>
      <w:proofErr w:type="spellEnd"/>
      <w:r w:rsidRPr="00615425">
        <w:rPr>
          <w:sz w:val="32"/>
          <w:szCs w:val="32"/>
          <w:lang w:val="es-PR"/>
        </w:rPr>
        <w:t>. 1075 (2023) (</w:t>
      </w:r>
      <w:proofErr w:type="spellStart"/>
      <w:r w:rsidRPr="00615425">
        <w:rPr>
          <w:sz w:val="32"/>
          <w:szCs w:val="32"/>
          <w:lang w:val="es-PR"/>
        </w:rPr>
        <w:t>mem</w:t>
      </w:r>
      <w:proofErr w:type="spellEnd"/>
      <w:r w:rsidRPr="00615425">
        <w:rPr>
          <w:sz w:val="32"/>
          <w:szCs w:val="32"/>
          <w:lang w:val="es-PR"/>
        </w:rPr>
        <w:t>.).</w:t>
      </w:r>
    </w:p>
    <w:p w:rsidR="00615425" w:rsidRDefault="00615425" w:rsidP="00615425">
      <w:pPr>
        <w:pStyle w:val="NoSpacing"/>
        <w:rPr>
          <w:sz w:val="32"/>
          <w:szCs w:val="32"/>
          <w:lang w:val="es-PR"/>
        </w:rPr>
      </w:pPr>
    </w:p>
    <w:p w:rsidR="00615425" w:rsidRPr="00615425" w:rsidRDefault="00615425" w:rsidP="00615425">
      <w:pPr>
        <w:pStyle w:val="NoSpacing"/>
        <w:rPr>
          <w:sz w:val="32"/>
          <w:szCs w:val="32"/>
          <w:lang w:val="es-PR"/>
        </w:rPr>
      </w:pPr>
      <w:r w:rsidRPr="00615425">
        <w:rPr>
          <w:sz w:val="32"/>
          <w:szCs w:val="32"/>
          <w:lang w:val="es-PR"/>
        </w:rPr>
        <w:t>I. Antecedentes</w:t>
      </w:r>
    </w:p>
    <w:p w:rsidR="00615425" w:rsidRPr="00615425" w:rsidRDefault="00615425" w:rsidP="00615425">
      <w:pPr>
        <w:pStyle w:val="NoSpacing"/>
        <w:rPr>
          <w:sz w:val="32"/>
          <w:szCs w:val="32"/>
          <w:lang w:val="es-PR"/>
        </w:rPr>
      </w:pPr>
      <w:r w:rsidRPr="00615425">
        <w:rPr>
          <w:sz w:val="32"/>
          <w:szCs w:val="32"/>
          <w:lang w:val="es-PR"/>
        </w:rPr>
        <w:t>Este caso surge bajo la Ley Federal de Alimentos, Medicamentos y Cosméticos y</w:t>
      </w:r>
      <w:r w:rsidR="00C95C66">
        <w:rPr>
          <w:sz w:val="32"/>
          <w:szCs w:val="32"/>
          <w:lang w:val="es-PR"/>
        </w:rPr>
        <w:t xml:space="preserve"> </w:t>
      </w:r>
      <w:r w:rsidRPr="00615425">
        <w:rPr>
          <w:sz w:val="32"/>
          <w:szCs w:val="32"/>
          <w:lang w:val="es-PR"/>
        </w:rPr>
        <w:t>enmiendas relacionadas. 21 USC cap. 9. El Departamento de Salud y Servicios Humanos tiene la responsabilidad de implementar esa ley, y</w:t>
      </w:r>
      <w:r w:rsidR="00C95C66">
        <w:rPr>
          <w:sz w:val="32"/>
          <w:szCs w:val="32"/>
          <w:lang w:val="es-PR"/>
        </w:rPr>
        <w:t xml:space="preserve"> </w:t>
      </w:r>
      <w:r w:rsidRPr="00615425">
        <w:rPr>
          <w:sz w:val="32"/>
          <w:szCs w:val="32"/>
          <w:lang w:val="es-PR"/>
        </w:rPr>
        <w:t xml:space="preserve">ha delegado esa obligación a la FDA, su </w:t>
      </w:r>
      <w:proofErr w:type="spellStart"/>
      <w:r w:rsidRPr="00615425">
        <w:rPr>
          <w:sz w:val="32"/>
          <w:szCs w:val="32"/>
          <w:lang w:val="es-PR"/>
        </w:rPr>
        <w:t>subagencia</w:t>
      </w:r>
      <w:proofErr w:type="spellEnd"/>
      <w:r w:rsidRPr="00615425">
        <w:rPr>
          <w:sz w:val="32"/>
          <w:szCs w:val="32"/>
          <w:lang w:val="es-PR"/>
        </w:rPr>
        <w:t>. Identificación. § 393. Las correspondientes</w:t>
      </w:r>
      <w:r w:rsidR="00C95C66">
        <w:rPr>
          <w:sz w:val="32"/>
          <w:szCs w:val="32"/>
          <w:lang w:val="es-PR"/>
        </w:rPr>
        <w:t xml:space="preserve"> </w:t>
      </w:r>
      <w:r w:rsidRPr="00615425">
        <w:rPr>
          <w:sz w:val="32"/>
          <w:szCs w:val="32"/>
          <w:lang w:val="es-PR"/>
        </w:rPr>
        <w:t>los eventos se centran en el deber particular de aprobar nuevos medicamentos.</w:t>
      </w:r>
    </w:p>
    <w:p w:rsidR="00C95C66" w:rsidRDefault="00C95C66" w:rsidP="00615425">
      <w:pPr>
        <w:pStyle w:val="NoSpacing"/>
        <w:rPr>
          <w:sz w:val="32"/>
          <w:szCs w:val="32"/>
          <w:lang w:val="es-PR"/>
        </w:rPr>
      </w:pPr>
    </w:p>
    <w:p w:rsidR="00615425" w:rsidRPr="00615425" w:rsidRDefault="00615425" w:rsidP="00615425">
      <w:pPr>
        <w:pStyle w:val="NoSpacing"/>
        <w:rPr>
          <w:sz w:val="32"/>
          <w:szCs w:val="32"/>
          <w:lang w:val="es-PR"/>
        </w:rPr>
      </w:pPr>
      <w:r w:rsidRPr="00615425">
        <w:rPr>
          <w:sz w:val="32"/>
          <w:szCs w:val="32"/>
          <w:lang w:val="es-PR"/>
        </w:rPr>
        <w:t>El proceso de aprobación comienza con una nueva solicitud de medicamento. En esta etapa, es responsabilidad del solicitante probar que el medicamento propue</w:t>
      </w:r>
      <w:r>
        <w:rPr>
          <w:sz w:val="32"/>
          <w:szCs w:val="32"/>
          <w:lang w:val="es-PR"/>
        </w:rPr>
        <w:t xml:space="preserve">sto es </w:t>
      </w:r>
      <w:r w:rsidRPr="00615425">
        <w:rPr>
          <w:sz w:val="32"/>
          <w:szCs w:val="32"/>
          <w:lang w:val="es-PR"/>
        </w:rPr>
        <w:t>seguro y eficaz. La Ley ordena a la FDA que deniegue una nue</w:t>
      </w:r>
      <w:r>
        <w:rPr>
          <w:sz w:val="32"/>
          <w:szCs w:val="32"/>
          <w:lang w:val="es-PR"/>
        </w:rPr>
        <w:t xml:space="preserve">va solicitud de medicamento si, </w:t>
      </w:r>
      <w:r w:rsidRPr="00615425">
        <w:rPr>
          <w:sz w:val="32"/>
          <w:szCs w:val="32"/>
          <w:lang w:val="es-PR"/>
        </w:rPr>
        <w:t>entre otras razones, el solicitante no incluye pruebas y datos que demuestren</w:t>
      </w:r>
    </w:p>
    <w:p w:rsidR="00615425" w:rsidRPr="00615425" w:rsidRDefault="00615425" w:rsidP="00615425">
      <w:pPr>
        <w:pStyle w:val="NoSpacing"/>
        <w:rPr>
          <w:sz w:val="32"/>
          <w:szCs w:val="32"/>
          <w:lang w:val="es-PR"/>
        </w:rPr>
      </w:pPr>
      <w:r w:rsidRPr="00615425">
        <w:rPr>
          <w:sz w:val="32"/>
          <w:szCs w:val="32"/>
          <w:lang w:val="es-PR"/>
        </w:rPr>
        <w:t xml:space="preserve">que el medicamento “es seguro para su uso bajo las condiciones prescritas, </w:t>
      </w:r>
      <w:proofErr w:type="spellStart"/>
      <w:proofErr w:type="gramStart"/>
      <w:r w:rsidRPr="00615425">
        <w:rPr>
          <w:sz w:val="32"/>
          <w:szCs w:val="32"/>
          <w:lang w:val="es-PR"/>
        </w:rPr>
        <w:t>recomendadas,o</w:t>
      </w:r>
      <w:proofErr w:type="spellEnd"/>
      <w:proofErr w:type="gramEnd"/>
      <w:r w:rsidRPr="00615425">
        <w:rPr>
          <w:sz w:val="32"/>
          <w:szCs w:val="32"/>
          <w:lang w:val="es-PR"/>
        </w:rPr>
        <w:t xml:space="preserve"> sugerida en el etiquetado propuesto”; si “cualquier otra información” antes</w:t>
      </w:r>
      <w:r>
        <w:rPr>
          <w:sz w:val="32"/>
          <w:szCs w:val="32"/>
          <w:lang w:val="es-PR"/>
        </w:rPr>
        <w:t xml:space="preserve"> </w:t>
      </w:r>
      <w:r w:rsidRPr="00615425">
        <w:rPr>
          <w:sz w:val="32"/>
          <w:szCs w:val="32"/>
          <w:lang w:val="es-PR"/>
        </w:rPr>
        <w:t>La FDA tiende a mostrar que el medicamento no es seguro; o si “falta evidencia sustancial de que la droga tendrá el efecto que pretende o se representa para</w:t>
      </w:r>
    </w:p>
    <w:p w:rsidR="00615425" w:rsidRPr="00615425" w:rsidRDefault="00615425" w:rsidP="00615425">
      <w:pPr>
        <w:pStyle w:val="NoSpacing"/>
        <w:rPr>
          <w:sz w:val="32"/>
          <w:szCs w:val="32"/>
          <w:lang w:val="es-PR"/>
        </w:rPr>
      </w:pPr>
      <w:r w:rsidRPr="00615425">
        <w:rPr>
          <w:sz w:val="32"/>
          <w:szCs w:val="32"/>
          <w:lang w:val="es-PR"/>
        </w:rPr>
        <w:t>tener bajo las condiciones de uso prescrit</w:t>
      </w:r>
      <w:r w:rsidR="0060385E">
        <w:rPr>
          <w:sz w:val="32"/>
          <w:szCs w:val="32"/>
          <w:lang w:val="es-PR"/>
        </w:rPr>
        <w:t xml:space="preserve">as, recomendadas o sugeridas </w:t>
      </w:r>
      <w:proofErr w:type="spellStart"/>
      <w:r w:rsidR="0060385E">
        <w:rPr>
          <w:sz w:val="32"/>
          <w:szCs w:val="32"/>
          <w:lang w:val="es-PR"/>
        </w:rPr>
        <w:t>en</w:t>
      </w:r>
      <w:r w:rsidRPr="00615425">
        <w:rPr>
          <w:sz w:val="32"/>
          <w:szCs w:val="32"/>
          <w:lang w:val="es-PR"/>
        </w:rPr>
        <w:t>el</w:t>
      </w:r>
      <w:proofErr w:type="spellEnd"/>
      <w:r w:rsidRPr="00615425">
        <w:rPr>
          <w:sz w:val="32"/>
          <w:szCs w:val="32"/>
          <w:lang w:val="es-PR"/>
        </w:rPr>
        <w:t xml:space="preserve"> etiquetado propuesto de los mismos.” Identificación. § 355 (d); ver 21 C.F.R. § 314.125 (reglamentos que amplían esos requisitos).</w:t>
      </w:r>
    </w:p>
    <w:p w:rsidR="0060385E" w:rsidRDefault="0060385E" w:rsidP="00615425">
      <w:pPr>
        <w:pStyle w:val="NoSpacing"/>
        <w:rPr>
          <w:sz w:val="32"/>
          <w:szCs w:val="32"/>
          <w:lang w:val="es-PR"/>
        </w:rPr>
      </w:pPr>
    </w:p>
    <w:p w:rsidR="00615425" w:rsidRDefault="00615425" w:rsidP="00615425">
      <w:pPr>
        <w:pStyle w:val="NoSpacing"/>
        <w:rPr>
          <w:sz w:val="32"/>
          <w:szCs w:val="32"/>
          <w:lang w:val="es-PR"/>
        </w:rPr>
      </w:pPr>
      <w:r w:rsidRPr="00615425">
        <w:rPr>
          <w:sz w:val="32"/>
          <w:szCs w:val="32"/>
          <w:lang w:val="es-PR"/>
        </w:rPr>
        <w:t>Ciertas solicitudes de medicamentos nuevos pueden designarse para "aprobación acelerada". 21 C.F.R. § 314 inc. H. Esta categoría se aplic</w:t>
      </w:r>
      <w:r w:rsidR="0060385E">
        <w:rPr>
          <w:sz w:val="32"/>
          <w:szCs w:val="32"/>
          <w:lang w:val="es-PR"/>
        </w:rPr>
        <w:t xml:space="preserve">a a los medicamentos que tratan </w:t>
      </w:r>
      <w:r w:rsidRPr="00615425">
        <w:rPr>
          <w:sz w:val="32"/>
          <w:szCs w:val="32"/>
          <w:lang w:val="es-PR"/>
        </w:rPr>
        <w:t>“enfermedades graves o potencialmente mortales” y que “brinden un beneficio terapéutico significativo a los pacientes sobre los tratamientos existentes”. Identificación. § 314.500. Las reglamentaciones también requieren que la FDA imponga "restricciones posteriore</w:t>
      </w:r>
      <w:r w:rsidR="0060385E">
        <w:rPr>
          <w:sz w:val="32"/>
          <w:szCs w:val="32"/>
          <w:lang w:val="es-PR"/>
        </w:rPr>
        <w:t xml:space="preserve">s a la comercialización" cuando </w:t>
      </w:r>
      <w:r w:rsidRPr="00615425">
        <w:rPr>
          <w:sz w:val="32"/>
          <w:szCs w:val="32"/>
          <w:lang w:val="es-PR"/>
        </w:rPr>
        <w:t xml:space="preserve">necesarios </w:t>
      </w:r>
      <w:r w:rsidRPr="00615425">
        <w:rPr>
          <w:sz w:val="32"/>
          <w:szCs w:val="32"/>
          <w:lang w:val="es-PR"/>
        </w:rPr>
        <w:lastRenderedPageBreak/>
        <w:t xml:space="preserve">para garantizar que el medicamento se use de manera segura. </w:t>
      </w:r>
      <w:r w:rsidR="0060385E">
        <w:rPr>
          <w:sz w:val="32"/>
          <w:szCs w:val="32"/>
          <w:lang w:val="es-PR"/>
        </w:rPr>
        <w:t xml:space="preserve">Relevante aquí, </w:t>
      </w:r>
      <w:r w:rsidRPr="00615425">
        <w:rPr>
          <w:sz w:val="32"/>
          <w:szCs w:val="32"/>
          <w:lang w:val="es-PR"/>
        </w:rPr>
        <w:t>la agencia puede exigir que el medicamento se admin</w:t>
      </w:r>
      <w:r w:rsidR="0060385E">
        <w:rPr>
          <w:sz w:val="32"/>
          <w:szCs w:val="32"/>
          <w:lang w:val="es-PR"/>
        </w:rPr>
        <w:t xml:space="preserve">istre en "ciertas instalaciones </w:t>
      </w:r>
      <w:r w:rsidRPr="00615425">
        <w:rPr>
          <w:sz w:val="32"/>
          <w:szCs w:val="32"/>
          <w:lang w:val="es-PR"/>
        </w:rPr>
        <w:t>o [por] médicos con capacitación o experienc</w:t>
      </w:r>
      <w:r w:rsidR="0060385E">
        <w:rPr>
          <w:sz w:val="32"/>
          <w:szCs w:val="32"/>
          <w:lang w:val="es-PR"/>
        </w:rPr>
        <w:t xml:space="preserve">ia especial”, o que “especificó </w:t>
      </w:r>
      <w:r w:rsidRPr="00615425">
        <w:rPr>
          <w:sz w:val="32"/>
          <w:szCs w:val="32"/>
          <w:lang w:val="es-PR"/>
        </w:rPr>
        <w:t>procedimientos médicos”.</w:t>
      </w:r>
    </w:p>
    <w:p w:rsidR="0060385E" w:rsidRDefault="0060385E" w:rsidP="00615425">
      <w:pPr>
        <w:pStyle w:val="NoSpacing"/>
        <w:rPr>
          <w:sz w:val="32"/>
          <w:szCs w:val="32"/>
          <w:lang w:val="es-PR"/>
        </w:rPr>
      </w:pPr>
    </w:p>
    <w:p w:rsidR="0060385E" w:rsidRPr="0060385E" w:rsidRDefault="0060385E" w:rsidP="0060385E">
      <w:pPr>
        <w:pStyle w:val="NoSpacing"/>
        <w:rPr>
          <w:sz w:val="32"/>
          <w:szCs w:val="32"/>
          <w:lang w:val="es-PR"/>
        </w:rPr>
      </w:pPr>
      <w:r w:rsidRPr="0060385E">
        <w:rPr>
          <w:sz w:val="32"/>
          <w:szCs w:val="32"/>
          <w:lang w:val="es-PR"/>
        </w:rPr>
        <w:t>La FDA ha explicado que considerará la aprobación acelerada en dos</w:t>
      </w:r>
    </w:p>
    <w:p w:rsidR="0060385E" w:rsidRPr="0060385E" w:rsidRDefault="0060385E" w:rsidP="0060385E">
      <w:pPr>
        <w:pStyle w:val="NoSpacing"/>
        <w:rPr>
          <w:sz w:val="32"/>
          <w:szCs w:val="32"/>
          <w:lang w:val="es-PR"/>
        </w:rPr>
      </w:pPr>
      <w:r w:rsidRPr="0060385E">
        <w:rPr>
          <w:sz w:val="32"/>
          <w:szCs w:val="32"/>
          <w:lang w:val="es-PR"/>
        </w:rPr>
        <w:t>Situaciones: en las que la agencia puede estimar de forma fiable la eficacia utilizando un "criterio de valoración sustituto"; y donde la FDA “determina que un fármaco, eficaz para el</w:t>
      </w:r>
      <w:r w:rsidR="00C95C66">
        <w:rPr>
          <w:sz w:val="32"/>
          <w:szCs w:val="32"/>
          <w:lang w:val="es-PR"/>
        </w:rPr>
        <w:t xml:space="preserve"> </w:t>
      </w:r>
      <w:r w:rsidRPr="0060385E">
        <w:rPr>
          <w:sz w:val="32"/>
          <w:szCs w:val="32"/>
          <w:lang w:val="es-PR"/>
        </w:rPr>
        <w:t>tratamiento de una enfermedad, puede usarse con seguridad solo si la distribución o el uso se modifican o restringen”. 57 federal. registro 58942, 58942 (11 de diciembre de 1992). La agencia</w:t>
      </w:r>
      <w:r w:rsidR="00C95C66">
        <w:rPr>
          <w:sz w:val="32"/>
          <w:szCs w:val="32"/>
          <w:lang w:val="es-PR"/>
        </w:rPr>
        <w:t xml:space="preserve"> </w:t>
      </w:r>
      <w:r w:rsidRPr="0060385E">
        <w:rPr>
          <w:sz w:val="32"/>
          <w:szCs w:val="32"/>
          <w:lang w:val="es-PR"/>
        </w:rPr>
        <w:t xml:space="preserve">ha entendido que la aprobación bajo la </w:t>
      </w:r>
      <w:proofErr w:type="spellStart"/>
      <w:r w:rsidRPr="0060385E">
        <w:rPr>
          <w:sz w:val="32"/>
          <w:szCs w:val="32"/>
          <w:lang w:val="es-PR"/>
        </w:rPr>
        <w:t>Subparte</w:t>
      </w:r>
      <w:proofErr w:type="spellEnd"/>
      <w:r w:rsidRPr="0060385E">
        <w:rPr>
          <w:sz w:val="32"/>
          <w:szCs w:val="32"/>
          <w:lang w:val="es-PR"/>
        </w:rPr>
        <w:t xml:space="preserve"> H también satisface las condiciones generales de aprobación provistas por la Ley de Alimentos, Medicamentos y Cosméticos. (“Los medicamentos o productos biológicos aprobados bajo estos procedimientos tendrán</w:t>
      </w:r>
    </w:p>
    <w:p w:rsidR="0060385E" w:rsidRPr="0060385E" w:rsidRDefault="0060385E" w:rsidP="0060385E">
      <w:pPr>
        <w:pStyle w:val="NoSpacing"/>
        <w:rPr>
          <w:sz w:val="32"/>
          <w:szCs w:val="32"/>
          <w:lang w:val="es-PR"/>
        </w:rPr>
      </w:pPr>
      <w:r w:rsidRPr="0060385E">
        <w:rPr>
          <w:sz w:val="32"/>
          <w:szCs w:val="32"/>
          <w:lang w:val="es-PR"/>
        </w:rPr>
        <w:t>cumplió con los requisitos de las normas de seguridad y eficacia en virtud de la [Ley] . . .</w:t>
      </w:r>
    </w:p>
    <w:p w:rsidR="0060385E" w:rsidRPr="0060385E" w:rsidRDefault="0060385E" w:rsidP="0060385E">
      <w:pPr>
        <w:pStyle w:val="NoSpacing"/>
        <w:rPr>
          <w:sz w:val="32"/>
          <w:szCs w:val="32"/>
          <w:lang w:val="es-PR"/>
        </w:rPr>
      </w:pPr>
      <w:r w:rsidRPr="0060385E">
        <w:rPr>
          <w:sz w:val="32"/>
          <w:szCs w:val="32"/>
          <w:lang w:val="es-PR"/>
        </w:rPr>
        <w:t>y, por lo tanto, tendrá plena aprobación para su comercialización”).</w:t>
      </w:r>
    </w:p>
    <w:p w:rsidR="0060385E" w:rsidRPr="0060385E" w:rsidRDefault="0060385E" w:rsidP="0060385E">
      <w:pPr>
        <w:pStyle w:val="NoSpacing"/>
        <w:rPr>
          <w:sz w:val="32"/>
          <w:szCs w:val="32"/>
          <w:lang w:val="es-PR"/>
        </w:rPr>
      </w:pPr>
      <w:r w:rsidRPr="0060385E">
        <w:rPr>
          <w:sz w:val="32"/>
          <w:szCs w:val="32"/>
          <w:lang w:val="es-PR"/>
        </w:rPr>
        <w:t>En marzo de 1996, una entidad conocida como e</w:t>
      </w:r>
      <w:r w:rsidR="00990BCC">
        <w:rPr>
          <w:sz w:val="32"/>
          <w:szCs w:val="32"/>
          <w:lang w:val="es-PR"/>
        </w:rPr>
        <w:t xml:space="preserve">l Consejo de Población </w:t>
      </w:r>
      <w:proofErr w:type="spellStart"/>
      <w:r w:rsidR="00990BCC">
        <w:rPr>
          <w:sz w:val="32"/>
          <w:szCs w:val="32"/>
          <w:lang w:val="es-PR"/>
        </w:rPr>
        <w:t>solicitó</w:t>
      </w:r>
      <w:r w:rsidRPr="0060385E">
        <w:rPr>
          <w:sz w:val="32"/>
          <w:szCs w:val="32"/>
          <w:lang w:val="es-PR"/>
        </w:rPr>
        <w:t>para</w:t>
      </w:r>
      <w:proofErr w:type="spellEnd"/>
      <w:r w:rsidRPr="0060385E">
        <w:rPr>
          <w:sz w:val="32"/>
          <w:szCs w:val="32"/>
          <w:lang w:val="es-PR"/>
        </w:rPr>
        <w:t xml:space="preserve"> que la FDA apruebe la </w:t>
      </w:r>
      <w:proofErr w:type="spellStart"/>
      <w:r w:rsidRPr="0060385E">
        <w:rPr>
          <w:sz w:val="32"/>
          <w:szCs w:val="32"/>
          <w:lang w:val="es-PR"/>
        </w:rPr>
        <w:t>mifepristona</w:t>
      </w:r>
      <w:proofErr w:type="spellEnd"/>
      <w:r w:rsidRPr="0060385E">
        <w:rPr>
          <w:sz w:val="32"/>
          <w:szCs w:val="32"/>
          <w:lang w:val="es-PR"/>
        </w:rPr>
        <w:t xml:space="preserve"> como un nuevo fármaco, como parte de un régimen de dos fármacos</w:t>
      </w:r>
    </w:p>
    <w:p w:rsidR="0060385E" w:rsidRPr="0060385E" w:rsidRDefault="0060385E" w:rsidP="0060385E">
      <w:pPr>
        <w:pStyle w:val="NoSpacing"/>
        <w:rPr>
          <w:sz w:val="32"/>
          <w:szCs w:val="32"/>
          <w:lang w:val="es-PR"/>
        </w:rPr>
      </w:pPr>
      <w:r w:rsidRPr="0060385E">
        <w:rPr>
          <w:sz w:val="32"/>
          <w:szCs w:val="32"/>
          <w:lang w:val="es-PR"/>
        </w:rPr>
        <w:t>diseñado para provocar el aborto.1</w:t>
      </w:r>
    </w:p>
    <w:p w:rsidR="00990BCC" w:rsidRDefault="0060385E" w:rsidP="0060385E">
      <w:pPr>
        <w:pStyle w:val="NoSpacing"/>
        <w:rPr>
          <w:sz w:val="32"/>
          <w:szCs w:val="32"/>
          <w:lang w:val="es-PR"/>
        </w:rPr>
      </w:pPr>
      <w:r w:rsidRPr="0060385E">
        <w:rPr>
          <w:sz w:val="32"/>
          <w:szCs w:val="32"/>
          <w:lang w:val="es-PR"/>
        </w:rPr>
        <w:t xml:space="preserve"> </w:t>
      </w:r>
    </w:p>
    <w:p w:rsidR="0060385E" w:rsidRPr="0060385E" w:rsidRDefault="0060385E" w:rsidP="0060385E">
      <w:pPr>
        <w:pStyle w:val="NoSpacing"/>
        <w:rPr>
          <w:sz w:val="32"/>
          <w:szCs w:val="32"/>
          <w:lang w:val="es-PR"/>
        </w:rPr>
      </w:pPr>
      <w:r w:rsidRPr="0060385E">
        <w:rPr>
          <w:sz w:val="32"/>
          <w:szCs w:val="32"/>
          <w:lang w:val="es-PR"/>
        </w:rPr>
        <w:t xml:space="preserve"> El régimen funciona así: Primero, una mujer embarazada</w:t>
      </w:r>
    </w:p>
    <w:p w:rsidR="0060385E" w:rsidRPr="0060385E" w:rsidRDefault="0060385E" w:rsidP="0060385E">
      <w:pPr>
        <w:pStyle w:val="NoSpacing"/>
        <w:rPr>
          <w:sz w:val="32"/>
          <w:szCs w:val="32"/>
          <w:lang w:val="es-PR"/>
        </w:rPr>
      </w:pPr>
      <w:r w:rsidRPr="0060385E">
        <w:rPr>
          <w:sz w:val="32"/>
          <w:szCs w:val="32"/>
          <w:lang w:val="es-PR"/>
        </w:rPr>
        <w:t xml:space="preserve">la mujer toma </w:t>
      </w:r>
      <w:proofErr w:type="spellStart"/>
      <w:r w:rsidRPr="0060385E">
        <w:rPr>
          <w:sz w:val="32"/>
          <w:szCs w:val="32"/>
          <w:lang w:val="es-PR"/>
        </w:rPr>
        <w:t>mifepristona</w:t>
      </w:r>
      <w:proofErr w:type="spellEnd"/>
      <w:r w:rsidRPr="0060385E">
        <w:rPr>
          <w:sz w:val="32"/>
          <w:szCs w:val="32"/>
          <w:lang w:val="es-PR"/>
        </w:rPr>
        <w:t>, que suprime la producción de la hormona</w:t>
      </w:r>
    </w:p>
    <w:p w:rsidR="0060385E" w:rsidRPr="0060385E" w:rsidRDefault="0060385E" w:rsidP="0060385E">
      <w:pPr>
        <w:pStyle w:val="NoSpacing"/>
        <w:rPr>
          <w:sz w:val="32"/>
          <w:szCs w:val="32"/>
          <w:lang w:val="es-PR"/>
        </w:rPr>
      </w:pPr>
      <w:r w:rsidRPr="0060385E">
        <w:rPr>
          <w:sz w:val="32"/>
          <w:szCs w:val="32"/>
          <w:lang w:val="es-PR"/>
        </w:rPr>
        <w:t xml:space="preserve">progesterona. La progesterona es necesaria para que el embarazo continúe; prepara y mantiene el revestimiento uterino y estimula la producción de nutrientes. Después de tomar </w:t>
      </w:r>
      <w:proofErr w:type="spellStart"/>
      <w:r w:rsidRPr="0060385E">
        <w:rPr>
          <w:sz w:val="32"/>
          <w:szCs w:val="32"/>
          <w:lang w:val="es-PR"/>
        </w:rPr>
        <w:t>mifepristona</w:t>
      </w:r>
      <w:proofErr w:type="spellEnd"/>
      <w:r w:rsidRPr="0060385E">
        <w:rPr>
          <w:sz w:val="32"/>
          <w:szCs w:val="32"/>
          <w:lang w:val="es-PR"/>
        </w:rPr>
        <w:t xml:space="preserve">, un paciente toma </w:t>
      </w:r>
      <w:proofErr w:type="spellStart"/>
      <w:r w:rsidRPr="0060385E">
        <w:rPr>
          <w:sz w:val="32"/>
          <w:szCs w:val="32"/>
          <w:lang w:val="es-PR"/>
        </w:rPr>
        <w:t>misoprostol</w:t>
      </w:r>
      <w:proofErr w:type="spellEnd"/>
      <w:r w:rsidRPr="0060385E">
        <w:rPr>
          <w:sz w:val="32"/>
          <w:szCs w:val="32"/>
          <w:lang w:val="es-PR"/>
        </w:rPr>
        <w:t>, que provoca la</w:t>
      </w:r>
    </w:p>
    <w:p w:rsidR="0060385E" w:rsidRPr="0060385E" w:rsidRDefault="0060385E" w:rsidP="0060385E">
      <w:pPr>
        <w:pStyle w:val="NoSpacing"/>
        <w:rPr>
          <w:sz w:val="32"/>
          <w:szCs w:val="32"/>
          <w:lang w:val="es-PR"/>
        </w:rPr>
      </w:pPr>
      <w:r w:rsidRPr="0060385E">
        <w:rPr>
          <w:sz w:val="32"/>
          <w:szCs w:val="32"/>
          <w:lang w:val="es-PR"/>
        </w:rPr>
        <w:t>útero a calambres y expulsar su contenido.</w:t>
      </w:r>
    </w:p>
    <w:p w:rsidR="0060385E" w:rsidRPr="0060385E" w:rsidRDefault="0060385E" w:rsidP="0060385E">
      <w:pPr>
        <w:pStyle w:val="NoSpacing"/>
        <w:rPr>
          <w:sz w:val="32"/>
          <w:szCs w:val="32"/>
          <w:lang w:val="es-PR"/>
        </w:rPr>
      </w:pPr>
      <w:r w:rsidRPr="0060385E">
        <w:rPr>
          <w:sz w:val="32"/>
          <w:szCs w:val="32"/>
          <w:lang w:val="es-PR"/>
        </w:rPr>
        <w:lastRenderedPageBreak/>
        <w:t>Como parte de la solicitud de nuevos medicamentos, el Consejo de Población se bas</w:t>
      </w:r>
      <w:r w:rsidR="00990BCC">
        <w:rPr>
          <w:sz w:val="32"/>
          <w:szCs w:val="32"/>
          <w:lang w:val="es-PR"/>
        </w:rPr>
        <w:t xml:space="preserve">ó </w:t>
      </w:r>
      <w:proofErr w:type="spellStart"/>
      <w:r w:rsidR="00990BCC">
        <w:rPr>
          <w:sz w:val="32"/>
          <w:szCs w:val="32"/>
          <w:lang w:val="es-PR"/>
        </w:rPr>
        <w:t>en</w:t>
      </w:r>
      <w:r w:rsidRPr="0060385E">
        <w:rPr>
          <w:sz w:val="32"/>
          <w:szCs w:val="32"/>
          <w:lang w:val="es-PR"/>
        </w:rPr>
        <w:t>tres</w:t>
      </w:r>
      <w:proofErr w:type="spellEnd"/>
      <w:r w:rsidRPr="0060385E">
        <w:rPr>
          <w:sz w:val="32"/>
          <w:szCs w:val="32"/>
          <w:lang w:val="es-PR"/>
        </w:rPr>
        <w:t xml:space="preserve"> estudios clínicos, uno realizado en los Estados Unidos y dos realizados</w:t>
      </w:r>
    </w:p>
    <w:p w:rsidR="0060385E" w:rsidRPr="0060385E" w:rsidRDefault="0060385E" w:rsidP="0060385E">
      <w:pPr>
        <w:pStyle w:val="NoSpacing"/>
        <w:rPr>
          <w:sz w:val="32"/>
          <w:szCs w:val="32"/>
          <w:lang w:val="es-PR"/>
        </w:rPr>
      </w:pPr>
      <w:r w:rsidRPr="0060385E">
        <w:rPr>
          <w:sz w:val="32"/>
          <w:szCs w:val="32"/>
          <w:lang w:val="es-PR"/>
        </w:rPr>
        <w:t>_____________________</w:t>
      </w:r>
    </w:p>
    <w:p w:rsidR="0060385E" w:rsidRPr="0060385E" w:rsidRDefault="0060385E" w:rsidP="0060385E">
      <w:pPr>
        <w:pStyle w:val="NoSpacing"/>
        <w:rPr>
          <w:sz w:val="32"/>
          <w:szCs w:val="32"/>
          <w:lang w:val="es-PR"/>
        </w:rPr>
      </w:pPr>
      <w:r w:rsidRPr="0060385E">
        <w:rPr>
          <w:sz w:val="32"/>
          <w:szCs w:val="32"/>
          <w:lang w:val="es-PR"/>
        </w:rPr>
        <w:t>1</w:t>
      </w:r>
    </w:p>
    <w:p w:rsidR="0060385E" w:rsidRPr="0060385E" w:rsidRDefault="0060385E" w:rsidP="0060385E">
      <w:pPr>
        <w:pStyle w:val="NoSpacing"/>
        <w:rPr>
          <w:sz w:val="32"/>
          <w:szCs w:val="32"/>
          <w:lang w:val="es-PR"/>
        </w:rPr>
      </w:pPr>
      <w:r w:rsidRPr="0060385E">
        <w:rPr>
          <w:sz w:val="32"/>
          <w:szCs w:val="32"/>
          <w:lang w:val="es-PR"/>
        </w:rPr>
        <w:t xml:space="preserve">  El Consejo de Población es una organización sin fines de lucr</w:t>
      </w:r>
      <w:r>
        <w:rPr>
          <w:sz w:val="32"/>
          <w:szCs w:val="32"/>
          <w:lang w:val="es-PR"/>
        </w:rPr>
        <w:t xml:space="preserve">o. </w:t>
      </w:r>
      <w:proofErr w:type="spellStart"/>
      <w:r>
        <w:rPr>
          <w:sz w:val="32"/>
          <w:szCs w:val="32"/>
          <w:lang w:val="es-PR"/>
        </w:rPr>
        <w:t>Roussel</w:t>
      </w:r>
      <w:proofErr w:type="spellEnd"/>
      <w:r>
        <w:rPr>
          <w:sz w:val="32"/>
          <w:szCs w:val="32"/>
          <w:lang w:val="es-PR"/>
        </w:rPr>
        <w:t xml:space="preserve"> </w:t>
      </w:r>
      <w:proofErr w:type="spellStart"/>
      <w:r>
        <w:rPr>
          <w:sz w:val="32"/>
          <w:szCs w:val="32"/>
          <w:lang w:val="es-PR"/>
        </w:rPr>
        <w:t>Uclaf</w:t>
      </w:r>
      <w:proofErr w:type="spellEnd"/>
      <w:r>
        <w:rPr>
          <w:sz w:val="32"/>
          <w:szCs w:val="32"/>
          <w:lang w:val="es-PR"/>
        </w:rPr>
        <w:t xml:space="preserve">, los franceses </w:t>
      </w:r>
      <w:r w:rsidRPr="0060385E">
        <w:rPr>
          <w:sz w:val="32"/>
          <w:szCs w:val="32"/>
          <w:lang w:val="es-PR"/>
        </w:rPr>
        <w:t xml:space="preserve">compañía farmacéutica que originalmente desarrolló la </w:t>
      </w:r>
      <w:proofErr w:type="spellStart"/>
      <w:r w:rsidRPr="0060385E">
        <w:rPr>
          <w:sz w:val="32"/>
          <w:szCs w:val="32"/>
          <w:lang w:val="es-PR"/>
        </w:rPr>
        <w:t>m</w:t>
      </w:r>
      <w:r>
        <w:rPr>
          <w:sz w:val="32"/>
          <w:szCs w:val="32"/>
          <w:lang w:val="es-PR"/>
        </w:rPr>
        <w:t>ifepristona</w:t>
      </w:r>
      <w:proofErr w:type="spellEnd"/>
      <w:r>
        <w:rPr>
          <w:sz w:val="32"/>
          <w:szCs w:val="32"/>
          <w:lang w:val="es-PR"/>
        </w:rPr>
        <w:t xml:space="preserve">, donó la American </w:t>
      </w:r>
      <w:r w:rsidRPr="0060385E">
        <w:rPr>
          <w:sz w:val="32"/>
          <w:szCs w:val="32"/>
          <w:lang w:val="es-PR"/>
        </w:rPr>
        <w:t>derechos de patente al Consejo de Población en 1994. El Consejo de Población entonces otorgó</w:t>
      </w:r>
    </w:p>
    <w:p w:rsidR="0060385E" w:rsidRPr="0060385E" w:rsidRDefault="0060385E" w:rsidP="0060385E">
      <w:pPr>
        <w:pStyle w:val="NoSpacing"/>
        <w:rPr>
          <w:sz w:val="32"/>
          <w:szCs w:val="32"/>
          <w:lang w:val="es-PR"/>
        </w:rPr>
      </w:pPr>
      <w:proofErr w:type="spellStart"/>
      <w:r w:rsidRPr="0060385E">
        <w:rPr>
          <w:sz w:val="32"/>
          <w:szCs w:val="32"/>
          <w:lang w:val="es-PR"/>
        </w:rPr>
        <w:t>Danco</w:t>
      </w:r>
      <w:proofErr w:type="spellEnd"/>
      <w:r w:rsidRPr="0060385E">
        <w:rPr>
          <w:sz w:val="32"/>
          <w:szCs w:val="32"/>
          <w:lang w:val="es-PR"/>
        </w:rPr>
        <w:t xml:space="preserve"> una licencia exclusiva para fabricar y distribuir </w:t>
      </w:r>
      <w:proofErr w:type="spellStart"/>
      <w:r w:rsidRPr="0060385E">
        <w:rPr>
          <w:sz w:val="32"/>
          <w:szCs w:val="32"/>
          <w:lang w:val="es-PR"/>
        </w:rPr>
        <w:t>Mifeprex</w:t>
      </w:r>
      <w:proofErr w:type="spellEnd"/>
      <w:r w:rsidRPr="0060385E">
        <w:rPr>
          <w:sz w:val="32"/>
          <w:szCs w:val="32"/>
          <w:lang w:val="es-PR"/>
        </w:rPr>
        <w:t xml:space="preserve"> en los Estados Unidos.</w:t>
      </w:r>
    </w:p>
    <w:p w:rsidR="0060385E" w:rsidRDefault="0060385E" w:rsidP="0060385E">
      <w:pPr>
        <w:pStyle w:val="NoSpacing"/>
        <w:rPr>
          <w:sz w:val="32"/>
          <w:szCs w:val="32"/>
          <w:lang w:val="es-PR"/>
        </w:rPr>
      </w:pPr>
    </w:p>
    <w:p w:rsidR="0060385E" w:rsidRDefault="0060385E" w:rsidP="0060385E">
      <w:pPr>
        <w:pStyle w:val="NoSpacing"/>
        <w:rPr>
          <w:sz w:val="32"/>
          <w:szCs w:val="32"/>
          <w:lang w:val="es-PR"/>
        </w:rPr>
      </w:pPr>
      <w:r>
        <w:rPr>
          <w:sz w:val="32"/>
          <w:szCs w:val="32"/>
          <w:lang w:val="es-PR"/>
        </w:rPr>
        <w:t>E</w:t>
      </w:r>
      <w:r w:rsidRPr="0060385E">
        <w:rPr>
          <w:sz w:val="32"/>
          <w:szCs w:val="32"/>
          <w:lang w:val="es-PR"/>
        </w:rPr>
        <w:t>n Francia. Los estudios pretendían demostrar qu</w:t>
      </w:r>
      <w:r>
        <w:rPr>
          <w:sz w:val="32"/>
          <w:szCs w:val="32"/>
          <w:lang w:val="es-PR"/>
        </w:rPr>
        <w:t xml:space="preserve">e la </w:t>
      </w:r>
      <w:proofErr w:type="spellStart"/>
      <w:r>
        <w:rPr>
          <w:sz w:val="32"/>
          <w:szCs w:val="32"/>
          <w:lang w:val="es-PR"/>
        </w:rPr>
        <w:t>mifepristona</w:t>
      </w:r>
      <w:proofErr w:type="spellEnd"/>
      <w:r>
        <w:rPr>
          <w:sz w:val="32"/>
          <w:szCs w:val="32"/>
          <w:lang w:val="es-PR"/>
        </w:rPr>
        <w:t xml:space="preserve"> era eficaz en </w:t>
      </w:r>
      <w:r w:rsidRPr="0060385E">
        <w:rPr>
          <w:sz w:val="32"/>
          <w:szCs w:val="32"/>
          <w:lang w:val="es-PR"/>
        </w:rPr>
        <w:t>la mayoría de los casos, en las condiciones impu</w:t>
      </w:r>
      <w:r>
        <w:rPr>
          <w:sz w:val="32"/>
          <w:szCs w:val="32"/>
          <w:lang w:val="es-PR"/>
        </w:rPr>
        <w:t xml:space="preserve">estas en cada estudio. Aquellos </w:t>
      </w:r>
      <w:r w:rsidRPr="0060385E">
        <w:rPr>
          <w:sz w:val="32"/>
          <w:szCs w:val="32"/>
          <w:lang w:val="es-PR"/>
        </w:rPr>
        <w:t>las condiciones incluyeron: un ultrasonido para verificar la edad gestacional y diagnosticar embarazos ectópicos; que los médicos que prescriben tiene</w:t>
      </w:r>
      <w:r>
        <w:rPr>
          <w:sz w:val="32"/>
          <w:szCs w:val="32"/>
          <w:lang w:val="es-PR"/>
        </w:rPr>
        <w:t xml:space="preserve">n experiencia en la realización </w:t>
      </w:r>
      <w:r w:rsidRPr="0060385E">
        <w:rPr>
          <w:sz w:val="32"/>
          <w:szCs w:val="32"/>
          <w:lang w:val="es-PR"/>
        </w:rPr>
        <w:t>abortos quirúrgicos y tener privilegios de admisió</w:t>
      </w:r>
      <w:r>
        <w:rPr>
          <w:sz w:val="32"/>
          <w:szCs w:val="32"/>
          <w:lang w:val="es-PR"/>
        </w:rPr>
        <w:t xml:space="preserve">n en un hospital cercano; que </w:t>
      </w:r>
      <w:r w:rsidRPr="0060385E">
        <w:rPr>
          <w:sz w:val="32"/>
          <w:szCs w:val="32"/>
          <w:lang w:val="es-PR"/>
        </w:rPr>
        <w:t xml:space="preserve">las instalaciones de prueba estén ubicadas cerca de un hospital local; y un período de seguimiento de cuatro horas después de tomar </w:t>
      </w:r>
      <w:proofErr w:type="spellStart"/>
      <w:r w:rsidRPr="0060385E">
        <w:rPr>
          <w:sz w:val="32"/>
          <w:szCs w:val="32"/>
          <w:lang w:val="es-PR"/>
        </w:rPr>
        <w:t>misoprostol</w:t>
      </w:r>
      <w:proofErr w:type="spellEnd"/>
      <w:r w:rsidRPr="0060385E">
        <w:rPr>
          <w:sz w:val="32"/>
          <w:szCs w:val="32"/>
          <w:lang w:val="es-PR"/>
        </w:rPr>
        <w:t>.</w:t>
      </w:r>
    </w:p>
    <w:p w:rsidR="0060385E" w:rsidRDefault="0060385E" w:rsidP="0060385E">
      <w:pPr>
        <w:pStyle w:val="NoSpacing"/>
        <w:rPr>
          <w:sz w:val="32"/>
          <w:szCs w:val="32"/>
          <w:lang w:val="es-PR"/>
        </w:rPr>
      </w:pPr>
    </w:p>
    <w:p w:rsidR="0060385E" w:rsidRPr="0060385E" w:rsidRDefault="0060385E" w:rsidP="0060385E">
      <w:pPr>
        <w:pStyle w:val="NoSpacing"/>
        <w:rPr>
          <w:sz w:val="32"/>
          <w:szCs w:val="32"/>
          <w:lang w:val="es-PR"/>
        </w:rPr>
      </w:pPr>
      <w:r w:rsidRPr="0060385E">
        <w:rPr>
          <w:sz w:val="32"/>
          <w:szCs w:val="32"/>
          <w:lang w:val="es-PR"/>
        </w:rPr>
        <w:t xml:space="preserve">Aunque la </w:t>
      </w:r>
      <w:proofErr w:type="spellStart"/>
      <w:r w:rsidRPr="0060385E">
        <w:rPr>
          <w:sz w:val="32"/>
          <w:szCs w:val="32"/>
          <w:lang w:val="es-PR"/>
        </w:rPr>
        <w:t>mifepristona</w:t>
      </w:r>
      <w:proofErr w:type="spellEnd"/>
      <w:r w:rsidRPr="0060385E">
        <w:rPr>
          <w:sz w:val="32"/>
          <w:szCs w:val="32"/>
          <w:lang w:val="es-PR"/>
        </w:rPr>
        <w:t xml:space="preserve"> fue efectiva para la mayoría</w:t>
      </w:r>
      <w:r>
        <w:rPr>
          <w:sz w:val="32"/>
          <w:szCs w:val="32"/>
          <w:lang w:val="es-PR"/>
        </w:rPr>
        <w:t xml:space="preserve"> de los pacientes, </w:t>
      </w:r>
      <w:proofErr w:type="gramStart"/>
      <w:r>
        <w:rPr>
          <w:sz w:val="32"/>
          <w:szCs w:val="32"/>
          <w:lang w:val="es-PR"/>
        </w:rPr>
        <w:t xml:space="preserve">los estudios </w:t>
      </w:r>
      <w:r w:rsidRPr="0060385E">
        <w:rPr>
          <w:sz w:val="32"/>
          <w:szCs w:val="32"/>
          <w:lang w:val="es-PR"/>
        </w:rPr>
        <w:t>mostró</w:t>
      </w:r>
      <w:proofErr w:type="gramEnd"/>
      <w:r w:rsidRPr="0060385E">
        <w:rPr>
          <w:sz w:val="32"/>
          <w:szCs w:val="32"/>
          <w:lang w:val="es-PR"/>
        </w:rPr>
        <w:t xml:space="preserve"> una tendencia de eventos adversos para algunas mujeres. Según la FDA, se requirió una "intervención quirúrgica" en el 7,9 % de los su</w:t>
      </w:r>
      <w:r>
        <w:rPr>
          <w:sz w:val="32"/>
          <w:szCs w:val="32"/>
          <w:lang w:val="es-PR"/>
        </w:rPr>
        <w:t xml:space="preserve">jetos del ensayo estadounidense </w:t>
      </w:r>
      <w:r w:rsidRPr="0060385E">
        <w:rPr>
          <w:sz w:val="32"/>
          <w:szCs w:val="32"/>
          <w:lang w:val="es-PR"/>
        </w:rPr>
        <w:t>y 4,5% de los sujetos en los ensayos franceses. Los m</w:t>
      </w:r>
      <w:r>
        <w:rPr>
          <w:sz w:val="32"/>
          <w:szCs w:val="32"/>
          <w:lang w:val="es-PR"/>
        </w:rPr>
        <w:t xml:space="preserve">otivos de la cirugía incluyeron </w:t>
      </w:r>
      <w:r w:rsidRPr="0060385E">
        <w:rPr>
          <w:sz w:val="32"/>
          <w:szCs w:val="32"/>
          <w:lang w:val="es-PR"/>
        </w:rPr>
        <w:t>sangrado abundante, infección, aborto incompleto y embarazo en curso—</w:t>
      </w:r>
    </w:p>
    <w:p w:rsidR="0060385E" w:rsidRPr="0060385E" w:rsidRDefault="0060385E" w:rsidP="0060385E">
      <w:pPr>
        <w:pStyle w:val="NoSpacing"/>
        <w:rPr>
          <w:sz w:val="32"/>
          <w:szCs w:val="32"/>
          <w:lang w:val="es-PR"/>
        </w:rPr>
      </w:pPr>
      <w:r w:rsidRPr="0060385E">
        <w:rPr>
          <w:sz w:val="32"/>
          <w:szCs w:val="32"/>
          <w:lang w:val="es-PR"/>
        </w:rPr>
        <w:t>lo que significa que el embrión o feto continuó creciendo y desarrollándose.</w:t>
      </w:r>
    </w:p>
    <w:p w:rsidR="0060385E" w:rsidRDefault="0060385E" w:rsidP="0060385E">
      <w:pPr>
        <w:pStyle w:val="NoSpacing"/>
        <w:rPr>
          <w:sz w:val="32"/>
          <w:szCs w:val="32"/>
          <w:lang w:val="es-PR"/>
        </w:rPr>
      </w:pPr>
    </w:p>
    <w:p w:rsidR="0060385E" w:rsidRPr="0060385E" w:rsidRDefault="0060385E" w:rsidP="0060385E">
      <w:pPr>
        <w:pStyle w:val="NoSpacing"/>
        <w:rPr>
          <w:sz w:val="32"/>
          <w:szCs w:val="32"/>
          <w:lang w:val="es-PR"/>
        </w:rPr>
      </w:pPr>
      <w:r w:rsidRPr="0060385E">
        <w:rPr>
          <w:sz w:val="32"/>
          <w:szCs w:val="32"/>
          <w:lang w:val="es-PR"/>
        </w:rPr>
        <w:t xml:space="preserve">La FDA aprobó la solicitud del nuevo fármaco en septiembre de 2000. Las cartas que la agencia envió al Consejo de Población explicaban que </w:t>
      </w:r>
      <w:r w:rsidRPr="0060385E">
        <w:rPr>
          <w:sz w:val="32"/>
          <w:szCs w:val="32"/>
          <w:lang w:val="es-PR"/>
        </w:rPr>
        <w:lastRenderedPageBreak/>
        <w:t xml:space="preserve">la aprobación estaba “bajo la </w:t>
      </w:r>
      <w:proofErr w:type="spellStart"/>
      <w:r w:rsidRPr="0060385E">
        <w:rPr>
          <w:sz w:val="32"/>
          <w:szCs w:val="32"/>
          <w:lang w:val="es-PR"/>
        </w:rPr>
        <w:t>Subparte</w:t>
      </w:r>
      <w:proofErr w:type="spellEnd"/>
      <w:r w:rsidRPr="0060385E">
        <w:rPr>
          <w:sz w:val="32"/>
          <w:szCs w:val="32"/>
          <w:lang w:val="es-PR"/>
        </w:rPr>
        <w:t xml:space="preserve"> H”. Memorándum de aprobac</w:t>
      </w:r>
      <w:r>
        <w:rPr>
          <w:sz w:val="32"/>
          <w:szCs w:val="32"/>
          <w:lang w:val="es-PR"/>
        </w:rPr>
        <w:t>ión de la FDA para la población</w:t>
      </w:r>
      <w:r w:rsidRPr="0060385E">
        <w:rPr>
          <w:sz w:val="32"/>
          <w:szCs w:val="32"/>
          <w:lang w:val="es-PR"/>
        </w:rPr>
        <w:t xml:space="preserve"> (28 de septiembre de 2000). Esto fue por dos razones. Primero, la FDA entendió que </w:t>
      </w:r>
      <w:proofErr w:type="spellStart"/>
      <w:r w:rsidRPr="0060385E">
        <w:rPr>
          <w:sz w:val="32"/>
          <w:szCs w:val="32"/>
          <w:lang w:val="es-PR"/>
        </w:rPr>
        <w:t>Mifeprex</w:t>
      </w:r>
      <w:proofErr w:type="spellEnd"/>
      <w:r w:rsidRPr="0060385E">
        <w:rPr>
          <w:sz w:val="32"/>
          <w:szCs w:val="32"/>
          <w:lang w:val="es-PR"/>
        </w:rPr>
        <w:t xml:space="preserve"> era un medicamento que trataba una enfermedad</w:t>
      </w:r>
      <w:r>
        <w:rPr>
          <w:sz w:val="32"/>
          <w:szCs w:val="32"/>
          <w:lang w:val="es-PR"/>
        </w:rPr>
        <w:t xml:space="preserve"> grave o potencialmente </w:t>
      </w:r>
      <w:proofErr w:type="gramStart"/>
      <w:r>
        <w:rPr>
          <w:sz w:val="32"/>
          <w:szCs w:val="32"/>
          <w:lang w:val="es-PR"/>
        </w:rPr>
        <w:t>mortal.</w:t>
      </w:r>
      <w:r w:rsidRPr="0060385E">
        <w:rPr>
          <w:sz w:val="32"/>
          <w:szCs w:val="32"/>
          <w:lang w:val="es-PR"/>
        </w:rPr>
        <w:t>(</w:t>
      </w:r>
      <w:proofErr w:type="gramEnd"/>
      <w:r w:rsidRPr="0060385E">
        <w:rPr>
          <w:sz w:val="32"/>
          <w:szCs w:val="32"/>
          <w:lang w:val="es-PR"/>
        </w:rPr>
        <w:t>“La FDA ha determinado que la terminaci</w:t>
      </w:r>
      <w:r>
        <w:rPr>
          <w:sz w:val="32"/>
          <w:szCs w:val="32"/>
          <w:lang w:val="es-PR"/>
        </w:rPr>
        <w:t xml:space="preserve">ón de un embarazo no deseado es </w:t>
      </w:r>
      <w:r w:rsidRPr="0060385E">
        <w:rPr>
          <w:sz w:val="32"/>
          <w:szCs w:val="32"/>
          <w:lang w:val="es-PR"/>
        </w:rPr>
        <w:t xml:space="preserve">una condición grave dentro del alcance. El beneficio terapéutico significativo sobre el aborto quirúrgico existente es evitar un procedimiento quirúrgico”). Y segundo, se requirió la </w:t>
      </w:r>
      <w:r>
        <w:rPr>
          <w:sz w:val="32"/>
          <w:szCs w:val="32"/>
          <w:lang w:val="es-PR"/>
        </w:rPr>
        <w:t xml:space="preserve">porque </w:t>
      </w:r>
      <w:proofErr w:type="spellStart"/>
      <w:r>
        <w:rPr>
          <w:sz w:val="32"/>
          <w:szCs w:val="32"/>
          <w:lang w:val="es-PR"/>
        </w:rPr>
        <w:t>Mifeprex</w:t>
      </w:r>
      <w:proofErr w:type="spellEnd"/>
      <w:r>
        <w:rPr>
          <w:sz w:val="32"/>
          <w:szCs w:val="32"/>
          <w:lang w:val="es-PR"/>
        </w:rPr>
        <w:t xml:space="preserve"> no pudo </w:t>
      </w:r>
      <w:r w:rsidRPr="0060385E">
        <w:rPr>
          <w:sz w:val="32"/>
          <w:szCs w:val="32"/>
          <w:lang w:val="es-PR"/>
        </w:rPr>
        <w:t xml:space="preserve">administrarse de forma segura sin imponer ciertas restricciones de uso. Identificación. (“La </w:t>
      </w:r>
      <w:proofErr w:type="spellStart"/>
      <w:r w:rsidRPr="0060385E">
        <w:rPr>
          <w:sz w:val="32"/>
          <w:szCs w:val="32"/>
          <w:lang w:val="es-PR"/>
        </w:rPr>
        <w:t>subparte</w:t>
      </w:r>
      <w:proofErr w:type="spellEnd"/>
      <w:r w:rsidRPr="0060385E">
        <w:rPr>
          <w:sz w:val="32"/>
          <w:szCs w:val="32"/>
          <w:lang w:val="es-PR"/>
        </w:rPr>
        <w:t xml:space="preserve"> H se aplica cuando la FDA concluye que un producto farmacéutico que ha demostrado ser efectivo puede usarse de manera segura solo si la distribución o el uso están restringidos...”).</w:t>
      </w:r>
    </w:p>
    <w:p w:rsidR="0060385E" w:rsidRDefault="0060385E" w:rsidP="0060385E">
      <w:pPr>
        <w:pStyle w:val="NoSpacing"/>
        <w:rPr>
          <w:sz w:val="32"/>
          <w:szCs w:val="32"/>
          <w:lang w:val="es-PR"/>
        </w:rPr>
      </w:pPr>
    </w:p>
    <w:p w:rsidR="0060385E" w:rsidRPr="0060385E" w:rsidRDefault="0060385E" w:rsidP="0060385E">
      <w:pPr>
        <w:pStyle w:val="NoSpacing"/>
        <w:rPr>
          <w:sz w:val="32"/>
          <w:szCs w:val="32"/>
          <w:lang w:val="es-PR"/>
        </w:rPr>
      </w:pPr>
      <w:r w:rsidRPr="0060385E">
        <w:rPr>
          <w:sz w:val="32"/>
          <w:szCs w:val="32"/>
          <w:lang w:val="es-PR"/>
        </w:rPr>
        <w:t>Para abordar los riesgos de seguridad discutid</w:t>
      </w:r>
      <w:r>
        <w:rPr>
          <w:sz w:val="32"/>
          <w:szCs w:val="32"/>
          <w:lang w:val="es-PR"/>
        </w:rPr>
        <w:t>os anteriormente, la FDA impuso</w:t>
      </w:r>
      <w:r w:rsidR="00990BCC">
        <w:rPr>
          <w:sz w:val="32"/>
          <w:szCs w:val="32"/>
          <w:lang w:val="es-PR"/>
        </w:rPr>
        <w:t xml:space="preserve"> </w:t>
      </w:r>
      <w:r w:rsidRPr="0060385E">
        <w:rPr>
          <w:sz w:val="32"/>
          <w:szCs w:val="32"/>
          <w:lang w:val="es-PR"/>
        </w:rPr>
        <w:t>varias salvaguardas. Primero, requería la siguiente advertencia de recuadro negro:</w:t>
      </w:r>
      <w:r>
        <w:rPr>
          <w:sz w:val="32"/>
          <w:szCs w:val="32"/>
          <w:lang w:val="es-PR"/>
        </w:rPr>
        <w:t xml:space="preserve"> </w:t>
      </w:r>
      <w:r w:rsidRPr="0060385E">
        <w:rPr>
          <w:sz w:val="32"/>
          <w:szCs w:val="32"/>
          <w:lang w:val="es-PR"/>
        </w:rPr>
        <w:t xml:space="preserve">Si </w:t>
      </w:r>
      <w:proofErr w:type="spellStart"/>
      <w:r w:rsidRPr="0060385E">
        <w:rPr>
          <w:sz w:val="32"/>
          <w:szCs w:val="32"/>
          <w:lang w:val="es-PR"/>
        </w:rPr>
        <w:t>Mifeprex</w:t>
      </w:r>
      <w:proofErr w:type="spellEnd"/>
      <w:r w:rsidRPr="0060385E">
        <w:rPr>
          <w:sz w:val="32"/>
          <w:szCs w:val="32"/>
          <w:lang w:val="es-PR"/>
        </w:rPr>
        <w:t xml:space="preserve"> resulta en un aborto incompleto, puede ser necesaria una intervención quirúrgica. Los prescriptores deben determinar de antemano si brindarán dicha atención ellos mismos o</w:t>
      </w:r>
    </w:p>
    <w:p w:rsidR="0060385E" w:rsidRDefault="0060385E" w:rsidP="0060385E">
      <w:pPr>
        <w:pStyle w:val="NoSpacing"/>
        <w:rPr>
          <w:sz w:val="32"/>
          <w:szCs w:val="32"/>
          <w:lang w:val="es-PR"/>
        </w:rPr>
      </w:pPr>
      <w:r w:rsidRPr="0060385E">
        <w:rPr>
          <w:sz w:val="32"/>
          <w:szCs w:val="32"/>
          <w:lang w:val="es-PR"/>
        </w:rPr>
        <w:t>a través de otros proveedores. Los prescriptores ta</w:t>
      </w:r>
      <w:r>
        <w:rPr>
          <w:sz w:val="32"/>
          <w:szCs w:val="32"/>
          <w:lang w:val="es-PR"/>
        </w:rPr>
        <w:t>mbién deben dar a los pacientes</w:t>
      </w:r>
      <w:r w:rsidR="00990BCC">
        <w:rPr>
          <w:sz w:val="32"/>
          <w:szCs w:val="32"/>
          <w:lang w:val="es-PR"/>
        </w:rPr>
        <w:t xml:space="preserve"> </w:t>
      </w:r>
      <w:r w:rsidRPr="0060385E">
        <w:rPr>
          <w:sz w:val="32"/>
          <w:szCs w:val="32"/>
          <w:lang w:val="es-PR"/>
        </w:rPr>
        <w:t>instrucciones claras de a quié</w:t>
      </w:r>
      <w:r>
        <w:rPr>
          <w:sz w:val="32"/>
          <w:szCs w:val="32"/>
          <w:lang w:val="es-PR"/>
        </w:rPr>
        <w:t xml:space="preserve">n llamar y qué hacer en caso </w:t>
      </w:r>
      <w:r w:rsidRPr="0060385E">
        <w:rPr>
          <w:sz w:val="32"/>
          <w:szCs w:val="32"/>
          <w:lang w:val="es-PR"/>
        </w:rPr>
        <w:t xml:space="preserve">de una emergencia después de la administración de </w:t>
      </w:r>
      <w:proofErr w:type="spellStart"/>
      <w:r w:rsidRPr="0060385E">
        <w:rPr>
          <w:sz w:val="32"/>
          <w:szCs w:val="32"/>
          <w:lang w:val="es-PR"/>
        </w:rPr>
        <w:t>Mifeprex</w:t>
      </w:r>
      <w:proofErr w:type="spellEnd"/>
      <w:r w:rsidRPr="0060385E">
        <w:rPr>
          <w:sz w:val="32"/>
          <w:szCs w:val="32"/>
          <w:lang w:val="es-PR"/>
        </w:rPr>
        <w:t>.</w:t>
      </w:r>
    </w:p>
    <w:p w:rsidR="00990BCC" w:rsidRDefault="00990BCC" w:rsidP="0060385E">
      <w:pPr>
        <w:pStyle w:val="NoSpacing"/>
        <w:rPr>
          <w:sz w:val="32"/>
          <w:szCs w:val="32"/>
          <w:lang w:val="es-PR"/>
        </w:rPr>
      </w:pPr>
    </w:p>
    <w:p w:rsidR="00990BCC" w:rsidRPr="00990BCC" w:rsidRDefault="00990BCC" w:rsidP="00990BCC">
      <w:pPr>
        <w:pStyle w:val="NoSpacing"/>
        <w:rPr>
          <w:sz w:val="32"/>
          <w:szCs w:val="32"/>
          <w:lang w:val="es-PR"/>
        </w:rPr>
      </w:pPr>
      <w:r w:rsidRPr="00990BCC">
        <w:rPr>
          <w:sz w:val="32"/>
          <w:szCs w:val="32"/>
          <w:lang w:val="es-PR"/>
        </w:rPr>
        <w:t>Memorándum de aprobación en 2. La FDA también estableció los siguientes controles sobr</w:t>
      </w:r>
      <w:r>
        <w:rPr>
          <w:sz w:val="32"/>
          <w:szCs w:val="32"/>
          <w:lang w:val="es-PR"/>
        </w:rPr>
        <w:t xml:space="preserve">e el uso </w:t>
      </w:r>
      <w:r w:rsidRPr="00990BCC">
        <w:rPr>
          <w:sz w:val="32"/>
          <w:szCs w:val="32"/>
          <w:lang w:val="es-PR"/>
        </w:rPr>
        <w:t xml:space="preserve">y prescripción de </w:t>
      </w:r>
      <w:proofErr w:type="spellStart"/>
      <w:r w:rsidRPr="00990BCC">
        <w:rPr>
          <w:sz w:val="32"/>
          <w:szCs w:val="32"/>
          <w:lang w:val="es-PR"/>
        </w:rPr>
        <w:t>Mifeprex</w:t>
      </w:r>
      <w:proofErr w:type="spellEnd"/>
      <w:r w:rsidRPr="00990BCC">
        <w:rPr>
          <w:sz w:val="32"/>
          <w:szCs w:val="32"/>
          <w:lang w:val="es-PR"/>
        </w:rPr>
        <w:t>:</w:t>
      </w:r>
    </w:p>
    <w:p w:rsidR="00990BCC" w:rsidRPr="00990BCC" w:rsidRDefault="00990BCC" w:rsidP="00990BCC">
      <w:pPr>
        <w:pStyle w:val="NoSpacing"/>
        <w:rPr>
          <w:sz w:val="32"/>
          <w:szCs w:val="32"/>
          <w:lang w:val="es-PR"/>
        </w:rPr>
      </w:pPr>
      <w:r w:rsidRPr="00990BCC">
        <w:rPr>
          <w:sz w:val="32"/>
          <w:szCs w:val="32"/>
          <w:lang w:val="es-PR"/>
        </w:rPr>
        <w:t> Sólo las mujeres cuyos embarazos tienen una edad gestacional de</w:t>
      </w:r>
    </w:p>
    <w:p w:rsidR="00990BCC" w:rsidRPr="00990BCC" w:rsidRDefault="00990BCC" w:rsidP="00990BCC">
      <w:pPr>
        <w:pStyle w:val="NoSpacing"/>
        <w:rPr>
          <w:sz w:val="32"/>
          <w:szCs w:val="32"/>
          <w:lang w:val="es-PR"/>
        </w:rPr>
      </w:pPr>
      <w:r w:rsidRPr="00990BCC">
        <w:rPr>
          <w:sz w:val="32"/>
          <w:szCs w:val="32"/>
          <w:lang w:val="es-PR"/>
        </w:rPr>
        <w:t>cuarenta y nueve días o menos son elegibles;</w:t>
      </w:r>
    </w:p>
    <w:p w:rsidR="00990BCC" w:rsidRPr="00990BCC" w:rsidRDefault="00990BCC" w:rsidP="00990BCC">
      <w:pPr>
        <w:pStyle w:val="NoSpacing"/>
        <w:rPr>
          <w:sz w:val="32"/>
          <w:szCs w:val="32"/>
          <w:lang w:val="es-PR"/>
        </w:rPr>
      </w:pPr>
      <w:r w:rsidRPr="00990BCC">
        <w:rPr>
          <w:sz w:val="32"/>
          <w:szCs w:val="32"/>
          <w:lang w:val="es-PR"/>
        </w:rPr>
        <w:t xml:space="preserve"> Solo los médicos pueden prescribir </w:t>
      </w:r>
      <w:proofErr w:type="spellStart"/>
      <w:r w:rsidRPr="00990BCC">
        <w:rPr>
          <w:sz w:val="32"/>
          <w:szCs w:val="32"/>
          <w:lang w:val="es-PR"/>
        </w:rPr>
        <w:t>Mifeprex</w:t>
      </w:r>
      <w:proofErr w:type="spellEnd"/>
      <w:r w:rsidRPr="00990BCC">
        <w:rPr>
          <w:sz w:val="32"/>
          <w:szCs w:val="32"/>
          <w:lang w:val="es-PR"/>
        </w:rPr>
        <w:t>;</w:t>
      </w:r>
    </w:p>
    <w:p w:rsidR="00990BCC" w:rsidRPr="00990BCC" w:rsidRDefault="00990BCC" w:rsidP="00990BCC">
      <w:pPr>
        <w:pStyle w:val="NoSpacing"/>
        <w:rPr>
          <w:sz w:val="32"/>
          <w:szCs w:val="32"/>
          <w:lang w:val="es-PR"/>
        </w:rPr>
      </w:pPr>
      <w:r w:rsidRPr="00990BCC">
        <w:rPr>
          <w:sz w:val="32"/>
          <w:szCs w:val="32"/>
          <w:lang w:val="es-PR"/>
        </w:rPr>
        <w:t> Todos los médicos que prescriben deben ser capaces de evaluar</w:t>
      </w:r>
    </w:p>
    <w:p w:rsidR="00990BCC" w:rsidRPr="00990BCC" w:rsidRDefault="00990BCC" w:rsidP="00990BCC">
      <w:pPr>
        <w:pStyle w:val="NoSpacing"/>
        <w:rPr>
          <w:sz w:val="32"/>
          <w:szCs w:val="32"/>
          <w:lang w:val="es-PR"/>
        </w:rPr>
      </w:pPr>
      <w:r w:rsidRPr="00990BCC">
        <w:rPr>
          <w:sz w:val="32"/>
          <w:szCs w:val="32"/>
          <w:lang w:val="es-PR"/>
        </w:rPr>
        <w:t>edad, diagnosticar embarazos ectópicos y “proporcionar</w:t>
      </w:r>
    </w:p>
    <w:p w:rsidR="00990BCC" w:rsidRPr="00990BCC" w:rsidRDefault="00990BCC" w:rsidP="00990BCC">
      <w:pPr>
        <w:pStyle w:val="NoSpacing"/>
        <w:rPr>
          <w:sz w:val="32"/>
          <w:szCs w:val="32"/>
          <w:lang w:val="es-PR"/>
        </w:rPr>
      </w:pPr>
      <w:r w:rsidRPr="00990BCC">
        <w:rPr>
          <w:sz w:val="32"/>
          <w:szCs w:val="32"/>
          <w:lang w:val="es-PR"/>
        </w:rPr>
        <w:t>intervención en casos de aborto incompleto o severo</w:t>
      </w:r>
    </w:p>
    <w:p w:rsidR="00990BCC" w:rsidRPr="00990BCC" w:rsidRDefault="00990BCC" w:rsidP="00990BCC">
      <w:pPr>
        <w:pStyle w:val="NoSpacing"/>
        <w:rPr>
          <w:sz w:val="32"/>
          <w:szCs w:val="32"/>
          <w:lang w:val="es-PR"/>
        </w:rPr>
      </w:pPr>
      <w:r w:rsidRPr="00990BCC">
        <w:rPr>
          <w:sz w:val="32"/>
          <w:szCs w:val="32"/>
          <w:lang w:val="es-PR"/>
        </w:rPr>
        <w:t>sangrado” o ha hecho arreglos para que otro médico proporcione</w:t>
      </w:r>
    </w:p>
    <w:p w:rsidR="00990BCC" w:rsidRPr="00990BCC" w:rsidRDefault="00990BCC" w:rsidP="00990BCC">
      <w:pPr>
        <w:pStyle w:val="NoSpacing"/>
        <w:rPr>
          <w:sz w:val="32"/>
          <w:szCs w:val="32"/>
          <w:lang w:val="es-PR"/>
        </w:rPr>
      </w:pPr>
      <w:r w:rsidRPr="00990BCC">
        <w:rPr>
          <w:sz w:val="32"/>
          <w:szCs w:val="32"/>
          <w:lang w:val="es-PR"/>
        </w:rPr>
        <w:t>tal cuidado;</w:t>
      </w:r>
    </w:p>
    <w:p w:rsidR="00990BCC" w:rsidRPr="00990BCC" w:rsidRDefault="00990BCC" w:rsidP="00990BCC">
      <w:pPr>
        <w:pStyle w:val="NoSpacing"/>
        <w:rPr>
          <w:sz w:val="32"/>
          <w:szCs w:val="32"/>
          <w:lang w:val="es-PR"/>
        </w:rPr>
      </w:pPr>
      <w:r w:rsidRPr="00990BCC">
        <w:rPr>
          <w:sz w:val="32"/>
          <w:szCs w:val="32"/>
          <w:lang w:val="es-PR"/>
        </w:rPr>
        <w:lastRenderedPageBreak/>
        <w:t> La prescripción debe ocurrir en persona; y</w:t>
      </w:r>
    </w:p>
    <w:p w:rsidR="00990BCC" w:rsidRPr="00990BCC" w:rsidRDefault="00990BCC" w:rsidP="00990BCC">
      <w:pPr>
        <w:pStyle w:val="NoSpacing"/>
        <w:rPr>
          <w:sz w:val="32"/>
          <w:szCs w:val="32"/>
          <w:lang w:val="es-PR"/>
        </w:rPr>
      </w:pPr>
      <w:r w:rsidRPr="00990BCC">
        <w:rPr>
          <w:sz w:val="32"/>
          <w:szCs w:val="32"/>
          <w:lang w:val="es-PR"/>
        </w:rPr>
        <w:t> Los prescriptores deben informar cualquier</w:t>
      </w:r>
      <w:r>
        <w:rPr>
          <w:sz w:val="32"/>
          <w:szCs w:val="32"/>
          <w:lang w:val="es-PR"/>
        </w:rPr>
        <w:t xml:space="preserve"> “hospitalización, transfusión, </w:t>
      </w:r>
      <w:r w:rsidRPr="00990BCC">
        <w:rPr>
          <w:sz w:val="32"/>
          <w:szCs w:val="32"/>
          <w:lang w:val="es-PR"/>
        </w:rPr>
        <w:t xml:space="preserve">u otro evento </w:t>
      </w:r>
      <w:proofErr w:type="gramStart"/>
      <w:r w:rsidRPr="00990BCC">
        <w:rPr>
          <w:sz w:val="32"/>
          <w:szCs w:val="32"/>
          <w:lang w:val="es-PR"/>
        </w:rPr>
        <w:t>serio[</w:t>
      </w:r>
      <w:proofErr w:type="gramEnd"/>
      <w:r w:rsidRPr="00990BCC">
        <w:rPr>
          <w:sz w:val="32"/>
          <w:szCs w:val="32"/>
          <w:lang w:val="es-PR"/>
        </w:rPr>
        <w:t>] al patrocinador.”</w:t>
      </w:r>
    </w:p>
    <w:p w:rsidR="00990BCC" w:rsidRPr="00990BCC" w:rsidRDefault="00990BCC" w:rsidP="00990BCC">
      <w:pPr>
        <w:pStyle w:val="NoSpacing"/>
        <w:rPr>
          <w:sz w:val="32"/>
          <w:szCs w:val="32"/>
          <w:lang w:val="es-PR"/>
        </w:rPr>
      </w:pPr>
      <w:r w:rsidRPr="00990BCC">
        <w:rPr>
          <w:sz w:val="32"/>
          <w:szCs w:val="32"/>
          <w:lang w:val="es-PR"/>
        </w:rPr>
        <w:t xml:space="preserve">Identificación. en 1, 6. Finalmente, la FDA requirió tres visitas al consultorio médico, que se resumen a continuación. El paciente primero toma </w:t>
      </w:r>
      <w:proofErr w:type="spellStart"/>
      <w:r w:rsidRPr="00990BCC">
        <w:rPr>
          <w:sz w:val="32"/>
          <w:szCs w:val="32"/>
          <w:lang w:val="es-PR"/>
        </w:rPr>
        <w:t>mifepristona</w:t>
      </w:r>
      <w:proofErr w:type="spellEnd"/>
      <w:r w:rsidRPr="00990BCC">
        <w:rPr>
          <w:sz w:val="32"/>
          <w:szCs w:val="32"/>
          <w:lang w:val="es-PR"/>
        </w:rPr>
        <w:t xml:space="preserve"> en el consultorio del médico.</w:t>
      </w:r>
    </w:p>
    <w:p w:rsidR="00990BCC" w:rsidRDefault="00990BCC" w:rsidP="00990BCC">
      <w:pPr>
        <w:pStyle w:val="NoSpacing"/>
        <w:rPr>
          <w:sz w:val="32"/>
          <w:szCs w:val="32"/>
          <w:lang w:val="es-PR"/>
        </w:rPr>
      </w:pPr>
    </w:p>
    <w:p w:rsidR="00990BCC" w:rsidRPr="00990BCC" w:rsidRDefault="00990BCC" w:rsidP="00990BCC">
      <w:pPr>
        <w:pStyle w:val="NoSpacing"/>
        <w:rPr>
          <w:sz w:val="32"/>
          <w:szCs w:val="32"/>
          <w:lang w:val="es-PR"/>
        </w:rPr>
      </w:pPr>
      <w:r w:rsidRPr="00990BCC">
        <w:rPr>
          <w:sz w:val="32"/>
          <w:szCs w:val="32"/>
          <w:lang w:val="es-PR"/>
        </w:rPr>
        <w:t>Tres días después, regresa a la oficina para to</w:t>
      </w:r>
      <w:r>
        <w:rPr>
          <w:sz w:val="32"/>
          <w:szCs w:val="32"/>
          <w:lang w:val="es-PR"/>
        </w:rPr>
        <w:t xml:space="preserve">mar </w:t>
      </w:r>
      <w:proofErr w:type="spellStart"/>
      <w:r>
        <w:rPr>
          <w:sz w:val="32"/>
          <w:szCs w:val="32"/>
          <w:lang w:val="es-PR"/>
        </w:rPr>
        <w:t>misoprostol</w:t>
      </w:r>
      <w:proofErr w:type="spellEnd"/>
      <w:r>
        <w:rPr>
          <w:sz w:val="32"/>
          <w:szCs w:val="32"/>
          <w:lang w:val="es-PR"/>
        </w:rPr>
        <w:t xml:space="preserve">. Finalmente, el </w:t>
      </w:r>
      <w:r w:rsidRPr="00990BCC">
        <w:rPr>
          <w:sz w:val="32"/>
          <w:szCs w:val="32"/>
          <w:lang w:val="es-PR"/>
        </w:rPr>
        <w:t xml:space="preserve">paciente visita al médico para una cita de </w:t>
      </w:r>
      <w:r>
        <w:rPr>
          <w:sz w:val="32"/>
          <w:szCs w:val="32"/>
          <w:lang w:val="es-PR"/>
        </w:rPr>
        <w:t xml:space="preserve">seguimiento, para determinar si </w:t>
      </w:r>
      <w:r w:rsidRPr="00990BCC">
        <w:rPr>
          <w:sz w:val="32"/>
          <w:szCs w:val="32"/>
          <w:lang w:val="es-PR"/>
        </w:rPr>
        <w:t>el medicamento ha terminado con éxito el embarazo y para det</w:t>
      </w:r>
      <w:r>
        <w:rPr>
          <w:sz w:val="32"/>
          <w:szCs w:val="32"/>
          <w:lang w:val="es-PR"/>
        </w:rPr>
        <w:t xml:space="preserve">ectar cualquier efecto adverso. </w:t>
      </w:r>
      <w:r w:rsidRPr="00990BCC">
        <w:rPr>
          <w:sz w:val="32"/>
          <w:szCs w:val="32"/>
          <w:lang w:val="es-PR"/>
        </w:rPr>
        <w:t>En agosto de 2002, la Asociación Estadounidense de Obstetras y Ginecólogos Pro-Vida (parte de</w:t>
      </w:r>
      <w:r>
        <w:rPr>
          <w:sz w:val="32"/>
          <w:szCs w:val="32"/>
          <w:lang w:val="es-PR"/>
        </w:rPr>
        <w:t>l presente caso) y varias otras organizaciones</w:t>
      </w:r>
      <w:r w:rsidRPr="00990BCC">
        <w:rPr>
          <w:sz w:val="32"/>
          <w:szCs w:val="32"/>
          <w:lang w:val="es-PR"/>
        </w:rPr>
        <w:t xml:space="preserve"> presentaron una petición ciudadana, solicitando a la FDA que revoque su aprobación de</w:t>
      </w:r>
    </w:p>
    <w:p w:rsidR="00990BCC" w:rsidRPr="00990BCC" w:rsidRDefault="00990BCC" w:rsidP="00990BCC">
      <w:pPr>
        <w:pStyle w:val="NoSpacing"/>
        <w:rPr>
          <w:sz w:val="32"/>
          <w:szCs w:val="32"/>
          <w:lang w:val="es-PR"/>
        </w:rPr>
      </w:pPr>
      <w:proofErr w:type="spellStart"/>
      <w:r w:rsidRPr="00990BCC">
        <w:rPr>
          <w:sz w:val="32"/>
          <w:szCs w:val="32"/>
          <w:lang w:val="es-PR"/>
        </w:rPr>
        <w:t>mifepristona</w:t>
      </w:r>
      <w:proofErr w:type="spellEnd"/>
      <w:r w:rsidRPr="00990BCC">
        <w:rPr>
          <w:sz w:val="32"/>
          <w:szCs w:val="32"/>
          <w:lang w:val="es-PR"/>
        </w:rPr>
        <w:t xml:space="preserve">. Ver 21 C.F.R. § 10.30. La petición </w:t>
      </w:r>
      <w:r>
        <w:rPr>
          <w:sz w:val="32"/>
          <w:szCs w:val="32"/>
          <w:lang w:val="es-PR"/>
        </w:rPr>
        <w:t xml:space="preserve">argumentaba que la </w:t>
      </w:r>
      <w:proofErr w:type="spellStart"/>
      <w:r>
        <w:rPr>
          <w:sz w:val="32"/>
          <w:szCs w:val="32"/>
          <w:lang w:val="es-PR"/>
        </w:rPr>
        <w:t>mifepristona</w:t>
      </w:r>
      <w:proofErr w:type="spellEnd"/>
      <w:r>
        <w:rPr>
          <w:sz w:val="32"/>
          <w:szCs w:val="32"/>
          <w:lang w:val="es-PR"/>
        </w:rPr>
        <w:t xml:space="preserve"> </w:t>
      </w:r>
      <w:r w:rsidRPr="00990BCC">
        <w:rPr>
          <w:sz w:val="32"/>
          <w:szCs w:val="32"/>
          <w:lang w:val="es-PR"/>
        </w:rPr>
        <w:t>no era seguro de usar bajo las condiciones apr</w:t>
      </w:r>
      <w:r>
        <w:rPr>
          <w:sz w:val="32"/>
          <w:szCs w:val="32"/>
          <w:lang w:val="es-PR"/>
        </w:rPr>
        <w:t xml:space="preserve">obadas. FDA revisó la solicitud </w:t>
      </w:r>
      <w:r w:rsidRPr="00990BCC">
        <w:rPr>
          <w:sz w:val="32"/>
          <w:szCs w:val="32"/>
          <w:lang w:val="es-PR"/>
        </w:rPr>
        <w:t>durante los próximos catorce años, negándolo finalmente en 2016.</w:t>
      </w:r>
    </w:p>
    <w:p w:rsidR="00990BCC" w:rsidRPr="00990BCC" w:rsidRDefault="00990BCC" w:rsidP="00990BCC">
      <w:pPr>
        <w:pStyle w:val="NoSpacing"/>
        <w:rPr>
          <w:sz w:val="32"/>
          <w:szCs w:val="32"/>
          <w:lang w:val="es-PR"/>
        </w:rPr>
      </w:pPr>
      <w:r w:rsidRPr="00990BCC">
        <w:rPr>
          <w:sz w:val="32"/>
          <w:szCs w:val="32"/>
          <w:lang w:val="es-PR"/>
        </w:rPr>
        <w:t xml:space="preserve">  Mientras tanto, se produjeron dos acontecimie</w:t>
      </w:r>
      <w:r>
        <w:rPr>
          <w:sz w:val="32"/>
          <w:szCs w:val="32"/>
          <w:lang w:val="es-PR"/>
        </w:rPr>
        <w:t>ntos significativos. Primero en 2</w:t>
      </w:r>
      <w:r w:rsidRPr="00990BCC">
        <w:rPr>
          <w:sz w:val="32"/>
          <w:szCs w:val="32"/>
          <w:lang w:val="es-PR"/>
        </w:rPr>
        <w:t>007, el Congreso modificó la Ley de Alimentos, Medicamento</w:t>
      </w:r>
      <w:r>
        <w:rPr>
          <w:sz w:val="32"/>
          <w:szCs w:val="32"/>
          <w:lang w:val="es-PR"/>
        </w:rPr>
        <w:t xml:space="preserve">s y Cosméticos. Ver Alimentos y </w:t>
      </w:r>
      <w:r w:rsidRPr="00990BCC">
        <w:rPr>
          <w:sz w:val="32"/>
          <w:szCs w:val="32"/>
          <w:lang w:val="es-PR"/>
        </w:rPr>
        <w:t xml:space="preserve">Ley de Enmiendas a la Administración de Drogas de 2007, Pub. L. N° 110-85, </w:t>
      </w:r>
      <w:proofErr w:type="spellStart"/>
      <w:r w:rsidRPr="00990BCC">
        <w:rPr>
          <w:sz w:val="32"/>
          <w:szCs w:val="32"/>
          <w:lang w:val="es-PR"/>
        </w:rPr>
        <w:t>tit</w:t>
      </w:r>
      <w:proofErr w:type="spellEnd"/>
      <w:r w:rsidRPr="00990BCC">
        <w:rPr>
          <w:sz w:val="32"/>
          <w:szCs w:val="32"/>
          <w:lang w:val="es-PR"/>
        </w:rPr>
        <w:t>. IX,</w:t>
      </w:r>
    </w:p>
    <w:p w:rsidR="00990BCC" w:rsidRPr="00990BCC" w:rsidRDefault="00990BCC" w:rsidP="00990BCC">
      <w:pPr>
        <w:pStyle w:val="NoSpacing"/>
        <w:rPr>
          <w:sz w:val="32"/>
          <w:szCs w:val="32"/>
          <w:lang w:val="es-PR"/>
        </w:rPr>
      </w:pPr>
      <w:r w:rsidRPr="00990BCC">
        <w:rPr>
          <w:sz w:val="32"/>
          <w:szCs w:val="32"/>
          <w:lang w:val="es-PR"/>
        </w:rPr>
        <w:t>§ 901, 121 Estatutos. 823, 922–43. La enmienda</w:t>
      </w:r>
      <w:r>
        <w:rPr>
          <w:sz w:val="32"/>
          <w:szCs w:val="32"/>
          <w:lang w:val="es-PR"/>
        </w:rPr>
        <w:t xml:space="preserve"> autoriza a la FDA a exigir una </w:t>
      </w:r>
      <w:r w:rsidRPr="00990BCC">
        <w:rPr>
          <w:sz w:val="32"/>
          <w:szCs w:val="32"/>
          <w:lang w:val="es-PR"/>
        </w:rPr>
        <w:t>estrategia de evaluación y mitigación de riesgos</w:t>
      </w:r>
      <w:r>
        <w:rPr>
          <w:sz w:val="32"/>
          <w:szCs w:val="32"/>
          <w:lang w:val="es-PR"/>
        </w:rPr>
        <w:t xml:space="preserve">” (REMS) si determina que tales </w:t>
      </w:r>
      <w:r w:rsidRPr="00990BCC">
        <w:rPr>
          <w:sz w:val="32"/>
          <w:szCs w:val="32"/>
          <w:lang w:val="es-PR"/>
        </w:rPr>
        <w:t>una estrategia es “necesaria para garantizar que los ben</w:t>
      </w:r>
      <w:r>
        <w:rPr>
          <w:sz w:val="32"/>
          <w:szCs w:val="32"/>
          <w:lang w:val="es-PR"/>
        </w:rPr>
        <w:t xml:space="preserve">eficios del fármaco superen los </w:t>
      </w:r>
      <w:r w:rsidRPr="00990BCC">
        <w:rPr>
          <w:sz w:val="32"/>
          <w:szCs w:val="32"/>
          <w:lang w:val="es-PR"/>
        </w:rPr>
        <w:t xml:space="preserve">riesgos de la droga”. 21 USC § 355-1(a)(1). </w:t>
      </w:r>
      <w:r>
        <w:rPr>
          <w:sz w:val="32"/>
          <w:szCs w:val="32"/>
          <w:lang w:val="es-PR"/>
        </w:rPr>
        <w:t xml:space="preserve">La Ley permitió además a la FDA </w:t>
      </w:r>
      <w:r w:rsidRPr="00990BCC">
        <w:rPr>
          <w:sz w:val="32"/>
          <w:szCs w:val="32"/>
          <w:lang w:val="es-PR"/>
        </w:rPr>
        <w:t>imponer restricciones de uso a través de REMS, como calificaciones médicas o requisitos de informes. Identificación. § 355-1(f). La ley también consideró t</w:t>
      </w:r>
      <w:r>
        <w:rPr>
          <w:sz w:val="32"/>
          <w:szCs w:val="32"/>
          <w:lang w:val="es-PR"/>
        </w:rPr>
        <w:t xml:space="preserve">odos los medicamentos aprobados </w:t>
      </w:r>
      <w:r w:rsidRPr="00990BCC">
        <w:rPr>
          <w:sz w:val="32"/>
          <w:szCs w:val="32"/>
          <w:lang w:val="es-PR"/>
        </w:rPr>
        <w:t>antes de la Ley como teniendo un REMS aprobado.</w:t>
      </w:r>
      <w:r>
        <w:rPr>
          <w:sz w:val="32"/>
          <w:szCs w:val="32"/>
          <w:lang w:val="es-PR"/>
        </w:rPr>
        <w:t xml:space="preserve"> Ver Ley de Enmiendas § 909(b), </w:t>
      </w:r>
      <w:r w:rsidRPr="00990BCC">
        <w:rPr>
          <w:sz w:val="32"/>
          <w:szCs w:val="32"/>
          <w:lang w:val="es-PR"/>
        </w:rPr>
        <w:t xml:space="preserve">121 </w:t>
      </w:r>
      <w:proofErr w:type="spellStart"/>
      <w:r w:rsidRPr="00990BCC">
        <w:rPr>
          <w:sz w:val="32"/>
          <w:szCs w:val="32"/>
          <w:lang w:val="es-PR"/>
        </w:rPr>
        <w:t>estat</w:t>
      </w:r>
      <w:proofErr w:type="spellEnd"/>
      <w:r w:rsidRPr="00990BCC">
        <w:rPr>
          <w:sz w:val="32"/>
          <w:szCs w:val="32"/>
          <w:lang w:val="es-PR"/>
        </w:rPr>
        <w:t>. en 950 (“Un medicamento que fue aprobado antes de la fecha de vigencia de este</w:t>
      </w:r>
    </w:p>
    <w:p w:rsidR="00990BCC" w:rsidRDefault="00990BCC" w:rsidP="00990BCC">
      <w:pPr>
        <w:pStyle w:val="NoSpacing"/>
        <w:rPr>
          <w:sz w:val="32"/>
          <w:szCs w:val="32"/>
          <w:lang w:val="es-PR"/>
        </w:rPr>
      </w:pPr>
      <w:r w:rsidRPr="00990BCC">
        <w:rPr>
          <w:sz w:val="32"/>
          <w:szCs w:val="32"/>
          <w:lang w:val="es-PR"/>
        </w:rPr>
        <w:lastRenderedPageBreak/>
        <w:t>Acto es. . . se considera que tiene en vigor una evaluación y</w:t>
      </w:r>
      <w:r>
        <w:rPr>
          <w:sz w:val="32"/>
          <w:szCs w:val="32"/>
          <w:lang w:val="es-PR"/>
        </w:rPr>
        <w:t xml:space="preserve"> mitigación de riesgos aprobada </w:t>
      </w:r>
      <w:r w:rsidRPr="00990BCC">
        <w:rPr>
          <w:sz w:val="32"/>
          <w:szCs w:val="32"/>
          <w:lang w:val="es-PR"/>
        </w:rPr>
        <w:t>estrategia bajo la sección 505-1 de la [Ley].”).</w:t>
      </w:r>
    </w:p>
    <w:p w:rsidR="00822E5A" w:rsidRDefault="00822E5A" w:rsidP="00990BCC">
      <w:pPr>
        <w:pStyle w:val="NoSpacing"/>
        <w:rPr>
          <w:sz w:val="32"/>
          <w:szCs w:val="32"/>
          <w:lang w:val="es-PR"/>
        </w:rPr>
      </w:pPr>
    </w:p>
    <w:p w:rsidR="00822E5A" w:rsidRPr="00822E5A" w:rsidRDefault="00822E5A" w:rsidP="00822E5A">
      <w:pPr>
        <w:pStyle w:val="NoSpacing"/>
        <w:rPr>
          <w:sz w:val="32"/>
          <w:szCs w:val="32"/>
          <w:lang w:val="es-PR"/>
        </w:rPr>
      </w:pPr>
      <w:r w:rsidRPr="00822E5A">
        <w:rPr>
          <w:sz w:val="32"/>
          <w:szCs w:val="32"/>
          <w:lang w:val="es-PR"/>
        </w:rPr>
        <w:t xml:space="preserve">Luego, en 2011, la FDA aprobó un REMS para </w:t>
      </w:r>
      <w:proofErr w:type="spellStart"/>
      <w:r w:rsidRPr="00822E5A">
        <w:rPr>
          <w:sz w:val="32"/>
          <w:szCs w:val="32"/>
          <w:lang w:val="es-PR"/>
        </w:rPr>
        <w:t>mifepristona</w:t>
      </w:r>
      <w:proofErr w:type="spellEnd"/>
      <w:r w:rsidRPr="00822E5A">
        <w:rPr>
          <w:sz w:val="32"/>
          <w:szCs w:val="32"/>
          <w:lang w:val="es-PR"/>
        </w:rPr>
        <w:t xml:space="preserve">, imponiendo esencialmente las mismas restricciones que exigió la FDA cuando aprobó </w:t>
      </w:r>
      <w:proofErr w:type="spellStart"/>
      <w:r w:rsidRPr="00822E5A">
        <w:rPr>
          <w:sz w:val="32"/>
          <w:szCs w:val="32"/>
          <w:lang w:val="es-PR"/>
        </w:rPr>
        <w:t>Mifeprex</w:t>
      </w:r>
      <w:proofErr w:type="spellEnd"/>
      <w:r w:rsidRPr="00822E5A">
        <w:rPr>
          <w:sz w:val="32"/>
          <w:szCs w:val="32"/>
          <w:lang w:val="es-PR"/>
        </w:rPr>
        <w:t xml:space="preserve"> en 2000. El REMS incluía cuatro partes </w:t>
      </w:r>
      <w:r>
        <w:rPr>
          <w:sz w:val="32"/>
          <w:szCs w:val="32"/>
          <w:lang w:val="es-PR"/>
        </w:rPr>
        <w:t xml:space="preserve">esenciales: un resumen general, </w:t>
      </w:r>
      <w:r w:rsidRPr="00822E5A">
        <w:rPr>
          <w:sz w:val="32"/>
          <w:szCs w:val="32"/>
          <w:lang w:val="es-PR"/>
        </w:rPr>
        <w:t xml:space="preserve">guía de medicación, acuerdo del prescriptor y acuerdo del paciente. La guía del medicamento explica cómo usar la </w:t>
      </w:r>
      <w:proofErr w:type="spellStart"/>
      <w:r w:rsidRPr="00822E5A">
        <w:rPr>
          <w:sz w:val="32"/>
          <w:szCs w:val="32"/>
          <w:lang w:val="es-PR"/>
        </w:rPr>
        <w:t>mifeprist</w:t>
      </w:r>
      <w:r>
        <w:rPr>
          <w:sz w:val="32"/>
          <w:szCs w:val="32"/>
          <w:lang w:val="es-PR"/>
        </w:rPr>
        <w:t>ona</w:t>
      </w:r>
      <w:proofErr w:type="spellEnd"/>
      <w:r>
        <w:rPr>
          <w:sz w:val="32"/>
          <w:szCs w:val="32"/>
          <w:lang w:val="es-PR"/>
        </w:rPr>
        <w:t xml:space="preserve"> y los riesgos asociados con </w:t>
      </w:r>
      <w:r w:rsidRPr="00822E5A">
        <w:rPr>
          <w:sz w:val="32"/>
          <w:szCs w:val="32"/>
          <w:lang w:val="es-PR"/>
        </w:rPr>
        <w:t xml:space="preserve">haciéndolo. REMS de </w:t>
      </w:r>
      <w:proofErr w:type="spellStart"/>
      <w:r w:rsidRPr="00822E5A">
        <w:rPr>
          <w:sz w:val="32"/>
          <w:szCs w:val="32"/>
          <w:lang w:val="es-PR"/>
        </w:rPr>
        <w:t>mifepristona</w:t>
      </w:r>
      <w:proofErr w:type="spellEnd"/>
      <w:r w:rsidRPr="00822E5A">
        <w:rPr>
          <w:sz w:val="32"/>
          <w:szCs w:val="32"/>
          <w:lang w:val="es-PR"/>
        </w:rPr>
        <w:t xml:space="preserve"> en 4–6 (8 de junio de 2011). El acuerdo de prescripción requiere que los prescriptores se comprometan a seguir las restricciones de la FDA</w:t>
      </w:r>
      <w:r>
        <w:rPr>
          <w:sz w:val="32"/>
          <w:szCs w:val="32"/>
          <w:lang w:val="es-PR"/>
        </w:rPr>
        <w:t>.</w:t>
      </w:r>
      <w:r w:rsidRPr="00822E5A">
        <w:rPr>
          <w:sz w:val="32"/>
          <w:szCs w:val="32"/>
          <w:lang w:val="es-PR"/>
        </w:rPr>
        <w:t xml:space="preserve"> Y el acuerdo del paciente es un formulario que las muj</w:t>
      </w:r>
      <w:r>
        <w:rPr>
          <w:sz w:val="32"/>
          <w:szCs w:val="32"/>
          <w:lang w:val="es-PR"/>
        </w:rPr>
        <w:t xml:space="preserve">eres deben firmar antes de usar </w:t>
      </w:r>
      <w:proofErr w:type="spellStart"/>
      <w:r w:rsidRPr="00822E5A">
        <w:rPr>
          <w:sz w:val="32"/>
          <w:szCs w:val="32"/>
          <w:lang w:val="es-PR"/>
        </w:rPr>
        <w:t>mifepristona</w:t>
      </w:r>
      <w:proofErr w:type="spellEnd"/>
      <w:r w:rsidRPr="00822E5A">
        <w:rPr>
          <w:sz w:val="32"/>
          <w:szCs w:val="32"/>
          <w:lang w:val="es-PR"/>
        </w:rPr>
        <w:t xml:space="preserve">; obliga a un paciente a confirmar </w:t>
      </w:r>
      <w:r>
        <w:rPr>
          <w:sz w:val="32"/>
          <w:szCs w:val="32"/>
          <w:lang w:val="es-PR"/>
        </w:rPr>
        <w:t xml:space="preserve">que cumple las condiciones para </w:t>
      </w:r>
      <w:r w:rsidRPr="00822E5A">
        <w:rPr>
          <w:sz w:val="32"/>
          <w:szCs w:val="32"/>
          <w:lang w:val="es-PR"/>
        </w:rPr>
        <w:t xml:space="preserve">usar </w:t>
      </w:r>
      <w:proofErr w:type="spellStart"/>
      <w:r w:rsidRPr="00822E5A">
        <w:rPr>
          <w:sz w:val="32"/>
          <w:szCs w:val="32"/>
          <w:lang w:val="es-PR"/>
        </w:rPr>
        <w:t>mifepristona</w:t>
      </w:r>
      <w:proofErr w:type="spellEnd"/>
      <w:r w:rsidRPr="00822E5A">
        <w:rPr>
          <w:sz w:val="32"/>
          <w:szCs w:val="32"/>
          <w:lang w:val="es-PR"/>
        </w:rPr>
        <w:t xml:space="preserve"> y reconocer el riesgo de eventos adversos. La REMS de </w:t>
      </w:r>
      <w:proofErr w:type="spellStart"/>
      <w:r w:rsidRPr="00822E5A">
        <w:rPr>
          <w:sz w:val="32"/>
          <w:szCs w:val="32"/>
          <w:lang w:val="es-PR"/>
        </w:rPr>
        <w:t>mifepristona</w:t>
      </w:r>
      <w:proofErr w:type="spellEnd"/>
      <w:r w:rsidRPr="00822E5A">
        <w:rPr>
          <w:sz w:val="32"/>
          <w:szCs w:val="32"/>
          <w:lang w:val="es-PR"/>
        </w:rPr>
        <w:t xml:space="preserve"> se modificó posteriormente en varios aspectos. Pero su forma general: el resumen, la guía médica, el acuerdo del prescript</w:t>
      </w:r>
      <w:r>
        <w:rPr>
          <w:sz w:val="32"/>
          <w:szCs w:val="32"/>
          <w:lang w:val="es-PR"/>
        </w:rPr>
        <w:t xml:space="preserve">or y el documento del paciente </w:t>
      </w:r>
      <w:r w:rsidRPr="00822E5A">
        <w:rPr>
          <w:sz w:val="32"/>
          <w:szCs w:val="32"/>
          <w:lang w:val="es-PR"/>
        </w:rPr>
        <w:t>acuerdo—sigue siendo el mismo.</w:t>
      </w:r>
    </w:p>
    <w:p w:rsidR="00822E5A" w:rsidRPr="00822E5A" w:rsidRDefault="00822E5A" w:rsidP="00822E5A">
      <w:pPr>
        <w:pStyle w:val="NoSpacing"/>
        <w:rPr>
          <w:sz w:val="32"/>
          <w:szCs w:val="32"/>
          <w:lang w:val="es-PR"/>
        </w:rPr>
      </w:pPr>
      <w:r w:rsidRPr="00822E5A">
        <w:rPr>
          <w:sz w:val="32"/>
          <w:szCs w:val="32"/>
          <w:lang w:val="es-PR"/>
        </w:rPr>
        <w:t xml:space="preserve">En 2016, la FDA abordó </w:t>
      </w:r>
      <w:proofErr w:type="spellStart"/>
      <w:r w:rsidRPr="00822E5A">
        <w:rPr>
          <w:sz w:val="32"/>
          <w:szCs w:val="32"/>
          <w:lang w:val="es-PR"/>
        </w:rPr>
        <w:t>Mifeprex</w:t>
      </w:r>
      <w:proofErr w:type="spellEnd"/>
      <w:r w:rsidRPr="00822E5A">
        <w:rPr>
          <w:sz w:val="32"/>
          <w:szCs w:val="32"/>
          <w:lang w:val="es-PR"/>
        </w:rPr>
        <w:t xml:space="preserve"> en dos aspecto</w:t>
      </w:r>
      <w:r>
        <w:rPr>
          <w:sz w:val="32"/>
          <w:szCs w:val="32"/>
          <w:lang w:val="es-PR"/>
        </w:rPr>
        <w:t xml:space="preserve">s. En primer lugar, negó la </w:t>
      </w:r>
      <w:r w:rsidRPr="00822E5A">
        <w:rPr>
          <w:sz w:val="32"/>
          <w:szCs w:val="32"/>
          <w:lang w:val="es-PR"/>
        </w:rPr>
        <w:t xml:space="preserve">Petición ciudadana de 2002, defendiendo la seguridad y eficacia de </w:t>
      </w:r>
      <w:proofErr w:type="spellStart"/>
      <w:r w:rsidRPr="00822E5A">
        <w:rPr>
          <w:sz w:val="32"/>
          <w:szCs w:val="32"/>
          <w:lang w:val="es-PR"/>
        </w:rPr>
        <w:t>Mifeprex</w:t>
      </w:r>
      <w:proofErr w:type="spellEnd"/>
      <w:r w:rsidRPr="00822E5A">
        <w:rPr>
          <w:sz w:val="32"/>
          <w:szCs w:val="32"/>
          <w:lang w:val="es-PR"/>
        </w:rPr>
        <w:t xml:space="preserve"> aprobada en 2000. En segundo lugar, la FDA aprobó una nueva solicitud complementaria de medicamento de </w:t>
      </w:r>
      <w:proofErr w:type="spellStart"/>
      <w:r w:rsidRPr="00822E5A">
        <w:rPr>
          <w:sz w:val="32"/>
          <w:szCs w:val="32"/>
          <w:lang w:val="es-PR"/>
        </w:rPr>
        <w:t>Danco</w:t>
      </w:r>
      <w:proofErr w:type="spellEnd"/>
      <w:r w:rsidRPr="00822E5A">
        <w:rPr>
          <w:sz w:val="32"/>
          <w:szCs w:val="32"/>
          <w:lang w:val="es-PR"/>
        </w:rPr>
        <w:t xml:space="preserve">. Esa solicitud solicitó una serie de enmiendas al REMS de </w:t>
      </w:r>
      <w:proofErr w:type="spellStart"/>
      <w:r w:rsidRPr="00822E5A">
        <w:rPr>
          <w:sz w:val="32"/>
          <w:szCs w:val="32"/>
          <w:lang w:val="es-PR"/>
        </w:rPr>
        <w:t>Mifeprex</w:t>
      </w:r>
      <w:proofErr w:type="spellEnd"/>
      <w:r w:rsidRPr="00822E5A">
        <w:rPr>
          <w:sz w:val="32"/>
          <w:szCs w:val="32"/>
          <w:lang w:val="es-PR"/>
        </w:rPr>
        <w:t xml:space="preserve"> que la FDA describió como "importantes" e "interrelacionadas". FDA</w:t>
      </w:r>
    </w:p>
    <w:p w:rsidR="00822E5A" w:rsidRPr="00822E5A" w:rsidRDefault="00822E5A" w:rsidP="00822E5A">
      <w:pPr>
        <w:pStyle w:val="NoSpacing"/>
        <w:rPr>
          <w:sz w:val="32"/>
          <w:szCs w:val="32"/>
          <w:lang w:val="es-PR"/>
        </w:rPr>
      </w:pPr>
      <w:r w:rsidRPr="00822E5A">
        <w:rPr>
          <w:sz w:val="32"/>
          <w:szCs w:val="32"/>
          <w:lang w:val="es-PR"/>
        </w:rPr>
        <w:t>Revisión resumida de las enmiendas de 2016 en 5 (29 de marzo de 2016). esos cambi</w:t>
      </w:r>
      <w:r>
        <w:rPr>
          <w:sz w:val="32"/>
          <w:szCs w:val="32"/>
          <w:lang w:val="es-PR"/>
        </w:rPr>
        <w:t xml:space="preserve">os </w:t>
      </w:r>
      <w:r w:rsidRPr="00822E5A">
        <w:rPr>
          <w:sz w:val="32"/>
          <w:szCs w:val="32"/>
          <w:lang w:val="es-PR"/>
        </w:rPr>
        <w:t>incluido:</w:t>
      </w:r>
    </w:p>
    <w:p w:rsidR="00822E5A" w:rsidRPr="00822E5A" w:rsidRDefault="00822E5A" w:rsidP="00822E5A">
      <w:pPr>
        <w:pStyle w:val="NoSpacing"/>
        <w:rPr>
          <w:sz w:val="32"/>
          <w:szCs w:val="32"/>
          <w:lang w:val="es-PR"/>
        </w:rPr>
      </w:pPr>
      <w:r w:rsidRPr="00822E5A">
        <w:rPr>
          <w:sz w:val="32"/>
          <w:szCs w:val="32"/>
          <w:lang w:val="es-PR"/>
        </w:rPr>
        <w:t> Aumento de la edad gestacional máxima de cuarenta y nueve</w:t>
      </w:r>
    </w:p>
    <w:p w:rsidR="00822E5A" w:rsidRPr="00822E5A" w:rsidRDefault="00822E5A" w:rsidP="00822E5A">
      <w:pPr>
        <w:pStyle w:val="NoSpacing"/>
        <w:rPr>
          <w:sz w:val="32"/>
          <w:szCs w:val="32"/>
          <w:lang w:val="es-PR"/>
        </w:rPr>
      </w:pPr>
      <w:r w:rsidRPr="00822E5A">
        <w:rPr>
          <w:sz w:val="32"/>
          <w:szCs w:val="32"/>
          <w:lang w:val="es-PR"/>
        </w:rPr>
        <w:t>días a setenta días;</w:t>
      </w:r>
    </w:p>
    <w:p w:rsidR="00822E5A" w:rsidRPr="00822E5A" w:rsidRDefault="00822E5A" w:rsidP="00822E5A">
      <w:pPr>
        <w:pStyle w:val="NoSpacing"/>
        <w:rPr>
          <w:sz w:val="32"/>
          <w:szCs w:val="32"/>
          <w:lang w:val="es-PR"/>
        </w:rPr>
      </w:pPr>
      <w:r w:rsidRPr="00822E5A">
        <w:rPr>
          <w:sz w:val="32"/>
          <w:szCs w:val="32"/>
          <w:lang w:val="es-PR"/>
        </w:rPr>
        <w:t xml:space="preserve"> Permitir que personal no médico prescriba </w:t>
      </w:r>
      <w:proofErr w:type="spellStart"/>
      <w:r w:rsidRPr="00822E5A">
        <w:rPr>
          <w:sz w:val="32"/>
          <w:szCs w:val="32"/>
          <w:lang w:val="es-PR"/>
        </w:rPr>
        <w:t>mifepristona</w:t>
      </w:r>
      <w:proofErr w:type="spellEnd"/>
      <w:r w:rsidRPr="00822E5A">
        <w:rPr>
          <w:sz w:val="32"/>
          <w:szCs w:val="32"/>
          <w:lang w:val="es-PR"/>
        </w:rPr>
        <w:t>;</w:t>
      </w:r>
    </w:p>
    <w:p w:rsidR="00822E5A" w:rsidRPr="00822E5A" w:rsidRDefault="00822E5A" w:rsidP="00822E5A">
      <w:pPr>
        <w:pStyle w:val="NoSpacing"/>
        <w:rPr>
          <w:sz w:val="32"/>
          <w:szCs w:val="32"/>
          <w:lang w:val="es-PR"/>
        </w:rPr>
      </w:pPr>
      <w:r w:rsidRPr="00822E5A">
        <w:rPr>
          <w:sz w:val="32"/>
          <w:szCs w:val="32"/>
          <w:lang w:val="es-PR"/>
        </w:rPr>
        <w:t xml:space="preserve"> Eliminar el requisito de que la administración de </w:t>
      </w:r>
      <w:proofErr w:type="spellStart"/>
      <w:r w:rsidRPr="00822E5A">
        <w:rPr>
          <w:sz w:val="32"/>
          <w:szCs w:val="32"/>
          <w:lang w:val="es-PR"/>
        </w:rPr>
        <w:t>misoprostol</w:t>
      </w:r>
      <w:proofErr w:type="spellEnd"/>
      <w:r w:rsidRPr="00822E5A">
        <w:rPr>
          <w:sz w:val="32"/>
          <w:szCs w:val="32"/>
          <w:lang w:val="es-PR"/>
        </w:rPr>
        <w:t xml:space="preserve"> y la posterior cita de seguimiento se realicen en persona;</w:t>
      </w:r>
    </w:p>
    <w:p w:rsidR="00822E5A" w:rsidRPr="00822E5A" w:rsidRDefault="00822E5A" w:rsidP="00822E5A">
      <w:pPr>
        <w:pStyle w:val="NoSpacing"/>
        <w:rPr>
          <w:sz w:val="32"/>
          <w:szCs w:val="32"/>
          <w:lang w:val="es-PR"/>
        </w:rPr>
      </w:pPr>
      <w:r w:rsidRPr="00822E5A">
        <w:rPr>
          <w:sz w:val="32"/>
          <w:szCs w:val="32"/>
          <w:lang w:val="es-PR"/>
        </w:rPr>
        <w:t> Eliminación de la obligación de los prescriptores de informar eventos adversos no fatales;</w:t>
      </w:r>
    </w:p>
    <w:p w:rsidR="00822E5A" w:rsidRPr="00822E5A" w:rsidRDefault="00822E5A" w:rsidP="00822E5A">
      <w:pPr>
        <w:pStyle w:val="NoSpacing"/>
        <w:rPr>
          <w:sz w:val="32"/>
          <w:szCs w:val="32"/>
          <w:lang w:val="es-PR"/>
        </w:rPr>
      </w:pPr>
      <w:r w:rsidRPr="00822E5A">
        <w:rPr>
          <w:sz w:val="32"/>
          <w:szCs w:val="32"/>
          <w:lang w:val="es-PR"/>
        </w:rPr>
        <w:lastRenderedPageBreak/>
        <w:t xml:space="preserve"> Cambiar el método de administración de </w:t>
      </w:r>
      <w:proofErr w:type="spellStart"/>
      <w:r w:rsidRPr="00822E5A">
        <w:rPr>
          <w:sz w:val="32"/>
          <w:szCs w:val="32"/>
          <w:lang w:val="es-PR"/>
        </w:rPr>
        <w:t>misoprostol</w:t>
      </w:r>
      <w:proofErr w:type="spellEnd"/>
    </w:p>
    <w:p w:rsidR="00822E5A" w:rsidRPr="00822E5A" w:rsidRDefault="00822E5A" w:rsidP="00822E5A">
      <w:pPr>
        <w:pStyle w:val="NoSpacing"/>
        <w:rPr>
          <w:sz w:val="32"/>
          <w:szCs w:val="32"/>
          <w:lang w:val="es-PR"/>
        </w:rPr>
      </w:pPr>
      <w:r w:rsidRPr="00822E5A">
        <w:rPr>
          <w:sz w:val="32"/>
          <w:szCs w:val="32"/>
          <w:lang w:val="es-PR"/>
        </w:rPr>
        <w:t>de oral a bucal; y</w:t>
      </w:r>
    </w:p>
    <w:p w:rsidR="00822E5A" w:rsidRPr="00822E5A" w:rsidRDefault="00822E5A" w:rsidP="00822E5A">
      <w:pPr>
        <w:pStyle w:val="NoSpacing"/>
        <w:rPr>
          <w:sz w:val="32"/>
          <w:szCs w:val="32"/>
          <w:lang w:val="es-PR"/>
        </w:rPr>
      </w:pPr>
      <w:r w:rsidRPr="00822E5A">
        <w:rPr>
          <w:sz w:val="32"/>
          <w:szCs w:val="32"/>
          <w:lang w:val="es-PR"/>
        </w:rPr>
        <w:t xml:space="preserve"> Cambiar la dosis de </w:t>
      </w:r>
      <w:proofErr w:type="spellStart"/>
      <w:r w:rsidRPr="00822E5A">
        <w:rPr>
          <w:sz w:val="32"/>
          <w:szCs w:val="32"/>
          <w:lang w:val="es-PR"/>
        </w:rPr>
        <w:t>mifepristona</w:t>
      </w:r>
      <w:proofErr w:type="spellEnd"/>
      <w:r w:rsidRPr="00822E5A">
        <w:rPr>
          <w:sz w:val="32"/>
          <w:szCs w:val="32"/>
          <w:lang w:val="es-PR"/>
        </w:rPr>
        <w:t xml:space="preserve"> (600 mg a 200 mg) y</w:t>
      </w:r>
    </w:p>
    <w:p w:rsidR="00822E5A" w:rsidRPr="00822E5A" w:rsidRDefault="00822E5A" w:rsidP="00822E5A">
      <w:pPr>
        <w:pStyle w:val="NoSpacing"/>
        <w:rPr>
          <w:sz w:val="32"/>
          <w:szCs w:val="32"/>
          <w:lang w:val="es-PR"/>
        </w:rPr>
      </w:pPr>
      <w:proofErr w:type="spellStart"/>
      <w:r w:rsidRPr="00822E5A">
        <w:rPr>
          <w:sz w:val="32"/>
          <w:szCs w:val="32"/>
          <w:lang w:val="es-PR"/>
        </w:rPr>
        <w:t>misoprostol</w:t>
      </w:r>
      <w:proofErr w:type="spellEnd"/>
      <w:r w:rsidRPr="00822E5A">
        <w:rPr>
          <w:sz w:val="32"/>
          <w:szCs w:val="32"/>
          <w:lang w:val="es-PR"/>
        </w:rPr>
        <w:t xml:space="preserve"> (400 </w:t>
      </w:r>
      <w:proofErr w:type="spellStart"/>
      <w:r w:rsidRPr="00822E5A">
        <w:rPr>
          <w:sz w:val="32"/>
          <w:szCs w:val="32"/>
          <w:lang w:val="es-PR"/>
        </w:rPr>
        <w:t>mcg</w:t>
      </w:r>
      <w:proofErr w:type="spellEnd"/>
      <w:r w:rsidRPr="00822E5A">
        <w:rPr>
          <w:sz w:val="32"/>
          <w:szCs w:val="32"/>
          <w:lang w:val="es-PR"/>
        </w:rPr>
        <w:t xml:space="preserve"> a 800 </w:t>
      </w:r>
      <w:proofErr w:type="spellStart"/>
      <w:r w:rsidRPr="00822E5A">
        <w:rPr>
          <w:sz w:val="32"/>
          <w:szCs w:val="32"/>
          <w:lang w:val="es-PR"/>
        </w:rPr>
        <w:t>mcg</w:t>
      </w:r>
      <w:proofErr w:type="spellEnd"/>
      <w:r w:rsidRPr="00822E5A">
        <w:rPr>
          <w:sz w:val="32"/>
          <w:szCs w:val="32"/>
          <w:lang w:val="es-PR"/>
        </w:rPr>
        <w:t>).</w:t>
      </w:r>
    </w:p>
    <w:p w:rsidR="00822E5A" w:rsidRDefault="00822E5A" w:rsidP="00822E5A">
      <w:pPr>
        <w:pStyle w:val="NoSpacing"/>
        <w:rPr>
          <w:sz w:val="32"/>
          <w:szCs w:val="32"/>
          <w:lang w:val="es-PR"/>
        </w:rPr>
      </w:pPr>
      <w:r w:rsidRPr="00822E5A">
        <w:rPr>
          <w:sz w:val="32"/>
          <w:szCs w:val="32"/>
          <w:lang w:val="es-PR"/>
        </w:rPr>
        <w:t xml:space="preserve">Identificación. en 2, 26. La FDA también señaló una serie de estudios como evidencia de que </w:t>
      </w:r>
      <w:proofErr w:type="spellStart"/>
      <w:r w:rsidRPr="00822E5A">
        <w:rPr>
          <w:sz w:val="32"/>
          <w:szCs w:val="32"/>
          <w:lang w:val="es-PR"/>
        </w:rPr>
        <w:t>Mifeprex</w:t>
      </w:r>
      <w:proofErr w:type="spellEnd"/>
      <w:r w:rsidRPr="00822E5A">
        <w:rPr>
          <w:sz w:val="32"/>
          <w:szCs w:val="32"/>
          <w:lang w:val="es-PR"/>
        </w:rPr>
        <w:t xml:space="preserve"> sería seguro y efectivo a pesar de las enmiendas. Identificación. en 5–17.</w:t>
      </w:r>
    </w:p>
    <w:p w:rsidR="00822E5A" w:rsidRDefault="00822E5A" w:rsidP="00822E5A">
      <w:pPr>
        <w:pStyle w:val="NoSpacing"/>
        <w:rPr>
          <w:sz w:val="32"/>
          <w:szCs w:val="32"/>
          <w:lang w:val="es-PR"/>
        </w:rPr>
      </w:pPr>
    </w:p>
    <w:p w:rsidR="00822E5A" w:rsidRPr="00822E5A" w:rsidRDefault="00822E5A" w:rsidP="00822E5A">
      <w:pPr>
        <w:pStyle w:val="NoSpacing"/>
        <w:rPr>
          <w:sz w:val="32"/>
          <w:szCs w:val="32"/>
          <w:lang w:val="es-PR"/>
        </w:rPr>
      </w:pPr>
      <w:r w:rsidRPr="00822E5A">
        <w:rPr>
          <w:sz w:val="32"/>
          <w:szCs w:val="32"/>
          <w:lang w:val="es-PR"/>
        </w:rPr>
        <w:t>Varios años después, en 2019, la Asociación Estadounidense de Obstetras y Ginecólogos Pro-Vida y el Colegio Estadounidense de Pediatras presentaron una</w:t>
      </w:r>
    </w:p>
    <w:p w:rsidR="00822E5A" w:rsidRPr="00822E5A" w:rsidRDefault="00822E5A" w:rsidP="00822E5A">
      <w:pPr>
        <w:pStyle w:val="NoSpacing"/>
        <w:rPr>
          <w:sz w:val="32"/>
          <w:szCs w:val="32"/>
          <w:lang w:val="es-PR"/>
        </w:rPr>
      </w:pPr>
      <w:r w:rsidRPr="00822E5A">
        <w:rPr>
          <w:sz w:val="32"/>
          <w:szCs w:val="32"/>
          <w:lang w:val="es-PR"/>
        </w:rPr>
        <w:t>petición ciudadana que impugna las Enmiendas de 2016. La petición en general</w:t>
      </w:r>
    </w:p>
    <w:p w:rsidR="00822E5A" w:rsidRPr="00822E5A" w:rsidRDefault="00822E5A" w:rsidP="00822E5A">
      <w:pPr>
        <w:pStyle w:val="NoSpacing"/>
        <w:rPr>
          <w:sz w:val="32"/>
          <w:szCs w:val="32"/>
          <w:lang w:val="es-PR"/>
        </w:rPr>
      </w:pPr>
      <w:r w:rsidRPr="00822E5A">
        <w:rPr>
          <w:sz w:val="32"/>
          <w:szCs w:val="32"/>
          <w:lang w:val="es-PR"/>
        </w:rPr>
        <w:t>solicitó que la FDA restableciera las restricciones que impuso en 2000. Por separado,</w:t>
      </w:r>
    </w:p>
    <w:p w:rsidR="00822E5A" w:rsidRPr="00822E5A" w:rsidRDefault="00822E5A" w:rsidP="00822E5A">
      <w:pPr>
        <w:pStyle w:val="NoSpacing"/>
        <w:rPr>
          <w:sz w:val="32"/>
          <w:szCs w:val="32"/>
          <w:lang w:val="es-PR"/>
        </w:rPr>
      </w:pPr>
      <w:r w:rsidRPr="00822E5A">
        <w:rPr>
          <w:sz w:val="32"/>
          <w:szCs w:val="32"/>
          <w:lang w:val="es-PR"/>
        </w:rPr>
        <w:t>en abril de 2019, la FDA aprobó una "solicitud de nuevo medicamento abreviada" por</w:t>
      </w:r>
    </w:p>
    <w:p w:rsidR="00822E5A" w:rsidRPr="00822E5A" w:rsidRDefault="00822E5A" w:rsidP="00822E5A">
      <w:pPr>
        <w:pStyle w:val="NoSpacing"/>
        <w:rPr>
          <w:sz w:val="32"/>
          <w:szCs w:val="32"/>
          <w:lang w:val="es-PR"/>
        </w:rPr>
      </w:pPr>
      <w:proofErr w:type="spellStart"/>
      <w:r w:rsidRPr="00822E5A">
        <w:rPr>
          <w:sz w:val="32"/>
          <w:szCs w:val="32"/>
          <w:lang w:val="es-PR"/>
        </w:rPr>
        <w:t>GenBioPro</w:t>
      </w:r>
      <w:proofErr w:type="spellEnd"/>
      <w:r w:rsidRPr="00822E5A">
        <w:rPr>
          <w:sz w:val="32"/>
          <w:szCs w:val="32"/>
          <w:lang w:val="es-PR"/>
        </w:rPr>
        <w:t xml:space="preserve">, Inc. por una versión genérica de </w:t>
      </w:r>
      <w:proofErr w:type="spellStart"/>
      <w:r w:rsidRPr="00822E5A">
        <w:rPr>
          <w:sz w:val="32"/>
          <w:szCs w:val="32"/>
          <w:lang w:val="es-PR"/>
        </w:rPr>
        <w:t>mifepristona</w:t>
      </w:r>
      <w:proofErr w:type="spellEnd"/>
      <w:r w:rsidRPr="00822E5A">
        <w:rPr>
          <w:sz w:val="32"/>
          <w:szCs w:val="32"/>
          <w:lang w:val="es-PR"/>
        </w:rPr>
        <w:t>. Para evaluar si el</w:t>
      </w:r>
    </w:p>
    <w:p w:rsidR="00822E5A" w:rsidRPr="00822E5A" w:rsidRDefault="00822E5A" w:rsidP="00822E5A">
      <w:pPr>
        <w:pStyle w:val="NoSpacing"/>
        <w:rPr>
          <w:sz w:val="32"/>
          <w:szCs w:val="32"/>
          <w:lang w:val="es-PR"/>
        </w:rPr>
      </w:pPr>
      <w:r w:rsidRPr="00822E5A">
        <w:rPr>
          <w:sz w:val="32"/>
          <w:szCs w:val="32"/>
          <w:lang w:val="es-PR"/>
        </w:rPr>
        <w:t>droga era segura, la agencia se basó en los mismos datos en los que se había basado para</w:t>
      </w:r>
    </w:p>
    <w:p w:rsidR="00822E5A" w:rsidRPr="00822E5A" w:rsidRDefault="00822E5A" w:rsidP="00822E5A">
      <w:pPr>
        <w:pStyle w:val="NoSpacing"/>
        <w:rPr>
          <w:sz w:val="32"/>
          <w:szCs w:val="32"/>
          <w:lang w:val="es-PR"/>
        </w:rPr>
      </w:pPr>
      <w:r w:rsidRPr="00822E5A">
        <w:rPr>
          <w:sz w:val="32"/>
          <w:szCs w:val="32"/>
          <w:lang w:val="es-PR"/>
        </w:rPr>
        <w:t xml:space="preserve">la Aprobación de 2000 y Modificaciones de 2016 con respecto a </w:t>
      </w:r>
      <w:proofErr w:type="spellStart"/>
      <w:r w:rsidRPr="00822E5A">
        <w:rPr>
          <w:sz w:val="32"/>
          <w:szCs w:val="32"/>
          <w:lang w:val="es-PR"/>
        </w:rPr>
        <w:t>Mifeprex</w:t>
      </w:r>
      <w:proofErr w:type="spellEnd"/>
      <w:r w:rsidRPr="00822E5A">
        <w:rPr>
          <w:sz w:val="32"/>
          <w:szCs w:val="32"/>
          <w:lang w:val="es-PR"/>
        </w:rPr>
        <w:t>.</w:t>
      </w:r>
    </w:p>
    <w:p w:rsidR="00822E5A" w:rsidRPr="00822E5A" w:rsidRDefault="00822E5A" w:rsidP="00822E5A">
      <w:pPr>
        <w:pStyle w:val="NoSpacing"/>
        <w:rPr>
          <w:sz w:val="32"/>
          <w:szCs w:val="32"/>
          <w:lang w:val="es-PR"/>
        </w:rPr>
      </w:pPr>
      <w:r w:rsidRPr="00822E5A">
        <w:rPr>
          <w:sz w:val="32"/>
          <w:szCs w:val="32"/>
          <w:lang w:val="es-PR"/>
        </w:rPr>
        <w:t>Expediente: 23-10362 Folio: 543-1 Folio: 9 Fecha Radicado: 16/08/2023</w:t>
      </w:r>
    </w:p>
    <w:p w:rsidR="00822E5A" w:rsidRPr="00822E5A" w:rsidRDefault="00822E5A" w:rsidP="00822E5A">
      <w:pPr>
        <w:pStyle w:val="NoSpacing"/>
        <w:rPr>
          <w:sz w:val="32"/>
          <w:szCs w:val="32"/>
          <w:lang w:val="es-PR"/>
        </w:rPr>
      </w:pPr>
      <w:r w:rsidRPr="00822E5A">
        <w:rPr>
          <w:sz w:val="32"/>
          <w:szCs w:val="32"/>
          <w:lang w:val="es-PR"/>
        </w:rPr>
        <w:t>Nº 23-10362</w:t>
      </w:r>
    </w:p>
    <w:p w:rsidR="00822E5A" w:rsidRPr="00822E5A" w:rsidRDefault="00822E5A" w:rsidP="00822E5A">
      <w:pPr>
        <w:pStyle w:val="NoSpacing"/>
        <w:rPr>
          <w:sz w:val="32"/>
          <w:szCs w:val="32"/>
          <w:lang w:val="es-PR"/>
        </w:rPr>
      </w:pPr>
      <w:r w:rsidRPr="00822E5A">
        <w:rPr>
          <w:sz w:val="32"/>
          <w:szCs w:val="32"/>
          <w:lang w:val="es-PR"/>
        </w:rPr>
        <w:t>10</w:t>
      </w:r>
    </w:p>
    <w:p w:rsidR="00822E5A" w:rsidRPr="00822E5A" w:rsidRDefault="00822E5A" w:rsidP="00822E5A">
      <w:pPr>
        <w:pStyle w:val="NoSpacing"/>
        <w:rPr>
          <w:sz w:val="32"/>
          <w:szCs w:val="32"/>
          <w:lang w:val="es-PR"/>
        </w:rPr>
      </w:pPr>
      <w:r w:rsidRPr="00822E5A">
        <w:rPr>
          <w:sz w:val="32"/>
          <w:szCs w:val="32"/>
          <w:lang w:val="es-PR"/>
        </w:rPr>
        <w:t>Luego, la FDA tomó varias medidas notables en 2021. En abril, anunció</w:t>
      </w:r>
    </w:p>
    <w:p w:rsidR="00822E5A" w:rsidRPr="00822E5A" w:rsidRDefault="00822E5A" w:rsidP="00822E5A">
      <w:pPr>
        <w:pStyle w:val="NoSpacing"/>
        <w:rPr>
          <w:sz w:val="32"/>
          <w:szCs w:val="32"/>
          <w:lang w:val="es-PR"/>
        </w:rPr>
      </w:pPr>
      <w:r w:rsidRPr="00822E5A">
        <w:rPr>
          <w:sz w:val="32"/>
          <w:szCs w:val="32"/>
          <w:lang w:val="es-PR"/>
        </w:rPr>
        <w:t xml:space="preserve">que, en relación con la pandemia de COVID-19, la agencia no haría cumplir el requisito de despacho en persona. Efectivamente, esto permitió que la </w:t>
      </w:r>
      <w:proofErr w:type="spellStart"/>
      <w:r w:rsidRPr="00822E5A">
        <w:rPr>
          <w:sz w:val="32"/>
          <w:szCs w:val="32"/>
          <w:lang w:val="es-PR"/>
        </w:rPr>
        <w:t>mifepristona</w:t>
      </w:r>
      <w:proofErr w:type="spellEnd"/>
      <w:r w:rsidRPr="00822E5A">
        <w:rPr>
          <w:sz w:val="32"/>
          <w:szCs w:val="32"/>
          <w:lang w:val="es-PR"/>
        </w:rPr>
        <w:t xml:space="preserve"> se recetara de forma remota y se enviara por correo.</w:t>
      </w:r>
    </w:p>
    <w:p w:rsidR="00822E5A" w:rsidRPr="00822E5A" w:rsidRDefault="00822E5A" w:rsidP="00822E5A">
      <w:pPr>
        <w:pStyle w:val="NoSpacing"/>
        <w:rPr>
          <w:sz w:val="32"/>
          <w:szCs w:val="32"/>
          <w:lang w:val="es-PR"/>
        </w:rPr>
      </w:pPr>
      <w:r w:rsidRPr="00822E5A">
        <w:rPr>
          <w:sz w:val="32"/>
          <w:szCs w:val="32"/>
          <w:lang w:val="es-PR"/>
        </w:rPr>
        <w:t>[FDA] tiene la intención de ejercer la discreción de aplicación durante el</w:t>
      </w:r>
    </w:p>
    <w:p w:rsidR="00822E5A" w:rsidRPr="00822E5A" w:rsidRDefault="00822E5A" w:rsidP="00822E5A">
      <w:pPr>
        <w:pStyle w:val="NoSpacing"/>
        <w:rPr>
          <w:sz w:val="32"/>
          <w:szCs w:val="32"/>
          <w:lang w:val="es-PR"/>
        </w:rPr>
      </w:pPr>
      <w:r w:rsidRPr="00822E5A">
        <w:rPr>
          <w:sz w:val="32"/>
          <w:szCs w:val="32"/>
          <w:lang w:val="es-PR"/>
        </w:rPr>
        <w:lastRenderedPageBreak/>
        <w:t xml:space="preserve">COVID-19 [pandemia] con respecto al requisito de dispensación en persona del Programa REMS de </w:t>
      </w:r>
      <w:proofErr w:type="spellStart"/>
      <w:r w:rsidRPr="00822E5A">
        <w:rPr>
          <w:sz w:val="32"/>
          <w:szCs w:val="32"/>
          <w:lang w:val="es-PR"/>
        </w:rPr>
        <w:t>mifepristona</w:t>
      </w:r>
      <w:proofErr w:type="spellEnd"/>
      <w:r w:rsidRPr="00822E5A">
        <w:rPr>
          <w:sz w:val="32"/>
          <w:szCs w:val="32"/>
          <w:lang w:val="es-PR"/>
        </w:rPr>
        <w:t>, que incluye</w:t>
      </w:r>
    </w:p>
    <w:p w:rsidR="00822E5A" w:rsidRPr="00822E5A" w:rsidRDefault="00822E5A" w:rsidP="00822E5A">
      <w:pPr>
        <w:pStyle w:val="NoSpacing"/>
        <w:rPr>
          <w:sz w:val="32"/>
          <w:szCs w:val="32"/>
          <w:lang w:val="es-PR"/>
        </w:rPr>
      </w:pPr>
      <w:r w:rsidRPr="00822E5A">
        <w:rPr>
          <w:sz w:val="32"/>
          <w:szCs w:val="32"/>
          <w:lang w:val="es-PR"/>
        </w:rPr>
        <w:t>cualquier requisito en persona que pueda estar relacionado con el paciente</w:t>
      </w:r>
    </w:p>
    <w:p w:rsidR="00822E5A" w:rsidRPr="00822E5A" w:rsidRDefault="00822E5A" w:rsidP="00822E5A">
      <w:pPr>
        <w:pStyle w:val="NoSpacing"/>
        <w:rPr>
          <w:sz w:val="32"/>
          <w:szCs w:val="32"/>
          <w:lang w:val="es-PR"/>
        </w:rPr>
      </w:pPr>
      <w:r w:rsidRPr="00822E5A">
        <w:rPr>
          <w:sz w:val="32"/>
          <w:szCs w:val="32"/>
          <w:lang w:val="es-PR"/>
        </w:rPr>
        <w:t>Formulario de Acuerdo. Más . . . [FDA] tiene la intención de ejercer la discreción de aplicación durante la [pandemia] COVID-19 con</w:t>
      </w:r>
    </w:p>
    <w:p w:rsidR="00822E5A" w:rsidRPr="00822E5A" w:rsidRDefault="00822E5A" w:rsidP="00822E5A">
      <w:pPr>
        <w:pStyle w:val="NoSpacing"/>
        <w:rPr>
          <w:sz w:val="32"/>
          <w:szCs w:val="32"/>
          <w:lang w:val="es-PR"/>
        </w:rPr>
      </w:pPr>
      <w:r w:rsidRPr="00822E5A">
        <w:rPr>
          <w:sz w:val="32"/>
          <w:szCs w:val="32"/>
          <w:lang w:val="es-PR"/>
        </w:rPr>
        <w:t xml:space="preserve">con respecto a la dispensación de </w:t>
      </w:r>
      <w:proofErr w:type="spellStart"/>
      <w:r w:rsidRPr="00822E5A">
        <w:rPr>
          <w:sz w:val="32"/>
          <w:szCs w:val="32"/>
          <w:lang w:val="es-PR"/>
        </w:rPr>
        <w:t>mifepristona</w:t>
      </w:r>
      <w:proofErr w:type="spellEnd"/>
      <w:r w:rsidRPr="00822E5A">
        <w:rPr>
          <w:sz w:val="32"/>
          <w:szCs w:val="32"/>
          <w:lang w:val="es-PR"/>
        </w:rPr>
        <w:t xml:space="preserve"> por correo ya sea por o bajo la supervisión de un prescriptor certificado, o</w:t>
      </w:r>
    </w:p>
    <w:p w:rsidR="00822E5A" w:rsidRPr="00822E5A" w:rsidRDefault="00822E5A" w:rsidP="00822E5A">
      <w:pPr>
        <w:pStyle w:val="NoSpacing"/>
        <w:rPr>
          <w:sz w:val="32"/>
          <w:szCs w:val="32"/>
          <w:lang w:val="es-PR"/>
        </w:rPr>
      </w:pPr>
      <w:r w:rsidRPr="00822E5A">
        <w:rPr>
          <w:sz w:val="32"/>
          <w:szCs w:val="32"/>
          <w:lang w:val="es-PR"/>
        </w:rPr>
        <w:t>a través de una farmacia de pedidos por correo cuando se realiza dicha dispensación</w:t>
      </w:r>
    </w:p>
    <w:p w:rsidR="00822E5A" w:rsidRPr="00822E5A" w:rsidRDefault="00822E5A" w:rsidP="00822E5A">
      <w:pPr>
        <w:pStyle w:val="NoSpacing"/>
        <w:rPr>
          <w:sz w:val="32"/>
          <w:szCs w:val="32"/>
          <w:lang w:val="es-PR"/>
        </w:rPr>
      </w:pPr>
      <w:r w:rsidRPr="00822E5A">
        <w:rPr>
          <w:sz w:val="32"/>
          <w:szCs w:val="32"/>
          <w:lang w:val="es-PR"/>
        </w:rPr>
        <w:t>bajo la supervisión de un prescriptor certificado.</w:t>
      </w:r>
    </w:p>
    <w:p w:rsidR="00822E5A" w:rsidRPr="00822E5A" w:rsidRDefault="00822E5A" w:rsidP="00822E5A">
      <w:pPr>
        <w:pStyle w:val="NoSpacing"/>
        <w:rPr>
          <w:sz w:val="32"/>
          <w:szCs w:val="32"/>
          <w:lang w:val="es-PR"/>
        </w:rPr>
      </w:pPr>
      <w:r w:rsidRPr="00822E5A">
        <w:rPr>
          <w:sz w:val="32"/>
          <w:szCs w:val="32"/>
          <w:lang w:val="es-PR"/>
        </w:rPr>
        <w:t>Carta de la FDA al Colegio Estadounidense de Obstetras y Ginecólogos en (12 de abril de 2021). Más tarde ese año, la FDA declaró que adoptaría el ca</w:t>
      </w:r>
      <w:r>
        <w:rPr>
          <w:sz w:val="32"/>
          <w:szCs w:val="32"/>
          <w:lang w:val="es-PR"/>
        </w:rPr>
        <w:t xml:space="preserve">mbio </w:t>
      </w:r>
      <w:r w:rsidRPr="00822E5A">
        <w:rPr>
          <w:sz w:val="32"/>
          <w:szCs w:val="32"/>
          <w:lang w:val="es-PR"/>
        </w:rPr>
        <w:t>de forma permanente. Luego modificó el REMS</w:t>
      </w:r>
      <w:r>
        <w:rPr>
          <w:sz w:val="32"/>
          <w:szCs w:val="32"/>
          <w:lang w:val="es-PR"/>
        </w:rPr>
        <w:t xml:space="preserve"> de </w:t>
      </w:r>
      <w:proofErr w:type="spellStart"/>
      <w:r>
        <w:rPr>
          <w:sz w:val="32"/>
          <w:szCs w:val="32"/>
          <w:lang w:val="es-PR"/>
        </w:rPr>
        <w:t>mifepristona</w:t>
      </w:r>
      <w:proofErr w:type="spellEnd"/>
      <w:r>
        <w:rPr>
          <w:sz w:val="32"/>
          <w:szCs w:val="32"/>
          <w:lang w:val="es-PR"/>
        </w:rPr>
        <w:t xml:space="preserve"> (que se </w:t>
      </w:r>
      <w:proofErr w:type="spellStart"/>
      <w:r>
        <w:rPr>
          <w:sz w:val="32"/>
          <w:szCs w:val="32"/>
          <w:lang w:val="es-PR"/>
        </w:rPr>
        <w:t>aplica</w:t>
      </w:r>
      <w:r w:rsidRPr="00822E5A">
        <w:rPr>
          <w:sz w:val="32"/>
          <w:szCs w:val="32"/>
          <w:lang w:val="es-PR"/>
        </w:rPr>
        <w:t>a</w:t>
      </w:r>
      <w:proofErr w:type="spellEnd"/>
      <w:r w:rsidRPr="00822E5A">
        <w:rPr>
          <w:sz w:val="32"/>
          <w:szCs w:val="32"/>
          <w:lang w:val="es-PR"/>
        </w:rPr>
        <w:t xml:space="preserve"> </w:t>
      </w:r>
      <w:proofErr w:type="spellStart"/>
      <w:r w:rsidRPr="00822E5A">
        <w:rPr>
          <w:sz w:val="32"/>
          <w:szCs w:val="32"/>
          <w:lang w:val="es-PR"/>
        </w:rPr>
        <w:t>Mifeprex</w:t>
      </w:r>
      <w:proofErr w:type="spellEnd"/>
      <w:r w:rsidRPr="00822E5A">
        <w:rPr>
          <w:sz w:val="32"/>
          <w:szCs w:val="32"/>
          <w:lang w:val="es-PR"/>
        </w:rPr>
        <w:t xml:space="preserve"> y la versión genérica) en enero de 2023 para formalizar la eliminación del requisito de dispensación presencial. FDA Hno. a las 11.</w:t>
      </w:r>
    </w:p>
    <w:p w:rsidR="00822E5A" w:rsidRPr="00822E5A" w:rsidRDefault="00822E5A" w:rsidP="00822E5A">
      <w:pPr>
        <w:pStyle w:val="NoSpacing"/>
        <w:rPr>
          <w:sz w:val="32"/>
          <w:szCs w:val="32"/>
          <w:lang w:val="es-PR"/>
        </w:rPr>
      </w:pPr>
      <w:r w:rsidRPr="00822E5A">
        <w:rPr>
          <w:sz w:val="32"/>
          <w:szCs w:val="32"/>
          <w:lang w:val="es-PR"/>
        </w:rPr>
        <w:t>Finalmente, en diciembre de 2021, la FDA denegó</w:t>
      </w:r>
      <w:r>
        <w:rPr>
          <w:sz w:val="32"/>
          <w:szCs w:val="32"/>
          <w:lang w:val="es-PR"/>
        </w:rPr>
        <w:t xml:space="preserve"> la petición ciudadana de 2019.</w:t>
      </w:r>
      <w:r w:rsidRPr="00822E5A">
        <w:rPr>
          <w:sz w:val="32"/>
          <w:szCs w:val="32"/>
          <w:lang w:val="es-PR"/>
        </w:rPr>
        <w:t>Según la FDA, la agencia “realizó una revis</w:t>
      </w:r>
      <w:r>
        <w:rPr>
          <w:sz w:val="32"/>
          <w:szCs w:val="32"/>
          <w:lang w:val="es-PR"/>
        </w:rPr>
        <w:t xml:space="preserve">ión completa de la </w:t>
      </w:r>
      <w:proofErr w:type="spellStart"/>
      <w:r>
        <w:rPr>
          <w:sz w:val="32"/>
          <w:szCs w:val="32"/>
          <w:lang w:val="es-PR"/>
        </w:rPr>
        <w:t>Mifepristona</w:t>
      </w:r>
      <w:proofErr w:type="spellEnd"/>
      <w:r>
        <w:rPr>
          <w:sz w:val="32"/>
          <w:szCs w:val="32"/>
          <w:lang w:val="es-PR"/>
        </w:rPr>
        <w:t xml:space="preserve"> </w:t>
      </w:r>
      <w:r w:rsidRPr="00822E5A">
        <w:rPr>
          <w:sz w:val="32"/>
          <w:szCs w:val="32"/>
          <w:lang w:val="es-PR"/>
        </w:rPr>
        <w:t>Programa REMS” y finalmente concluyó que el medi</w:t>
      </w:r>
      <w:r>
        <w:rPr>
          <w:sz w:val="32"/>
          <w:szCs w:val="32"/>
          <w:lang w:val="es-PR"/>
        </w:rPr>
        <w:t xml:space="preserve">camento era seguro de usar como </w:t>
      </w:r>
      <w:r w:rsidRPr="00822E5A">
        <w:rPr>
          <w:sz w:val="32"/>
          <w:szCs w:val="32"/>
          <w:lang w:val="es-PR"/>
        </w:rPr>
        <w:t>modificado. Carta de denegación de la FDA al Colegio Estadounidense de Obstetras y Ginecólogos en 6 (16 de diciembre de 2021). La FDA abordó e</w:t>
      </w:r>
      <w:r>
        <w:rPr>
          <w:sz w:val="32"/>
          <w:szCs w:val="32"/>
          <w:lang w:val="es-PR"/>
        </w:rPr>
        <w:t xml:space="preserve">specíficamente sus razones para </w:t>
      </w:r>
      <w:r w:rsidRPr="00822E5A">
        <w:rPr>
          <w:sz w:val="32"/>
          <w:szCs w:val="32"/>
          <w:lang w:val="es-PR"/>
        </w:rPr>
        <w:t>eliminar el requisito de dispensación en persona. Identificación. en 25–36.</w:t>
      </w:r>
    </w:p>
    <w:p w:rsidR="00822E5A" w:rsidRPr="00822E5A" w:rsidRDefault="00822E5A" w:rsidP="00822E5A">
      <w:pPr>
        <w:pStyle w:val="NoSpacing"/>
        <w:rPr>
          <w:sz w:val="32"/>
          <w:szCs w:val="32"/>
          <w:lang w:val="es-PR"/>
        </w:rPr>
      </w:pPr>
      <w:r w:rsidRPr="00822E5A">
        <w:rPr>
          <w:sz w:val="32"/>
          <w:szCs w:val="32"/>
          <w:lang w:val="es-PR"/>
        </w:rPr>
        <w:t>* * *</w:t>
      </w:r>
    </w:p>
    <w:p w:rsidR="00822E5A" w:rsidRPr="00822E5A" w:rsidRDefault="00822E5A" w:rsidP="00822E5A">
      <w:pPr>
        <w:pStyle w:val="NoSpacing"/>
        <w:rPr>
          <w:sz w:val="32"/>
          <w:szCs w:val="32"/>
          <w:lang w:val="es-PR"/>
        </w:rPr>
      </w:pPr>
      <w:r w:rsidRPr="00822E5A">
        <w:rPr>
          <w:sz w:val="32"/>
          <w:szCs w:val="32"/>
          <w:lang w:val="es-PR"/>
        </w:rPr>
        <w:t>En este contexto, las Organizaciones Médicas y los Médi</w:t>
      </w:r>
      <w:r>
        <w:rPr>
          <w:sz w:val="32"/>
          <w:szCs w:val="32"/>
          <w:lang w:val="es-PR"/>
        </w:rPr>
        <w:t xml:space="preserve">cos </w:t>
      </w:r>
      <w:proofErr w:type="spellStart"/>
      <w:r>
        <w:rPr>
          <w:sz w:val="32"/>
          <w:szCs w:val="32"/>
          <w:lang w:val="es-PR"/>
        </w:rPr>
        <w:t>presentaron</w:t>
      </w:r>
      <w:r w:rsidRPr="00822E5A">
        <w:rPr>
          <w:sz w:val="32"/>
          <w:szCs w:val="32"/>
          <w:lang w:val="es-PR"/>
        </w:rPr>
        <w:t>la</w:t>
      </w:r>
      <w:proofErr w:type="spellEnd"/>
      <w:r w:rsidRPr="00822E5A">
        <w:rPr>
          <w:sz w:val="32"/>
          <w:szCs w:val="32"/>
          <w:lang w:val="es-PR"/>
        </w:rPr>
        <w:t xml:space="preserve"> presente denuncia en el tribunal de distrito. Co</w:t>
      </w:r>
      <w:r>
        <w:rPr>
          <w:sz w:val="32"/>
          <w:szCs w:val="32"/>
          <w:lang w:val="es-PR"/>
        </w:rPr>
        <w:t>mo relevante aquí, alegaron que c</w:t>
      </w:r>
      <w:r w:rsidRPr="00822E5A">
        <w:rPr>
          <w:sz w:val="32"/>
          <w:szCs w:val="32"/>
          <w:lang w:val="es-PR"/>
        </w:rPr>
        <w:t>ada acción de la FDA: la aprobación de 2000, las enmiendas de 2016, el genérico de 2019</w:t>
      </w:r>
    </w:p>
    <w:p w:rsidR="00822E5A" w:rsidRDefault="00822E5A" w:rsidP="00822E5A">
      <w:pPr>
        <w:pStyle w:val="NoSpacing"/>
        <w:rPr>
          <w:sz w:val="32"/>
          <w:szCs w:val="32"/>
          <w:lang w:val="es-PR"/>
        </w:rPr>
      </w:pPr>
    </w:p>
    <w:p w:rsidR="00822E5A" w:rsidRPr="00822E5A" w:rsidRDefault="00822E5A" w:rsidP="00822E5A">
      <w:pPr>
        <w:pStyle w:val="NoSpacing"/>
        <w:rPr>
          <w:sz w:val="32"/>
          <w:szCs w:val="32"/>
        </w:rPr>
      </w:pPr>
      <w:r w:rsidRPr="00822E5A">
        <w:rPr>
          <w:sz w:val="32"/>
          <w:szCs w:val="32"/>
          <w:lang w:val="es-PR"/>
        </w:rPr>
        <w:t xml:space="preserve">Aprobación y decisión de no ejecución de 2021: viola la Ley de procedimiento administrativo. </w:t>
      </w:r>
      <w:proofErr w:type="spellStart"/>
      <w:r w:rsidRPr="00822E5A">
        <w:rPr>
          <w:sz w:val="32"/>
          <w:szCs w:val="32"/>
          <w:lang w:val="es-PR"/>
        </w:rPr>
        <w:t>Danco</w:t>
      </w:r>
      <w:proofErr w:type="spellEnd"/>
      <w:r w:rsidRPr="00822E5A">
        <w:rPr>
          <w:sz w:val="32"/>
          <w:szCs w:val="32"/>
          <w:lang w:val="es-PR"/>
        </w:rPr>
        <w:t xml:space="preserve"> intervino para representar su </w:t>
      </w:r>
      <w:r w:rsidRPr="00822E5A">
        <w:rPr>
          <w:sz w:val="32"/>
          <w:szCs w:val="32"/>
          <w:lang w:val="es-PR"/>
        </w:rPr>
        <w:lastRenderedPageBreak/>
        <w:t xml:space="preserve">interés como fabricante y distribuidor de </w:t>
      </w:r>
      <w:proofErr w:type="spellStart"/>
      <w:r w:rsidRPr="00822E5A">
        <w:rPr>
          <w:sz w:val="32"/>
          <w:szCs w:val="32"/>
          <w:lang w:val="es-PR"/>
        </w:rPr>
        <w:t>Mifeprex</w:t>
      </w:r>
      <w:proofErr w:type="spellEnd"/>
      <w:r w:rsidRPr="00822E5A">
        <w:rPr>
          <w:sz w:val="32"/>
          <w:szCs w:val="32"/>
          <w:lang w:val="es-PR"/>
        </w:rPr>
        <w:t xml:space="preserve"> en los Estad</w:t>
      </w:r>
      <w:r>
        <w:rPr>
          <w:sz w:val="32"/>
          <w:szCs w:val="32"/>
          <w:lang w:val="es-PR"/>
        </w:rPr>
        <w:t xml:space="preserve">os Unidos. </w:t>
      </w:r>
      <w:proofErr w:type="spellStart"/>
      <w:r>
        <w:rPr>
          <w:sz w:val="32"/>
          <w:szCs w:val="32"/>
          <w:lang w:val="es-PR"/>
        </w:rPr>
        <w:t>GenBioPro</w:t>
      </w:r>
      <w:proofErr w:type="spellEnd"/>
      <w:r>
        <w:rPr>
          <w:sz w:val="32"/>
          <w:szCs w:val="32"/>
          <w:lang w:val="es-PR"/>
        </w:rPr>
        <w:t xml:space="preserve"> presentado </w:t>
      </w:r>
      <w:r w:rsidRPr="00822E5A">
        <w:rPr>
          <w:sz w:val="32"/>
          <w:szCs w:val="32"/>
          <w:lang w:val="es-PR"/>
        </w:rPr>
        <w:t xml:space="preserve">un escrito de </w:t>
      </w:r>
      <w:proofErr w:type="spellStart"/>
      <w:r w:rsidRPr="00822E5A">
        <w:rPr>
          <w:sz w:val="32"/>
          <w:szCs w:val="32"/>
          <w:lang w:val="es-PR"/>
        </w:rPr>
        <w:t>amicus</w:t>
      </w:r>
      <w:proofErr w:type="spellEnd"/>
      <w:r w:rsidRPr="00822E5A">
        <w:rPr>
          <w:sz w:val="32"/>
          <w:szCs w:val="32"/>
          <w:lang w:val="es-PR"/>
        </w:rPr>
        <w:t xml:space="preserve"> curia ante este tribunal,</w:t>
      </w:r>
      <w:r>
        <w:rPr>
          <w:sz w:val="32"/>
          <w:szCs w:val="32"/>
          <w:lang w:val="es-PR"/>
        </w:rPr>
        <w:t xml:space="preserve"> pero no intervino ni participó </w:t>
      </w:r>
      <w:r w:rsidRPr="00822E5A">
        <w:rPr>
          <w:sz w:val="32"/>
          <w:szCs w:val="32"/>
          <w:lang w:val="es-PR"/>
        </w:rPr>
        <w:t>en el litigio, ya sea en el tribunal de distrito o en apelación.</w:t>
      </w:r>
      <w:r w:rsidRPr="00822E5A">
        <w:rPr>
          <w:lang w:val="es-PR"/>
        </w:rPr>
        <w:t xml:space="preserve"> </w:t>
      </w:r>
      <w:r w:rsidRPr="00822E5A">
        <w:rPr>
          <w:sz w:val="32"/>
          <w:szCs w:val="32"/>
        </w:rPr>
        <w:t>The Medical Organizations and Doctors filed a motion for a preliminary injunction. The district court held a he</w:t>
      </w:r>
      <w:r>
        <w:rPr>
          <w:sz w:val="32"/>
          <w:szCs w:val="32"/>
        </w:rPr>
        <w:t xml:space="preserve">aring on the matter and granted </w:t>
      </w:r>
      <w:r w:rsidRPr="00822E5A">
        <w:rPr>
          <w:sz w:val="32"/>
          <w:szCs w:val="32"/>
        </w:rPr>
        <w:t>the motion in part. All. for Hippocratic Med.</w:t>
      </w:r>
    </w:p>
    <w:p w:rsidR="00822E5A" w:rsidRDefault="00822E5A" w:rsidP="00822E5A">
      <w:pPr>
        <w:pStyle w:val="NoSpacing"/>
        <w:rPr>
          <w:sz w:val="32"/>
          <w:szCs w:val="32"/>
        </w:rPr>
      </w:pPr>
    </w:p>
    <w:p w:rsidR="00822E5A" w:rsidRPr="00822E5A" w:rsidRDefault="00822E5A" w:rsidP="00822E5A">
      <w:pPr>
        <w:pStyle w:val="NoSpacing"/>
        <w:rPr>
          <w:sz w:val="32"/>
          <w:szCs w:val="32"/>
        </w:rPr>
      </w:pPr>
      <w:r w:rsidRPr="00822E5A">
        <w:rPr>
          <w:sz w:val="32"/>
          <w:szCs w:val="32"/>
        </w:rPr>
        <w:t>For</w:t>
      </w:r>
      <w:r>
        <w:rPr>
          <w:sz w:val="32"/>
          <w:szCs w:val="32"/>
        </w:rPr>
        <w:t xml:space="preserve"> relief, the court “stayed” </w:t>
      </w:r>
      <w:proofErr w:type="spellStart"/>
      <w:proofErr w:type="gramStart"/>
      <w:r>
        <w:rPr>
          <w:sz w:val="32"/>
          <w:szCs w:val="32"/>
        </w:rPr>
        <w:t>the</w:t>
      </w:r>
      <w:r w:rsidRPr="00822E5A">
        <w:rPr>
          <w:sz w:val="32"/>
          <w:szCs w:val="32"/>
        </w:rPr>
        <w:t>“</w:t>
      </w:r>
      <w:proofErr w:type="gramEnd"/>
      <w:r w:rsidRPr="00822E5A">
        <w:rPr>
          <w:sz w:val="32"/>
          <w:szCs w:val="32"/>
        </w:rPr>
        <w:t>effective</w:t>
      </w:r>
      <w:proofErr w:type="spellEnd"/>
      <w:r w:rsidRPr="00822E5A">
        <w:rPr>
          <w:sz w:val="32"/>
          <w:szCs w:val="32"/>
        </w:rPr>
        <w:t xml:space="preserve"> date” of FDA’</w:t>
      </w:r>
      <w:r>
        <w:rPr>
          <w:sz w:val="32"/>
          <w:szCs w:val="32"/>
        </w:rPr>
        <w:t>s actions under 5 U.S.C. § 705.</w:t>
      </w:r>
      <w:r w:rsidRPr="00822E5A">
        <w:rPr>
          <w:sz w:val="32"/>
          <w:szCs w:val="32"/>
        </w:rPr>
        <w:t xml:space="preserve">FDA and </w:t>
      </w:r>
      <w:proofErr w:type="spellStart"/>
      <w:r w:rsidRPr="00822E5A">
        <w:rPr>
          <w:sz w:val="32"/>
          <w:szCs w:val="32"/>
        </w:rPr>
        <w:t>Danco</w:t>
      </w:r>
      <w:proofErr w:type="spellEnd"/>
      <w:r w:rsidRPr="00822E5A">
        <w:rPr>
          <w:sz w:val="32"/>
          <w:szCs w:val="32"/>
        </w:rPr>
        <w:t xml:space="preserve"> appealed and moved to </w:t>
      </w:r>
      <w:r>
        <w:rPr>
          <w:sz w:val="32"/>
          <w:szCs w:val="32"/>
        </w:rPr>
        <w:t xml:space="preserve">stay the district court’s order </w:t>
      </w:r>
      <w:r w:rsidRPr="00822E5A">
        <w:rPr>
          <w:sz w:val="32"/>
          <w:szCs w:val="32"/>
        </w:rPr>
        <w:t>pending appeal. A motions panel of this court stayed the district court’s order in part. All. for Hippocratic Med. v. FDA</w:t>
      </w:r>
      <w:r>
        <w:rPr>
          <w:sz w:val="32"/>
          <w:szCs w:val="32"/>
        </w:rPr>
        <w:t xml:space="preserve">, No. 23-10362, 2023 WL 2913725 </w:t>
      </w:r>
      <w:r w:rsidRPr="00822E5A">
        <w:rPr>
          <w:sz w:val="32"/>
          <w:szCs w:val="32"/>
        </w:rPr>
        <w:t xml:space="preserve">(5th Cir. Apr. 12, 2023). The panel stayed the </w:t>
      </w:r>
      <w:r>
        <w:rPr>
          <w:sz w:val="32"/>
          <w:szCs w:val="32"/>
        </w:rPr>
        <w:t xml:space="preserve">portion of the district </w:t>
      </w:r>
      <w:proofErr w:type="spellStart"/>
      <w:r>
        <w:rPr>
          <w:sz w:val="32"/>
          <w:szCs w:val="32"/>
        </w:rPr>
        <w:t>court’s</w:t>
      </w:r>
      <w:r w:rsidRPr="00822E5A">
        <w:rPr>
          <w:sz w:val="32"/>
          <w:szCs w:val="32"/>
        </w:rPr>
        <w:t>order</w:t>
      </w:r>
      <w:proofErr w:type="spellEnd"/>
      <w:r w:rsidRPr="00822E5A">
        <w:rPr>
          <w:sz w:val="32"/>
          <w:szCs w:val="32"/>
        </w:rPr>
        <w:t xml:space="preserve"> relating to the 2000 Approval but did n</w:t>
      </w:r>
      <w:r>
        <w:rPr>
          <w:sz w:val="32"/>
          <w:szCs w:val="32"/>
        </w:rPr>
        <w:t xml:space="preserve">ot disturb the other </w:t>
      </w:r>
      <w:proofErr w:type="spellStart"/>
      <w:r>
        <w:rPr>
          <w:sz w:val="32"/>
          <w:szCs w:val="32"/>
        </w:rPr>
        <w:t>components</w:t>
      </w:r>
      <w:r w:rsidRPr="00822E5A">
        <w:rPr>
          <w:sz w:val="32"/>
          <w:szCs w:val="32"/>
        </w:rPr>
        <w:t>of</w:t>
      </w:r>
      <w:proofErr w:type="spellEnd"/>
      <w:r w:rsidRPr="00822E5A">
        <w:rPr>
          <w:sz w:val="32"/>
          <w:szCs w:val="32"/>
        </w:rPr>
        <w:t xml:space="preserve"> the order—regarding the 2016 Amendments, 2019 Generic Approval, and</w:t>
      </w:r>
    </w:p>
    <w:p w:rsidR="00822E5A" w:rsidRPr="00822E5A" w:rsidRDefault="00822E5A" w:rsidP="00822E5A">
      <w:pPr>
        <w:pStyle w:val="NoSpacing"/>
        <w:rPr>
          <w:sz w:val="32"/>
          <w:szCs w:val="32"/>
        </w:rPr>
      </w:pPr>
      <w:r w:rsidRPr="00822E5A">
        <w:rPr>
          <w:sz w:val="32"/>
          <w:szCs w:val="32"/>
        </w:rPr>
        <w:t xml:space="preserve">2021 Non-Enforcement Decision. FDA and </w:t>
      </w:r>
      <w:proofErr w:type="spellStart"/>
      <w:r w:rsidRPr="00822E5A">
        <w:rPr>
          <w:sz w:val="32"/>
          <w:szCs w:val="32"/>
        </w:rPr>
        <w:t>Danco</w:t>
      </w:r>
      <w:proofErr w:type="spellEnd"/>
      <w:r w:rsidRPr="00822E5A">
        <w:rPr>
          <w:sz w:val="32"/>
          <w:szCs w:val="32"/>
        </w:rPr>
        <w:t xml:space="preserve"> then applied to the Supreme Court for a full stay of the district co</w:t>
      </w:r>
      <w:r>
        <w:rPr>
          <w:sz w:val="32"/>
          <w:szCs w:val="32"/>
        </w:rPr>
        <w:t xml:space="preserve">urt’s order, which was </w:t>
      </w:r>
      <w:proofErr w:type="spellStart"/>
      <w:proofErr w:type="gramStart"/>
      <w:r>
        <w:rPr>
          <w:sz w:val="32"/>
          <w:szCs w:val="32"/>
        </w:rPr>
        <w:t>granted.</w:t>
      </w:r>
      <w:r w:rsidRPr="00822E5A">
        <w:rPr>
          <w:sz w:val="32"/>
          <w:szCs w:val="32"/>
        </w:rPr>
        <w:t>Danco</w:t>
      </w:r>
      <w:proofErr w:type="spellEnd"/>
      <w:proofErr w:type="gramEnd"/>
      <w:r w:rsidRPr="00822E5A">
        <w:rPr>
          <w:sz w:val="32"/>
          <w:szCs w:val="32"/>
        </w:rPr>
        <w:t xml:space="preserve"> </w:t>
      </w:r>
      <w:proofErr w:type="spellStart"/>
      <w:r w:rsidRPr="00822E5A">
        <w:rPr>
          <w:sz w:val="32"/>
          <w:szCs w:val="32"/>
        </w:rPr>
        <w:t>Lab’ys</w:t>
      </w:r>
      <w:proofErr w:type="spellEnd"/>
      <w:r w:rsidRPr="00822E5A">
        <w:rPr>
          <w:sz w:val="32"/>
          <w:szCs w:val="32"/>
        </w:rPr>
        <w:t>, LLC v. All. for Hippocratic Med., 143 S. Ct. 1075 (2023) (mem.).</w:t>
      </w:r>
    </w:p>
    <w:p w:rsidR="00822E5A" w:rsidRDefault="00822E5A" w:rsidP="00822E5A">
      <w:pPr>
        <w:pStyle w:val="NoSpacing"/>
        <w:rPr>
          <w:sz w:val="32"/>
          <w:szCs w:val="32"/>
        </w:rPr>
      </w:pPr>
    </w:p>
    <w:p w:rsidR="00822E5A" w:rsidRPr="00822E5A" w:rsidRDefault="00822E5A" w:rsidP="00822E5A">
      <w:pPr>
        <w:pStyle w:val="NoSpacing"/>
        <w:rPr>
          <w:sz w:val="32"/>
          <w:szCs w:val="32"/>
        </w:rPr>
      </w:pPr>
      <w:r w:rsidRPr="00822E5A">
        <w:rPr>
          <w:sz w:val="32"/>
          <w:szCs w:val="32"/>
        </w:rPr>
        <w:t>The Court further provided that its stay of t</w:t>
      </w:r>
      <w:r>
        <w:rPr>
          <w:sz w:val="32"/>
          <w:szCs w:val="32"/>
        </w:rPr>
        <w:t xml:space="preserve">he district court’s order </w:t>
      </w:r>
      <w:proofErr w:type="spellStart"/>
      <w:r>
        <w:rPr>
          <w:sz w:val="32"/>
          <w:szCs w:val="32"/>
        </w:rPr>
        <w:t>would</w:t>
      </w:r>
      <w:r w:rsidRPr="00822E5A">
        <w:rPr>
          <w:sz w:val="32"/>
          <w:szCs w:val="32"/>
        </w:rPr>
        <w:t>extend</w:t>
      </w:r>
      <w:proofErr w:type="spellEnd"/>
      <w:r w:rsidRPr="00822E5A">
        <w:rPr>
          <w:sz w:val="32"/>
          <w:szCs w:val="32"/>
        </w:rPr>
        <w:t xml:space="preserve"> through the request for a petition for certiorari, if any:</w:t>
      </w:r>
    </w:p>
    <w:p w:rsidR="00822E5A" w:rsidRPr="00822E5A" w:rsidRDefault="00822E5A" w:rsidP="00822E5A">
      <w:pPr>
        <w:pStyle w:val="NoSpacing"/>
        <w:rPr>
          <w:sz w:val="32"/>
          <w:szCs w:val="32"/>
        </w:rPr>
      </w:pPr>
      <w:r w:rsidRPr="00822E5A">
        <w:rPr>
          <w:sz w:val="32"/>
          <w:szCs w:val="32"/>
        </w:rPr>
        <w:t>The April 7, 2023 order of the United States District Court for</w:t>
      </w:r>
    </w:p>
    <w:p w:rsidR="00822E5A" w:rsidRPr="00822E5A" w:rsidRDefault="00822E5A" w:rsidP="00822E5A">
      <w:pPr>
        <w:pStyle w:val="NoSpacing"/>
        <w:rPr>
          <w:sz w:val="32"/>
          <w:szCs w:val="32"/>
        </w:rPr>
      </w:pPr>
      <w:r w:rsidRPr="00822E5A">
        <w:rPr>
          <w:sz w:val="32"/>
          <w:szCs w:val="32"/>
        </w:rPr>
        <w:t>the Northern District of Texas, case No. 2:22–cv–223, is</w:t>
      </w:r>
    </w:p>
    <w:p w:rsidR="00822E5A" w:rsidRPr="00822E5A" w:rsidRDefault="00822E5A" w:rsidP="00822E5A">
      <w:pPr>
        <w:pStyle w:val="NoSpacing"/>
        <w:rPr>
          <w:sz w:val="32"/>
          <w:szCs w:val="32"/>
        </w:rPr>
      </w:pPr>
      <w:r w:rsidRPr="00822E5A">
        <w:rPr>
          <w:sz w:val="32"/>
          <w:szCs w:val="32"/>
        </w:rPr>
        <w:t>stayed pending disposition of the appeal in the United States</w:t>
      </w:r>
    </w:p>
    <w:p w:rsidR="00822E5A" w:rsidRPr="00822E5A" w:rsidRDefault="00822E5A" w:rsidP="00822E5A">
      <w:pPr>
        <w:pStyle w:val="NoSpacing"/>
        <w:rPr>
          <w:sz w:val="32"/>
          <w:szCs w:val="32"/>
        </w:rPr>
      </w:pPr>
      <w:r w:rsidRPr="00822E5A">
        <w:rPr>
          <w:sz w:val="32"/>
          <w:szCs w:val="32"/>
        </w:rPr>
        <w:t>Court of Appeals for the Fifth Circuit and disposition of a petition for a writ of certiorari, if such a writ is timely sought.</w:t>
      </w:r>
    </w:p>
    <w:p w:rsidR="00822E5A" w:rsidRPr="00822E5A" w:rsidRDefault="00822E5A" w:rsidP="00822E5A">
      <w:pPr>
        <w:pStyle w:val="NoSpacing"/>
        <w:rPr>
          <w:sz w:val="32"/>
          <w:szCs w:val="32"/>
        </w:rPr>
      </w:pPr>
      <w:r w:rsidRPr="00822E5A">
        <w:rPr>
          <w:sz w:val="32"/>
          <w:szCs w:val="32"/>
        </w:rPr>
        <w:t xml:space="preserve">Should certiorari be denied, this stay shall terminate </w:t>
      </w:r>
      <w:proofErr w:type="gramStart"/>
      <w:r w:rsidRPr="00822E5A">
        <w:rPr>
          <w:sz w:val="32"/>
          <w:szCs w:val="32"/>
        </w:rPr>
        <w:t>automatically.</w:t>
      </w:r>
      <w:proofErr w:type="gramEnd"/>
      <w:r w:rsidRPr="00822E5A">
        <w:rPr>
          <w:sz w:val="32"/>
          <w:szCs w:val="32"/>
        </w:rPr>
        <w:t xml:space="preserve"> In the event certiorari is granted, the stay shall terminate</w:t>
      </w:r>
    </w:p>
    <w:p w:rsidR="00822E5A" w:rsidRPr="00822E5A" w:rsidRDefault="00822E5A" w:rsidP="00822E5A">
      <w:pPr>
        <w:pStyle w:val="NoSpacing"/>
        <w:rPr>
          <w:sz w:val="32"/>
          <w:szCs w:val="32"/>
        </w:rPr>
      </w:pPr>
      <w:r w:rsidRPr="00822E5A">
        <w:rPr>
          <w:sz w:val="32"/>
          <w:szCs w:val="32"/>
        </w:rPr>
        <w:t>upon the sending down of the judgment of this Court.</w:t>
      </w:r>
    </w:p>
    <w:p w:rsidR="00822E5A" w:rsidRDefault="00822E5A" w:rsidP="00822E5A">
      <w:pPr>
        <w:pStyle w:val="NoSpacing"/>
        <w:rPr>
          <w:sz w:val="32"/>
          <w:szCs w:val="32"/>
        </w:rPr>
      </w:pPr>
    </w:p>
    <w:p w:rsidR="00822E5A" w:rsidRPr="00822E5A" w:rsidRDefault="00822E5A" w:rsidP="00822E5A">
      <w:pPr>
        <w:pStyle w:val="NoSpacing"/>
        <w:rPr>
          <w:sz w:val="32"/>
          <w:szCs w:val="32"/>
        </w:rPr>
      </w:pPr>
      <w:r w:rsidRPr="00822E5A">
        <w:rPr>
          <w:sz w:val="32"/>
          <w:szCs w:val="32"/>
        </w:rPr>
        <w:t>The parties then fully briefed the ultimate question of whether</w:t>
      </w:r>
    </w:p>
    <w:p w:rsidR="00822E5A" w:rsidRDefault="00822E5A" w:rsidP="00822E5A">
      <w:pPr>
        <w:pStyle w:val="NoSpacing"/>
        <w:rPr>
          <w:sz w:val="32"/>
          <w:szCs w:val="32"/>
        </w:rPr>
      </w:pPr>
      <w:r w:rsidRPr="00822E5A">
        <w:rPr>
          <w:sz w:val="32"/>
          <w:szCs w:val="32"/>
        </w:rPr>
        <w:lastRenderedPageBreak/>
        <w:t>the district court erred in issuing the stay order. Over thirty amici filed separate briefs on various topics. Oral argume</w:t>
      </w:r>
      <w:r>
        <w:rPr>
          <w:sz w:val="32"/>
          <w:szCs w:val="32"/>
        </w:rPr>
        <w:t xml:space="preserve">nt was held on May 17, 2023, in </w:t>
      </w:r>
      <w:r w:rsidRPr="00822E5A">
        <w:rPr>
          <w:sz w:val="32"/>
          <w:szCs w:val="32"/>
        </w:rPr>
        <w:t xml:space="preserve">which each side was allowed forty minutes </w:t>
      </w:r>
      <w:r>
        <w:rPr>
          <w:sz w:val="32"/>
          <w:szCs w:val="32"/>
        </w:rPr>
        <w:t xml:space="preserve">to present its argument, double </w:t>
      </w:r>
      <w:r w:rsidRPr="00822E5A">
        <w:rPr>
          <w:sz w:val="32"/>
          <w:szCs w:val="32"/>
        </w:rPr>
        <w:t>the ordinary allotted time. We now consider the merits of the appeal.</w:t>
      </w:r>
    </w:p>
    <w:p w:rsidR="00822E5A" w:rsidRDefault="00822E5A" w:rsidP="00822E5A">
      <w:pPr>
        <w:pStyle w:val="NoSpacing"/>
        <w:rPr>
          <w:sz w:val="32"/>
          <w:szCs w:val="32"/>
        </w:rPr>
      </w:pPr>
    </w:p>
    <w:p w:rsidR="00822E5A" w:rsidRPr="00822E5A" w:rsidRDefault="00822E5A" w:rsidP="00822E5A">
      <w:pPr>
        <w:pStyle w:val="NoSpacing"/>
        <w:rPr>
          <w:sz w:val="32"/>
          <w:szCs w:val="32"/>
          <w:lang w:val="es-PR"/>
        </w:rPr>
      </w:pPr>
      <w:r w:rsidRPr="00822E5A">
        <w:rPr>
          <w:sz w:val="32"/>
          <w:szCs w:val="32"/>
          <w:lang w:val="es-PR"/>
        </w:rPr>
        <w:t>A.</w:t>
      </w:r>
    </w:p>
    <w:p w:rsidR="009A75A7" w:rsidRPr="00822E5A" w:rsidRDefault="00822E5A" w:rsidP="009A75A7">
      <w:pPr>
        <w:pStyle w:val="NoSpacing"/>
        <w:rPr>
          <w:sz w:val="32"/>
          <w:szCs w:val="32"/>
          <w:lang w:val="es-PR"/>
        </w:rPr>
      </w:pPr>
      <w:r w:rsidRPr="00822E5A">
        <w:rPr>
          <w:sz w:val="32"/>
          <w:szCs w:val="32"/>
          <w:lang w:val="es-PR"/>
        </w:rPr>
        <w:t xml:space="preserve">La </w:t>
      </w:r>
      <w:proofErr w:type="spellStart"/>
      <w:r w:rsidRPr="00822E5A">
        <w:rPr>
          <w:sz w:val="32"/>
          <w:szCs w:val="32"/>
          <w:lang w:val="es-PR"/>
        </w:rPr>
        <w:t>subparte</w:t>
      </w:r>
      <w:proofErr w:type="spellEnd"/>
      <w:r w:rsidRPr="00822E5A">
        <w:rPr>
          <w:sz w:val="32"/>
          <w:szCs w:val="32"/>
          <w:lang w:val="es-PR"/>
        </w:rPr>
        <w:t xml:space="preserve"> H autoriza a la FDA a aprobar solo a</w:t>
      </w:r>
      <w:r w:rsidR="009A75A7">
        <w:rPr>
          <w:sz w:val="32"/>
          <w:szCs w:val="32"/>
          <w:lang w:val="es-PR"/>
        </w:rPr>
        <w:t xml:space="preserve">quellos medicamentos que </w:t>
      </w:r>
      <w:proofErr w:type="spellStart"/>
      <w:proofErr w:type="gramStart"/>
      <w:r w:rsidR="009A75A7">
        <w:rPr>
          <w:sz w:val="32"/>
          <w:szCs w:val="32"/>
          <w:lang w:val="es-PR"/>
        </w:rPr>
        <w:t>tratan</w:t>
      </w:r>
      <w:r w:rsidRPr="00822E5A">
        <w:rPr>
          <w:sz w:val="32"/>
          <w:szCs w:val="32"/>
          <w:lang w:val="es-PR"/>
        </w:rPr>
        <w:t>“</w:t>
      </w:r>
      <w:proofErr w:type="gramEnd"/>
      <w:r w:rsidRPr="00822E5A">
        <w:rPr>
          <w:sz w:val="32"/>
          <w:szCs w:val="32"/>
          <w:lang w:val="es-PR"/>
        </w:rPr>
        <w:t>enfermedades</w:t>
      </w:r>
      <w:proofErr w:type="spellEnd"/>
      <w:r w:rsidRPr="00822E5A">
        <w:rPr>
          <w:sz w:val="32"/>
          <w:szCs w:val="32"/>
          <w:lang w:val="es-PR"/>
        </w:rPr>
        <w:t xml:space="preserve"> graves o potencialmente mortales”. </w:t>
      </w:r>
    </w:p>
    <w:p w:rsidR="00822E5A" w:rsidRPr="00822E5A" w:rsidRDefault="00822E5A" w:rsidP="00822E5A">
      <w:pPr>
        <w:pStyle w:val="NoSpacing"/>
        <w:rPr>
          <w:sz w:val="32"/>
          <w:szCs w:val="32"/>
          <w:lang w:val="es-PR"/>
        </w:rPr>
      </w:pPr>
      <w:r w:rsidRPr="00822E5A">
        <w:rPr>
          <w:sz w:val="32"/>
          <w:szCs w:val="32"/>
          <w:lang w:val="es-PR"/>
        </w:rPr>
        <w:t>(11 de diciembre de 1992) (Aprobación aceler</w:t>
      </w:r>
      <w:r w:rsidR="009A75A7">
        <w:rPr>
          <w:sz w:val="32"/>
          <w:szCs w:val="32"/>
          <w:lang w:val="es-PR"/>
        </w:rPr>
        <w:t xml:space="preserve">ada de nuevos medicamentos </w:t>
      </w:r>
      <w:proofErr w:type="spellStart"/>
      <w:r w:rsidR="009A75A7">
        <w:rPr>
          <w:sz w:val="32"/>
          <w:szCs w:val="32"/>
          <w:lang w:val="es-PR"/>
        </w:rPr>
        <w:t>para</w:t>
      </w:r>
      <w:r w:rsidRPr="00822E5A">
        <w:rPr>
          <w:sz w:val="32"/>
          <w:szCs w:val="32"/>
          <w:lang w:val="es-PR"/>
        </w:rPr>
        <w:t>o</w:t>
      </w:r>
      <w:proofErr w:type="spellEnd"/>
      <w:r w:rsidRPr="00822E5A">
        <w:rPr>
          <w:sz w:val="32"/>
          <w:szCs w:val="32"/>
          <w:lang w:val="es-PR"/>
        </w:rPr>
        <w:t xml:space="preserve"> enfermedades potencialmente mortales). “Se aplica a ciertos productos farmacéuticos nuevos que</w:t>
      </w:r>
    </w:p>
    <w:p w:rsidR="00822E5A" w:rsidRPr="00822E5A" w:rsidRDefault="00822E5A" w:rsidP="00822E5A">
      <w:pPr>
        <w:pStyle w:val="NoSpacing"/>
        <w:rPr>
          <w:sz w:val="32"/>
          <w:szCs w:val="32"/>
          <w:lang w:val="es-PR"/>
        </w:rPr>
      </w:pPr>
      <w:r w:rsidRPr="00822E5A">
        <w:rPr>
          <w:sz w:val="32"/>
          <w:szCs w:val="32"/>
          <w:lang w:val="es-PR"/>
        </w:rPr>
        <w:t>han sido estudiados por su seguridad y eficacia en el tratamiento de enfermedades graves o potencialmente mortales y que proporcionan un beneficio</w:t>
      </w:r>
      <w:r w:rsidR="009A75A7">
        <w:rPr>
          <w:sz w:val="32"/>
          <w:szCs w:val="32"/>
          <w:lang w:val="es-PR"/>
        </w:rPr>
        <w:t xml:space="preserve"> terapéutico significativo </w:t>
      </w:r>
      <w:proofErr w:type="gramStart"/>
      <w:r w:rsidR="009A75A7">
        <w:rPr>
          <w:sz w:val="32"/>
          <w:szCs w:val="32"/>
          <w:lang w:val="es-PR"/>
        </w:rPr>
        <w:t xml:space="preserve">para  </w:t>
      </w:r>
      <w:r w:rsidRPr="00822E5A">
        <w:rPr>
          <w:sz w:val="32"/>
          <w:szCs w:val="32"/>
          <w:lang w:val="es-PR"/>
        </w:rPr>
        <w:t>pacientes</w:t>
      </w:r>
      <w:proofErr w:type="gramEnd"/>
      <w:r w:rsidRPr="00822E5A">
        <w:rPr>
          <w:sz w:val="32"/>
          <w:szCs w:val="32"/>
          <w:lang w:val="es-PR"/>
        </w:rPr>
        <w:t xml:space="preserve"> sobre los tratamientos existentes.” 21 C.F.R. § 314.500 (énfasis añadido).</w:t>
      </w:r>
    </w:p>
    <w:p w:rsidR="00822E5A" w:rsidRPr="00822E5A" w:rsidRDefault="00822E5A" w:rsidP="00822E5A">
      <w:pPr>
        <w:pStyle w:val="NoSpacing"/>
        <w:rPr>
          <w:sz w:val="32"/>
          <w:szCs w:val="32"/>
          <w:lang w:val="es-PR"/>
        </w:rPr>
      </w:pPr>
      <w:r w:rsidRPr="00822E5A">
        <w:rPr>
          <w:sz w:val="32"/>
          <w:szCs w:val="32"/>
          <w:lang w:val="es-PR"/>
        </w:rPr>
        <w:t xml:space="preserve">El embarazo no es una enfermedad. Una “enfermedad” es un “[b]ad o </w:t>
      </w:r>
      <w:proofErr w:type="gramStart"/>
      <w:r w:rsidRPr="00822E5A">
        <w:rPr>
          <w:sz w:val="32"/>
          <w:szCs w:val="32"/>
          <w:lang w:val="es-PR"/>
        </w:rPr>
        <w:t>malsano</w:t>
      </w:r>
      <w:r w:rsidR="009A75A7">
        <w:rPr>
          <w:sz w:val="32"/>
          <w:szCs w:val="32"/>
          <w:lang w:val="es-PR"/>
        </w:rPr>
        <w:t xml:space="preserve"> </w:t>
      </w:r>
      <w:r w:rsidRPr="00822E5A">
        <w:rPr>
          <w:sz w:val="32"/>
          <w:szCs w:val="32"/>
          <w:lang w:val="es-PR"/>
        </w:rPr>
        <w:t>condición</w:t>
      </w:r>
      <w:proofErr w:type="gramEnd"/>
      <w:r w:rsidRPr="00822E5A">
        <w:rPr>
          <w:sz w:val="32"/>
          <w:szCs w:val="32"/>
          <w:lang w:val="es-PR"/>
        </w:rPr>
        <w:t xml:space="preserve"> del cuerpo.” Oxford English </w:t>
      </w:r>
      <w:proofErr w:type="spellStart"/>
      <w:r w:rsidRPr="00822E5A">
        <w:rPr>
          <w:sz w:val="32"/>
          <w:szCs w:val="32"/>
          <w:lang w:val="es-PR"/>
        </w:rPr>
        <w:t>Dictionary</w:t>
      </w:r>
      <w:proofErr w:type="spellEnd"/>
      <w:r w:rsidRPr="00822E5A">
        <w:rPr>
          <w:sz w:val="32"/>
          <w:szCs w:val="32"/>
          <w:lang w:val="es-PR"/>
        </w:rPr>
        <w:t xml:space="preserve"> (2ª ed. 1989),</w:t>
      </w:r>
    </w:p>
    <w:p w:rsidR="00822E5A" w:rsidRPr="00822E5A" w:rsidRDefault="00822E5A" w:rsidP="00822E5A">
      <w:pPr>
        <w:pStyle w:val="NoSpacing"/>
        <w:rPr>
          <w:sz w:val="32"/>
          <w:szCs w:val="32"/>
          <w:lang w:val="es-PR"/>
        </w:rPr>
      </w:pPr>
      <w:proofErr w:type="spellStart"/>
      <w:r w:rsidRPr="00822E5A">
        <w:rPr>
          <w:sz w:val="32"/>
          <w:szCs w:val="32"/>
          <w:lang w:val="es-PR"/>
        </w:rPr>
        <w:t>sv</w:t>
      </w:r>
      <w:proofErr w:type="spellEnd"/>
      <w:r w:rsidRPr="00822E5A">
        <w:rPr>
          <w:sz w:val="32"/>
          <w:szCs w:val="32"/>
          <w:lang w:val="es-PR"/>
        </w:rPr>
        <w:t xml:space="preserve"> enfermedad, sentido 3. Es una “enfermedad, dolencia, dolen</w:t>
      </w:r>
      <w:r w:rsidR="009A75A7">
        <w:rPr>
          <w:sz w:val="32"/>
          <w:szCs w:val="32"/>
          <w:lang w:val="es-PR"/>
        </w:rPr>
        <w:t xml:space="preserve">cia, dolencia”. Identificación. </w:t>
      </w:r>
      <w:r w:rsidRPr="00822E5A">
        <w:rPr>
          <w:sz w:val="32"/>
          <w:szCs w:val="32"/>
          <w:lang w:val="es-PR"/>
        </w:rPr>
        <w:t xml:space="preserve">El embarazo, por el contrario, es cuando una </w:t>
      </w:r>
      <w:r w:rsidR="009A75A7">
        <w:rPr>
          <w:sz w:val="32"/>
          <w:szCs w:val="32"/>
          <w:lang w:val="es-PR"/>
        </w:rPr>
        <w:t xml:space="preserve">mujer está “embarazada”. </w:t>
      </w:r>
      <w:proofErr w:type="spellStart"/>
      <w:r w:rsidR="009A75A7">
        <w:rPr>
          <w:sz w:val="32"/>
          <w:szCs w:val="32"/>
          <w:lang w:val="es-PR"/>
        </w:rPr>
        <w:t>Oxford</w:t>
      </w:r>
      <w:r w:rsidRPr="00822E5A">
        <w:rPr>
          <w:sz w:val="32"/>
          <w:szCs w:val="32"/>
          <w:lang w:val="es-PR"/>
        </w:rPr>
        <w:t>Diccionario</w:t>
      </w:r>
      <w:proofErr w:type="spellEnd"/>
      <w:r w:rsidRPr="00822E5A">
        <w:rPr>
          <w:sz w:val="32"/>
          <w:szCs w:val="32"/>
          <w:lang w:val="es-PR"/>
        </w:rPr>
        <w:t xml:space="preserve"> Inglés, s.v. embarazo, sentido </w:t>
      </w:r>
      <w:proofErr w:type="gramStart"/>
      <w:r w:rsidRPr="00822E5A">
        <w:rPr>
          <w:sz w:val="32"/>
          <w:szCs w:val="32"/>
          <w:lang w:val="es-PR"/>
        </w:rPr>
        <w:t>II.3.a</w:t>
      </w:r>
      <w:proofErr w:type="gramEnd"/>
      <w:r w:rsidRPr="00822E5A">
        <w:rPr>
          <w:sz w:val="32"/>
          <w:szCs w:val="32"/>
          <w:lang w:val="es-PR"/>
        </w:rPr>
        <w:t>.</w:t>
      </w:r>
    </w:p>
    <w:p w:rsidR="009A75A7" w:rsidRDefault="009A75A7" w:rsidP="00822E5A">
      <w:pPr>
        <w:pStyle w:val="NoSpacing"/>
        <w:rPr>
          <w:sz w:val="32"/>
          <w:szCs w:val="32"/>
          <w:lang w:val="es-PR"/>
        </w:rPr>
      </w:pPr>
    </w:p>
    <w:p w:rsidR="00822E5A" w:rsidRPr="00822E5A" w:rsidRDefault="00822E5A" w:rsidP="00822E5A">
      <w:pPr>
        <w:pStyle w:val="NoSpacing"/>
        <w:rPr>
          <w:sz w:val="32"/>
          <w:szCs w:val="32"/>
          <w:lang w:val="es-PR"/>
        </w:rPr>
      </w:pPr>
      <w:r w:rsidRPr="00822E5A">
        <w:rPr>
          <w:sz w:val="32"/>
          <w:szCs w:val="32"/>
          <w:lang w:val="es-PR"/>
        </w:rPr>
        <w:t>El embarazo no es una condición mala o insalubre del cuerpo, es un</w:t>
      </w:r>
    </w:p>
    <w:p w:rsidR="00822E5A" w:rsidRPr="00822E5A" w:rsidRDefault="00822E5A" w:rsidP="00822E5A">
      <w:pPr>
        <w:pStyle w:val="NoSpacing"/>
        <w:rPr>
          <w:sz w:val="32"/>
          <w:szCs w:val="32"/>
          <w:lang w:val="es-PR"/>
        </w:rPr>
      </w:pPr>
      <w:r w:rsidRPr="00822E5A">
        <w:rPr>
          <w:sz w:val="32"/>
          <w:szCs w:val="32"/>
          <w:lang w:val="es-PR"/>
        </w:rPr>
        <w:t>consecuencia natural de un sistema reproductivo sano y funcional. Ver,</w:t>
      </w:r>
    </w:p>
    <w:p w:rsidR="00822E5A" w:rsidRPr="00822E5A" w:rsidRDefault="00822E5A" w:rsidP="00822E5A">
      <w:pPr>
        <w:pStyle w:val="NoSpacing"/>
        <w:rPr>
          <w:sz w:val="32"/>
          <w:szCs w:val="32"/>
          <w:lang w:val="es-PR"/>
        </w:rPr>
      </w:pPr>
      <w:r w:rsidRPr="00822E5A">
        <w:rPr>
          <w:sz w:val="32"/>
          <w:szCs w:val="32"/>
          <w:lang w:val="es-PR"/>
        </w:rPr>
        <w:t xml:space="preserve">por </w:t>
      </w:r>
      <w:proofErr w:type="gramStart"/>
      <w:r w:rsidRPr="00822E5A">
        <w:rPr>
          <w:sz w:val="32"/>
          <w:szCs w:val="32"/>
          <w:lang w:val="es-PR"/>
        </w:rPr>
        <w:t>ejem</w:t>
      </w:r>
      <w:r w:rsidR="009A75A7">
        <w:rPr>
          <w:sz w:val="32"/>
          <w:szCs w:val="32"/>
          <w:lang w:val="es-PR"/>
        </w:rPr>
        <w:t>plo</w:t>
      </w:r>
      <w:r w:rsidRPr="00822E5A">
        <w:rPr>
          <w:sz w:val="32"/>
          <w:szCs w:val="32"/>
          <w:lang w:val="es-PR"/>
        </w:rPr>
        <w:t>(</w:t>
      </w:r>
      <w:proofErr w:type="gramEnd"/>
      <w:r w:rsidRPr="00822E5A">
        <w:rPr>
          <w:sz w:val="32"/>
          <w:szCs w:val="32"/>
          <w:lang w:val="es-PR"/>
        </w:rPr>
        <w:t>“Siendo la consecuencia natura</w:t>
      </w:r>
      <w:r w:rsidR="009A75A7">
        <w:rPr>
          <w:sz w:val="32"/>
          <w:szCs w:val="32"/>
          <w:lang w:val="es-PR"/>
        </w:rPr>
        <w:t xml:space="preserve">l de un funcionamiento </w:t>
      </w:r>
      <w:proofErr w:type="spellStart"/>
      <w:r w:rsidR="009A75A7">
        <w:rPr>
          <w:sz w:val="32"/>
          <w:szCs w:val="32"/>
          <w:lang w:val="es-PR"/>
        </w:rPr>
        <w:t>adecuado</w:t>
      </w:r>
      <w:r w:rsidRPr="00822E5A">
        <w:rPr>
          <w:sz w:val="32"/>
          <w:szCs w:val="32"/>
          <w:lang w:val="es-PR"/>
        </w:rPr>
        <w:t>sistema</w:t>
      </w:r>
      <w:proofErr w:type="spellEnd"/>
      <w:r w:rsidRPr="00822E5A">
        <w:rPr>
          <w:sz w:val="32"/>
          <w:szCs w:val="32"/>
          <w:lang w:val="es-PR"/>
        </w:rPr>
        <w:t xml:space="preserve"> reproductivo, el embarazo no puede ser llama</w:t>
      </w:r>
      <w:r w:rsidR="009A75A7">
        <w:rPr>
          <w:sz w:val="32"/>
          <w:szCs w:val="32"/>
          <w:lang w:val="es-PR"/>
        </w:rPr>
        <w:t xml:space="preserve">do un impedimento.”); La cuenta </w:t>
      </w:r>
      <w:r w:rsidRPr="00822E5A">
        <w:rPr>
          <w:sz w:val="32"/>
          <w:szCs w:val="32"/>
          <w:lang w:val="es-PR"/>
        </w:rPr>
        <w:t xml:space="preserve">v. South Lewis, 2017 WL 319217, en *3 (N.D. </w:t>
      </w:r>
      <w:proofErr w:type="spellStart"/>
      <w:r w:rsidRPr="00822E5A">
        <w:rPr>
          <w:sz w:val="32"/>
          <w:szCs w:val="32"/>
          <w:lang w:val="es-PR"/>
        </w:rPr>
        <w:t>Okla</w:t>
      </w:r>
      <w:proofErr w:type="spellEnd"/>
      <w:r w:rsidR="009A75A7">
        <w:rPr>
          <w:sz w:val="32"/>
          <w:szCs w:val="32"/>
          <w:lang w:val="es-PR"/>
        </w:rPr>
        <w:t xml:space="preserve">. 20 de enero de 2017) (igual); </w:t>
      </w:r>
      <w:r w:rsidRPr="00822E5A">
        <w:rPr>
          <w:sz w:val="32"/>
          <w:szCs w:val="32"/>
          <w:lang w:val="es-PR"/>
        </w:rPr>
        <w:t xml:space="preserve">Whitaker contra Bosch Sistema de frenado. división de Robert Bosch Corp., 180 F. </w:t>
      </w:r>
      <w:proofErr w:type="spellStart"/>
      <w:r w:rsidRPr="00822E5A">
        <w:rPr>
          <w:sz w:val="32"/>
          <w:szCs w:val="32"/>
          <w:lang w:val="es-PR"/>
        </w:rPr>
        <w:t>Supp</w:t>
      </w:r>
      <w:proofErr w:type="spellEnd"/>
      <w:r w:rsidRPr="00822E5A">
        <w:rPr>
          <w:sz w:val="32"/>
          <w:szCs w:val="32"/>
          <w:lang w:val="es-PR"/>
        </w:rPr>
        <w:t>. 2d 922,</w:t>
      </w:r>
    </w:p>
    <w:p w:rsidR="00822E5A" w:rsidRPr="00822E5A" w:rsidRDefault="00822E5A" w:rsidP="00822E5A">
      <w:pPr>
        <w:pStyle w:val="NoSpacing"/>
        <w:rPr>
          <w:sz w:val="32"/>
          <w:szCs w:val="32"/>
          <w:lang w:val="es-PR"/>
        </w:rPr>
      </w:pPr>
      <w:r w:rsidRPr="00822E5A">
        <w:rPr>
          <w:sz w:val="32"/>
          <w:szCs w:val="32"/>
          <w:lang w:val="es-PR"/>
        </w:rPr>
        <w:t xml:space="preserve">928 (W.D. </w:t>
      </w:r>
      <w:proofErr w:type="spellStart"/>
      <w:r w:rsidRPr="00822E5A">
        <w:rPr>
          <w:sz w:val="32"/>
          <w:szCs w:val="32"/>
          <w:lang w:val="es-PR"/>
        </w:rPr>
        <w:t>Mich</w:t>
      </w:r>
      <w:proofErr w:type="spellEnd"/>
      <w:r w:rsidRPr="00822E5A">
        <w:rPr>
          <w:sz w:val="32"/>
          <w:szCs w:val="32"/>
          <w:lang w:val="es-PR"/>
        </w:rPr>
        <w:t xml:space="preserve">. 2001) (el embarazo “no es </w:t>
      </w:r>
      <w:r w:rsidR="009A75A7">
        <w:rPr>
          <w:sz w:val="32"/>
          <w:szCs w:val="32"/>
          <w:lang w:val="es-PR"/>
        </w:rPr>
        <w:t>una condición de salud grave</w:t>
      </w:r>
      <w:proofErr w:type="gramStart"/>
      <w:r w:rsidR="009A75A7">
        <w:rPr>
          <w:sz w:val="32"/>
          <w:szCs w:val="32"/>
          <w:lang w:val="es-PR"/>
        </w:rPr>
        <w:t>”);</w:t>
      </w:r>
      <w:r w:rsidRPr="00822E5A">
        <w:rPr>
          <w:sz w:val="32"/>
          <w:szCs w:val="32"/>
          <w:lang w:val="es-PR"/>
        </w:rPr>
        <w:t>)</w:t>
      </w:r>
      <w:proofErr w:type="gramEnd"/>
      <w:r w:rsidRPr="00822E5A">
        <w:rPr>
          <w:sz w:val="32"/>
          <w:szCs w:val="32"/>
          <w:lang w:val="es-PR"/>
        </w:rPr>
        <w:t xml:space="preserve"> (“no se puede decir que el sist</w:t>
      </w:r>
      <w:r w:rsidR="009A75A7">
        <w:rPr>
          <w:sz w:val="32"/>
          <w:szCs w:val="32"/>
          <w:lang w:val="es-PR"/>
        </w:rPr>
        <w:t xml:space="preserve">ema reproductivo [de una mujer] </w:t>
      </w:r>
      <w:r w:rsidRPr="00822E5A">
        <w:rPr>
          <w:sz w:val="32"/>
          <w:szCs w:val="32"/>
          <w:lang w:val="es-PR"/>
        </w:rPr>
        <w:t>afectados negativamente” por el embarazo).</w:t>
      </w:r>
    </w:p>
    <w:p w:rsidR="009A75A7" w:rsidRDefault="009A75A7" w:rsidP="00822E5A">
      <w:pPr>
        <w:pStyle w:val="NoSpacing"/>
        <w:rPr>
          <w:sz w:val="32"/>
          <w:szCs w:val="32"/>
          <w:lang w:val="es-PR"/>
        </w:rPr>
      </w:pPr>
    </w:p>
    <w:p w:rsidR="00822E5A" w:rsidRPr="00822E5A" w:rsidRDefault="00822E5A" w:rsidP="00822E5A">
      <w:pPr>
        <w:pStyle w:val="NoSpacing"/>
        <w:rPr>
          <w:sz w:val="32"/>
          <w:szCs w:val="32"/>
          <w:lang w:val="es-PR"/>
        </w:rPr>
      </w:pPr>
      <w:r w:rsidRPr="00822E5A">
        <w:rPr>
          <w:sz w:val="32"/>
          <w:szCs w:val="32"/>
          <w:lang w:val="es-PR"/>
        </w:rPr>
        <w:t xml:space="preserve">Sin duda, el embarazo a veces puede resultar </w:t>
      </w:r>
      <w:r w:rsidR="009A75A7">
        <w:rPr>
          <w:sz w:val="32"/>
          <w:szCs w:val="32"/>
          <w:lang w:val="es-PR"/>
        </w:rPr>
        <w:t xml:space="preserve">en una enfermedad. Cf. </w:t>
      </w:r>
      <w:proofErr w:type="spellStart"/>
      <w:r w:rsidR="009A75A7">
        <w:rPr>
          <w:sz w:val="32"/>
          <w:szCs w:val="32"/>
          <w:lang w:val="es-PR"/>
        </w:rPr>
        <w:t>Spees</w:t>
      </w:r>
      <w:proofErr w:type="spellEnd"/>
      <w:r w:rsidR="009A75A7">
        <w:rPr>
          <w:sz w:val="32"/>
          <w:szCs w:val="32"/>
          <w:lang w:val="es-PR"/>
        </w:rPr>
        <w:t xml:space="preserve"> v. </w:t>
      </w:r>
      <w:r w:rsidRPr="00822E5A">
        <w:rPr>
          <w:sz w:val="32"/>
          <w:szCs w:val="32"/>
          <w:lang w:val="es-PR"/>
        </w:rPr>
        <w:t>James Marine, Inc., 617 F.3d 380, 397 (6th Cir. 2010)</w:t>
      </w:r>
      <w:r w:rsidR="009A75A7">
        <w:rPr>
          <w:sz w:val="32"/>
          <w:szCs w:val="32"/>
          <w:lang w:val="es-PR"/>
        </w:rPr>
        <w:t xml:space="preserve"> ("Relacionados con el embarazo </w:t>
      </w:r>
      <w:r w:rsidRPr="00822E5A">
        <w:rPr>
          <w:sz w:val="32"/>
          <w:szCs w:val="32"/>
          <w:lang w:val="es-PR"/>
        </w:rPr>
        <w:t>se ha encontrado típicamente que las condicione</w:t>
      </w:r>
      <w:r w:rsidR="009A75A7">
        <w:rPr>
          <w:sz w:val="32"/>
          <w:szCs w:val="32"/>
          <w:lang w:val="es-PR"/>
        </w:rPr>
        <w:t xml:space="preserve">s son impedimentos donde no son </w:t>
      </w:r>
      <w:r w:rsidRPr="00822E5A">
        <w:rPr>
          <w:sz w:val="32"/>
          <w:szCs w:val="32"/>
          <w:lang w:val="es-PR"/>
        </w:rPr>
        <w:t>parte de un embarazo ‘normal’”). Pero es</w:t>
      </w:r>
      <w:r w:rsidR="009A75A7">
        <w:rPr>
          <w:sz w:val="32"/>
          <w:szCs w:val="32"/>
          <w:lang w:val="es-PR"/>
        </w:rPr>
        <w:t xml:space="preserve">o no hace que el embarazo en sí </w:t>
      </w:r>
      <w:r w:rsidRPr="00822E5A">
        <w:rPr>
          <w:sz w:val="32"/>
          <w:szCs w:val="32"/>
          <w:lang w:val="es-PR"/>
        </w:rPr>
        <w:t xml:space="preserve">una enfermedad. Véase Whitaker, 180 F. </w:t>
      </w:r>
      <w:proofErr w:type="spellStart"/>
      <w:r w:rsidRPr="00822E5A">
        <w:rPr>
          <w:sz w:val="32"/>
          <w:szCs w:val="32"/>
          <w:lang w:val="es-PR"/>
        </w:rPr>
        <w:t>Supp</w:t>
      </w:r>
      <w:proofErr w:type="spellEnd"/>
      <w:r w:rsidRPr="00822E5A">
        <w:rPr>
          <w:sz w:val="32"/>
          <w:szCs w:val="32"/>
          <w:lang w:val="es-PR"/>
        </w:rPr>
        <w:t>. 2d en 929 (“el embarazo per se no</w:t>
      </w:r>
    </w:p>
    <w:p w:rsidR="00822E5A" w:rsidRPr="00822E5A" w:rsidRDefault="00822E5A" w:rsidP="00822E5A">
      <w:pPr>
        <w:pStyle w:val="NoSpacing"/>
        <w:rPr>
          <w:sz w:val="32"/>
          <w:szCs w:val="32"/>
          <w:lang w:val="es-PR"/>
        </w:rPr>
      </w:pPr>
      <w:r w:rsidRPr="00822E5A">
        <w:rPr>
          <w:sz w:val="32"/>
          <w:szCs w:val="32"/>
          <w:lang w:val="es-PR"/>
        </w:rPr>
        <w:t>constituyen un estado de salud grave”).</w:t>
      </w:r>
    </w:p>
    <w:p w:rsidR="009A75A7" w:rsidRDefault="009A75A7" w:rsidP="00822E5A">
      <w:pPr>
        <w:pStyle w:val="NoSpacing"/>
        <w:rPr>
          <w:sz w:val="32"/>
          <w:szCs w:val="32"/>
          <w:lang w:val="es-PR"/>
        </w:rPr>
      </w:pPr>
    </w:p>
    <w:p w:rsidR="00822E5A" w:rsidRPr="00822E5A" w:rsidRDefault="00822E5A" w:rsidP="00822E5A">
      <w:pPr>
        <w:pStyle w:val="NoSpacing"/>
        <w:rPr>
          <w:sz w:val="32"/>
          <w:szCs w:val="32"/>
          <w:lang w:val="es-PR"/>
        </w:rPr>
      </w:pPr>
      <w:r w:rsidRPr="00822E5A">
        <w:rPr>
          <w:sz w:val="32"/>
          <w:szCs w:val="32"/>
          <w:lang w:val="es-PR"/>
        </w:rPr>
        <w:t>Lo mismo podría decirse de la vejez. Muc</w:t>
      </w:r>
      <w:r w:rsidR="009A75A7">
        <w:rPr>
          <w:sz w:val="32"/>
          <w:szCs w:val="32"/>
          <w:lang w:val="es-PR"/>
        </w:rPr>
        <w:t xml:space="preserve">has personas se enferman cuando </w:t>
      </w:r>
      <w:r w:rsidRPr="00822E5A">
        <w:rPr>
          <w:sz w:val="32"/>
          <w:szCs w:val="32"/>
          <w:lang w:val="es-PR"/>
        </w:rPr>
        <w:t>hacerse mayor. Pero envejecer en sí mismo obviam</w:t>
      </w:r>
      <w:r w:rsidR="009A75A7">
        <w:rPr>
          <w:sz w:val="32"/>
          <w:szCs w:val="32"/>
          <w:lang w:val="es-PR"/>
        </w:rPr>
        <w:t xml:space="preserve">ente no es una enfermedad. Como </w:t>
      </w:r>
      <w:r w:rsidRPr="00822E5A">
        <w:rPr>
          <w:sz w:val="32"/>
          <w:szCs w:val="32"/>
          <w:lang w:val="es-PR"/>
        </w:rPr>
        <w:t>embarazo, es la “consecuencia natural”</w:t>
      </w:r>
      <w:r w:rsidR="009A75A7">
        <w:rPr>
          <w:sz w:val="32"/>
          <w:szCs w:val="32"/>
          <w:lang w:val="es-PR"/>
        </w:rPr>
        <w:t xml:space="preserve"> de un cuerpo sano y funcional. </w:t>
      </w:r>
      <w:r w:rsidRPr="00822E5A">
        <w:rPr>
          <w:sz w:val="32"/>
          <w:szCs w:val="32"/>
          <w:lang w:val="es-PR"/>
        </w:rPr>
        <w:t>Es completamente normal celebrar embaraz</w:t>
      </w:r>
      <w:r w:rsidR="009A75A7">
        <w:rPr>
          <w:sz w:val="32"/>
          <w:szCs w:val="32"/>
          <w:lang w:val="es-PR"/>
        </w:rPr>
        <w:t xml:space="preserve">os, así como es normal celebrar </w:t>
      </w:r>
      <w:r w:rsidRPr="00822E5A">
        <w:rPr>
          <w:sz w:val="32"/>
          <w:szCs w:val="32"/>
          <w:lang w:val="es-PR"/>
        </w:rPr>
        <w:t>cumpleaños Por lo general, no celebramos las "c</w:t>
      </w:r>
      <w:r w:rsidR="009A75A7">
        <w:rPr>
          <w:sz w:val="32"/>
          <w:szCs w:val="32"/>
          <w:lang w:val="es-PR"/>
        </w:rPr>
        <w:t xml:space="preserve">ondiciones malas o insalubres". </w:t>
      </w:r>
      <w:r w:rsidRPr="00822E5A">
        <w:rPr>
          <w:sz w:val="32"/>
          <w:szCs w:val="32"/>
          <w:lang w:val="es-PR"/>
        </w:rPr>
        <w:t>Por lo tanto, el embarazo no califica como una "enfermedad</w:t>
      </w:r>
      <w:r w:rsidR="009A75A7">
        <w:rPr>
          <w:sz w:val="32"/>
          <w:szCs w:val="32"/>
          <w:lang w:val="es-PR"/>
        </w:rPr>
        <w:t xml:space="preserve"> grave o potencialmente mortal" </w:t>
      </w:r>
      <w:r w:rsidRPr="00822E5A">
        <w:rPr>
          <w:sz w:val="32"/>
          <w:szCs w:val="32"/>
          <w:lang w:val="es-PR"/>
        </w:rPr>
        <w:t>en el sentido de 21 C.F.R. § 314.500. La FDA inverosímilmente</w:t>
      </w:r>
    </w:p>
    <w:p w:rsidR="00822E5A" w:rsidRPr="00822E5A" w:rsidRDefault="00822E5A" w:rsidP="00822E5A">
      <w:pPr>
        <w:pStyle w:val="NoSpacing"/>
        <w:rPr>
          <w:sz w:val="32"/>
          <w:szCs w:val="32"/>
          <w:lang w:val="es-PR"/>
        </w:rPr>
      </w:pPr>
      <w:r w:rsidRPr="00822E5A">
        <w:rPr>
          <w:sz w:val="32"/>
          <w:szCs w:val="32"/>
          <w:lang w:val="es-PR"/>
        </w:rPr>
        <w:t>"determinado" que lo hace. Memorándum de aprobación de la F</w:t>
      </w:r>
      <w:r w:rsidR="009A75A7">
        <w:rPr>
          <w:sz w:val="32"/>
          <w:szCs w:val="32"/>
          <w:lang w:val="es-PR"/>
        </w:rPr>
        <w:t xml:space="preserve">DA para la población </w:t>
      </w:r>
      <w:r w:rsidRPr="00822E5A">
        <w:rPr>
          <w:sz w:val="32"/>
          <w:szCs w:val="32"/>
          <w:lang w:val="es-PR"/>
        </w:rPr>
        <w:t>Consejo en 6. Los tribunales no se remiten a las in</w:t>
      </w:r>
      <w:r w:rsidR="009A75A7">
        <w:rPr>
          <w:sz w:val="32"/>
          <w:szCs w:val="32"/>
          <w:lang w:val="es-PR"/>
        </w:rPr>
        <w:t xml:space="preserve">terpretaciones de la agencia de </w:t>
      </w:r>
      <w:r w:rsidRPr="00822E5A">
        <w:rPr>
          <w:sz w:val="32"/>
          <w:szCs w:val="32"/>
          <w:lang w:val="es-PR"/>
        </w:rPr>
        <w:t xml:space="preserve">reglamentos Ver </w:t>
      </w:r>
      <w:proofErr w:type="spellStart"/>
      <w:r w:rsidRPr="00822E5A">
        <w:rPr>
          <w:sz w:val="32"/>
          <w:szCs w:val="32"/>
          <w:lang w:val="es-PR"/>
        </w:rPr>
        <w:t>Kisor</w:t>
      </w:r>
      <w:proofErr w:type="spellEnd"/>
      <w:r w:rsidRPr="00822E5A">
        <w:rPr>
          <w:sz w:val="32"/>
          <w:szCs w:val="32"/>
          <w:lang w:val="es-PR"/>
        </w:rPr>
        <w:t xml:space="preserve"> v. </w:t>
      </w:r>
      <w:proofErr w:type="spellStart"/>
      <w:r w:rsidRPr="00822E5A">
        <w:rPr>
          <w:sz w:val="32"/>
          <w:szCs w:val="32"/>
          <w:lang w:val="es-PR"/>
        </w:rPr>
        <w:t>Wilkie</w:t>
      </w:r>
      <w:proofErr w:type="spellEnd"/>
      <w:r w:rsidRPr="00822E5A">
        <w:rPr>
          <w:sz w:val="32"/>
          <w:szCs w:val="32"/>
          <w:lang w:val="es-PR"/>
        </w:rPr>
        <w:t xml:space="preserve">, 139 S. </w:t>
      </w:r>
      <w:proofErr w:type="spellStart"/>
      <w:r w:rsidR="009A75A7">
        <w:rPr>
          <w:sz w:val="32"/>
          <w:szCs w:val="32"/>
          <w:lang w:val="es-PR"/>
        </w:rPr>
        <w:t>Ct</w:t>
      </w:r>
      <w:proofErr w:type="spellEnd"/>
      <w:r w:rsidR="009A75A7">
        <w:rPr>
          <w:sz w:val="32"/>
          <w:szCs w:val="32"/>
          <w:lang w:val="es-PR"/>
        </w:rPr>
        <w:t xml:space="preserve">. 2400, 2415 (2019). Solo hay </w:t>
      </w:r>
      <w:r w:rsidRPr="00822E5A">
        <w:rPr>
          <w:sz w:val="32"/>
          <w:szCs w:val="32"/>
          <w:lang w:val="es-PR"/>
        </w:rPr>
        <w:t>una construcción razonable” de la pal</w:t>
      </w:r>
      <w:r w:rsidR="009A75A7">
        <w:rPr>
          <w:sz w:val="32"/>
          <w:szCs w:val="32"/>
          <w:lang w:val="es-PR"/>
        </w:rPr>
        <w:t xml:space="preserve">abra “enfermedad”, y no incluye </w:t>
      </w:r>
      <w:r w:rsidRPr="00822E5A">
        <w:rPr>
          <w:sz w:val="32"/>
          <w:szCs w:val="32"/>
          <w:lang w:val="es-PR"/>
        </w:rPr>
        <w:t xml:space="preserve">el embarazo. </w:t>
      </w:r>
    </w:p>
    <w:p w:rsidR="009A75A7" w:rsidRDefault="009A75A7" w:rsidP="00822E5A">
      <w:pPr>
        <w:pStyle w:val="NoSpacing"/>
        <w:rPr>
          <w:sz w:val="32"/>
          <w:szCs w:val="32"/>
          <w:lang w:val="es-PR"/>
        </w:rPr>
      </w:pPr>
    </w:p>
    <w:p w:rsidR="00822E5A" w:rsidRPr="00822E5A" w:rsidRDefault="00822E5A" w:rsidP="00822E5A">
      <w:pPr>
        <w:pStyle w:val="NoSpacing"/>
        <w:rPr>
          <w:sz w:val="32"/>
          <w:szCs w:val="32"/>
          <w:lang w:val="es-PR"/>
        </w:rPr>
      </w:pPr>
      <w:r w:rsidRPr="00822E5A">
        <w:rPr>
          <w:sz w:val="32"/>
          <w:szCs w:val="32"/>
          <w:lang w:val="es-PR"/>
        </w:rPr>
        <w:t>En consecuencia, no hay base para diferir a la agencia. la FDA</w:t>
      </w:r>
    </w:p>
    <w:p w:rsidR="00822E5A" w:rsidRPr="00822E5A" w:rsidRDefault="00822E5A" w:rsidP="00822E5A">
      <w:pPr>
        <w:pStyle w:val="NoSpacing"/>
        <w:rPr>
          <w:sz w:val="32"/>
          <w:szCs w:val="32"/>
          <w:lang w:val="es-PR"/>
        </w:rPr>
      </w:pPr>
      <w:r w:rsidRPr="00822E5A">
        <w:rPr>
          <w:sz w:val="32"/>
          <w:szCs w:val="32"/>
          <w:lang w:val="es-PR"/>
        </w:rPr>
        <w:t>simplemente se equivocó. Como incluso el patrocinador d</w:t>
      </w:r>
      <w:r w:rsidR="009A75A7">
        <w:rPr>
          <w:sz w:val="32"/>
          <w:szCs w:val="32"/>
          <w:lang w:val="es-PR"/>
        </w:rPr>
        <w:t xml:space="preserve">e la </w:t>
      </w:r>
      <w:proofErr w:type="spellStart"/>
      <w:r w:rsidR="009A75A7">
        <w:rPr>
          <w:sz w:val="32"/>
          <w:szCs w:val="32"/>
          <w:lang w:val="es-PR"/>
        </w:rPr>
        <w:t>mifepristona</w:t>
      </w:r>
      <w:proofErr w:type="spellEnd"/>
      <w:r w:rsidR="009A75A7">
        <w:rPr>
          <w:sz w:val="32"/>
          <w:szCs w:val="32"/>
          <w:lang w:val="es-PR"/>
        </w:rPr>
        <w:t xml:space="preserve">, la población </w:t>
      </w:r>
      <w:r w:rsidRPr="00822E5A">
        <w:rPr>
          <w:sz w:val="32"/>
          <w:szCs w:val="32"/>
          <w:lang w:val="es-PR"/>
        </w:rPr>
        <w:t xml:space="preserve">Consejo, admitió, “[n]i el embarazo </w:t>
      </w:r>
      <w:r w:rsidR="009A75A7">
        <w:rPr>
          <w:sz w:val="32"/>
          <w:szCs w:val="32"/>
          <w:lang w:val="es-PR"/>
        </w:rPr>
        <w:t xml:space="preserve">ni el embarazo no deseado es </w:t>
      </w:r>
      <w:proofErr w:type="gramStart"/>
      <w:r w:rsidR="009A75A7">
        <w:rPr>
          <w:sz w:val="32"/>
          <w:szCs w:val="32"/>
          <w:lang w:val="es-PR"/>
        </w:rPr>
        <w:t xml:space="preserve">un </w:t>
      </w:r>
      <w:r w:rsidRPr="00822E5A">
        <w:rPr>
          <w:sz w:val="32"/>
          <w:szCs w:val="32"/>
          <w:lang w:val="es-PR"/>
        </w:rPr>
        <w:t>enfermedad</w:t>
      </w:r>
      <w:proofErr w:type="gramEnd"/>
      <w:r w:rsidRPr="00822E5A">
        <w:rPr>
          <w:sz w:val="32"/>
          <w:szCs w:val="32"/>
          <w:lang w:val="es-PR"/>
        </w:rPr>
        <w:t xml:space="preserve">, y la </w:t>
      </w:r>
      <w:proofErr w:type="spellStart"/>
      <w:r w:rsidRPr="00822E5A">
        <w:rPr>
          <w:sz w:val="32"/>
          <w:szCs w:val="32"/>
          <w:lang w:val="es-PR"/>
        </w:rPr>
        <w:t>Subparte</w:t>
      </w:r>
      <w:proofErr w:type="spellEnd"/>
      <w:r w:rsidRPr="00822E5A">
        <w:rPr>
          <w:sz w:val="32"/>
          <w:szCs w:val="32"/>
          <w:lang w:val="es-PR"/>
        </w:rPr>
        <w:t xml:space="preserve"> H es, por lo tanto, inaplicable por esa sola razón”.</w:t>
      </w:r>
    </w:p>
    <w:p w:rsidR="009A75A7" w:rsidRDefault="009A75A7" w:rsidP="00822E5A">
      <w:pPr>
        <w:pStyle w:val="NoSpacing"/>
        <w:rPr>
          <w:sz w:val="32"/>
          <w:szCs w:val="32"/>
          <w:lang w:val="es-PR"/>
        </w:rPr>
      </w:pPr>
    </w:p>
    <w:p w:rsidR="00822E5A" w:rsidRDefault="00822E5A" w:rsidP="00822E5A">
      <w:pPr>
        <w:pStyle w:val="NoSpacing"/>
        <w:rPr>
          <w:sz w:val="32"/>
          <w:szCs w:val="32"/>
          <w:lang w:val="es-PR"/>
        </w:rPr>
      </w:pPr>
      <w:r w:rsidRPr="00822E5A">
        <w:rPr>
          <w:sz w:val="32"/>
          <w:szCs w:val="32"/>
          <w:lang w:val="es-PR"/>
        </w:rPr>
        <w:t>Carta del Consejo de Población a la FDA en 1–2. “El sign</w:t>
      </w:r>
      <w:r w:rsidR="009A75A7">
        <w:rPr>
          <w:sz w:val="32"/>
          <w:szCs w:val="32"/>
          <w:lang w:val="es-PR"/>
        </w:rPr>
        <w:t xml:space="preserve">ificado claro de estos </w:t>
      </w:r>
      <w:proofErr w:type="spellStart"/>
      <w:r w:rsidR="009A75A7">
        <w:rPr>
          <w:sz w:val="32"/>
          <w:szCs w:val="32"/>
          <w:lang w:val="es-PR"/>
        </w:rPr>
        <w:t>términos</w:t>
      </w:r>
      <w:r w:rsidRPr="00822E5A">
        <w:rPr>
          <w:sz w:val="32"/>
          <w:szCs w:val="32"/>
          <w:lang w:val="es-PR"/>
        </w:rPr>
        <w:t>no</w:t>
      </w:r>
      <w:proofErr w:type="spellEnd"/>
      <w:r w:rsidRPr="00822E5A">
        <w:rPr>
          <w:sz w:val="32"/>
          <w:szCs w:val="32"/>
          <w:lang w:val="es-PR"/>
        </w:rPr>
        <w:t xml:space="preserve"> comprende sucesos cotidia</w:t>
      </w:r>
      <w:r w:rsidR="009A75A7">
        <w:rPr>
          <w:sz w:val="32"/>
          <w:szCs w:val="32"/>
          <w:lang w:val="es-PR"/>
        </w:rPr>
        <w:t xml:space="preserve">nos normales como el embarazo y </w:t>
      </w:r>
      <w:r w:rsidRPr="00822E5A">
        <w:rPr>
          <w:sz w:val="32"/>
          <w:szCs w:val="32"/>
          <w:lang w:val="es-PR"/>
        </w:rPr>
        <w:t>embarazo no deseado." Identificación. a las 2.</w:t>
      </w:r>
    </w:p>
    <w:p w:rsidR="009A75A7" w:rsidRPr="00822E5A" w:rsidRDefault="009A75A7" w:rsidP="00822E5A">
      <w:pPr>
        <w:pStyle w:val="NoSpacing"/>
        <w:rPr>
          <w:sz w:val="32"/>
          <w:szCs w:val="32"/>
          <w:lang w:val="es-PR"/>
        </w:rPr>
      </w:pPr>
    </w:p>
    <w:p w:rsidR="00822E5A" w:rsidRPr="00981F3E" w:rsidRDefault="00822E5A" w:rsidP="00822E5A">
      <w:pPr>
        <w:pStyle w:val="NoSpacing"/>
        <w:rPr>
          <w:sz w:val="32"/>
          <w:szCs w:val="32"/>
          <w:lang w:val="es-PR"/>
        </w:rPr>
      </w:pPr>
      <w:r w:rsidRPr="00981F3E">
        <w:rPr>
          <w:sz w:val="32"/>
          <w:szCs w:val="32"/>
          <w:lang w:val="es-PR"/>
        </w:rPr>
        <w:lastRenderedPageBreak/>
        <w:t>B.</w:t>
      </w:r>
    </w:p>
    <w:p w:rsidR="00981F3E" w:rsidRPr="00981F3E" w:rsidRDefault="00822E5A" w:rsidP="00981F3E">
      <w:pPr>
        <w:pStyle w:val="NoSpacing"/>
        <w:rPr>
          <w:sz w:val="32"/>
          <w:szCs w:val="32"/>
          <w:lang w:val="es-PR"/>
        </w:rPr>
      </w:pPr>
      <w:r w:rsidRPr="00822E5A">
        <w:rPr>
          <w:sz w:val="32"/>
          <w:szCs w:val="32"/>
          <w:lang w:val="es-PR"/>
        </w:rPr>
        <w:t>La FDA ni siquiera i</w:t>
      </w:r>
      <w:r w:rsidR="00981F3E" w:rsidRPr="00981F3E">
        <w:rPr>
          <w:lang w:val="es-PR"/>
        </w:rPr>
        <w:t xml:space="preserve"> </w:t>
      </w:r>
      <w:r w:rsidR="00981F3E" w:rsidRPr="00981F3E">
        <w:rPr>
          <w:sz w:val="32"/>
          <w:szCs w:val="32"/>
          <w:lang w:val="es-PR"/>
        </w:rPr>
        <w:t>La FDA ni siquiera intenta argumentar que e</w:t>
      </w:r>
      <w:r w:rsidR="009A75A7">
        <w:rPr>
          <w:sz w:val="32"/>
          <w:szCs w:val="32"/>
          <w:lang w:val="es-PR"/>
        </w:rPr>
        <w:t xml:space="preserve">l embarazo es una "enfermedad". </w:t>
      </w:r>
      <w:r w:rsidR="00981F3E" w:rsidRPr="00981F3E">
        <w:rPr>
          <w:sz w:val="32"/>
          <w:szCs w:val="32"/>
          <w:lang w:val="es-PR"/>
        </w:rPr>
        <w:t>En cambio, la FDA, junto con el interventor</w:t>
      </w:r>
      <w:r w:rsidR="009A75A7">
        <w:rPr>
          <w:sz w:val="32"/>
          <w:szCs w:val="32"/>
          <w:lang w:val="es-PR"/>
        </w:rPr>
        <w:t xml:space="preserve"> </w:t>
      </w:r>
      <w:proofErr w:type="spellStart"/>
      <w:r w:rsidR="009A75A7">
        <w:rPr>
          <w:sz w:val="32"/>
          <w:szCs w:val="32"/>
          <w:lang w:val="es-PR"/>
        </w:rPr>
        <w:t>Danco</w:t>
      </w:r>
      <w:proofErr w:type="spellEnd"/>
      <w:r w:rsidR="009A75A7">
        <w:rPr>
          <w:sz w:val="32"/>
          <w:szCs w:val="32"/>
          <w:lang w:val="es-PR"/>
        </w:rPr>
        <w:t xml:space="preserve">, señala que el preámbulo </w:t>
      </w:r>
      <w:r w:rsidR="00981F3E" w:rsidRPr="00981F3E">
        <w:rPr>
          <w:sz w:val="32"/>
          <w:szCs w:val="32"/>
          <w:lang w:val="es-PR"/>
        </w:rPr>
        <w:t xml:space="preserve">a la </w:t>
      </w:r>
      <w:proofErr w:type="spellStart"/>
      <w:r w:rsidR="00981F3E" w:rsidRPr="00981F3E">
        <w:rPr>
          <w:sz w:val="32"/>
          <w:szCs w:val="32"/>
          <w:lang w:val="es-PR"/>
        </w:rPr>
        <w:t>Subparte</w:t>
      </w:r>
      <w:proofErr w:type="spellEnd"/>
      <w:r w:rsidR="00981F3E" w:rsidRPr="00981F3E">
        <w:rPr>
          <w:sz w:val="32"/>
          <w:szCs w:val="32"/>
          <w:lang w:val="es-PR"/>
        </w:rPr>
        <w:t xml:space="preserve"> H utiliza los términos "enfermed</w:t>
      </w:r>
      <w:r w:rsidR="009A75A7">
        <w:rPr>
          <w:sz w:val="32"/>
          <w:szCs w:val="32"/>
          <w:lang w:val="es-PR"/>
        </w:rPr>
        <w:t xml:space="preserve">ad", "enfermedad" y "condición" </w:t>
      </w:r>
      <w:r w:rsidR="00981F3E" w:rsidRPr="00981F3E">
        <w:rPr>
          <w:sz w:val="32"/>
          <w:szCs w:val="32"/>
          <w:lang w:val="es-PR"/>
        </w:rPr>
        <w:t>indistintamente. Véase, por ejemplo, 57 Fed. registro 5894</w:t>
      </w:r>
      <w:r w:rsidR="009A75A7">
        <w:rPr>
          <w:sz w:val="32"/>
          <w:szCs w:val="32"/>
          <w:lang w:val="es-PR"/>
        </w:rPr>
        <w:t xml:space="preserve">2, 58948 (“La droga en cuestión </w:t>
      </w:r>
      <w:proofErr w:type="spellStart"/>
      <w:r w:rsidR="00981F3E" w:rsidRPr="00981F3E">
        <w:rPr>
          <w:sz w:val="32"/>
          <w:szCs w:val="32"/>
          <w:lang w:val="es-PR"/>
        </w:rPr>
        <w:t>ebe</w:t>
      </w:r>
      <w:proofErr w:type="spellEnd"/>
      <w:r w:rsidR="00981F3E" w:rsidRPr="00981F3E">
        <w:rPr>
          <w:sz w:val="32"/>
          <w:szCs w:val="32"/>
          <w:lang w:val="es-PR"/>
        </w:rPr>
        <w:t xml:space="preserve"> ser por una afección grave o potencialmente m</w:t>
      </w:r>
      <w:r w:rsidR="009A75A7">
        <w:rPr>
          <w:sz w:val="32"/>
          <w:szCs w:val="32"/>
          <w:lang w:val="es-PR"/>
        </w:rPr>
        <w:t xml:space="preserve">ortal”). Por eso argumentan que </w:t>
      </w:r>
      <w:r w:rsidR="00981F3E" w:rsidRPr="00981F3E">
        <w:rPr>
          <w:sz w:val="32"/>
          <w:szCs w:val="32"/>
          <w:lang w:val="es-PR"/>
        </w:rPr>
        <w:t xml:space="preserve">La </w:t>
      </w:r>
      <w:proofErr w:type="spellStart"/>
      <w:r w:rsidR="00981F3E" w:rsidRPr="00981F3E">
        <w:rPr>
          <w:sz w:val="32"/>
          <w:szCs w:val="32"/>
          <w:lang w:val="es-PR"/>
        </w:rPr>
        <w:t>Subparte</w:t>
      </w:r>
      <w:proofErr w:type="spellEnd"/>
      <w:r w:rsidR="00981F3E" w:rsidRPr="00981F3E">
        <w:rPr>
          <w:sz w:val="32"/>
          <w:szCs w:val="32"/>
          <w:lang w:val="es-PR"/>
        </w:rPr>
        <w:t xml:space="preserve"> H permite que la FDA </w:t>
      </w:r>
      <w:r w:rsidR="009A75A7">
        <w:rPr>
          <w:sz w:val="32"/>
          <w:szCs w:val="32"/>
          <w:lang w:val="es-PR"/>
        </w:rPr>
        <w:t xml:space="preserve">apruebe medicamentos que tratan </w:t>
      </w:r>
      <w:r w:rsidR="00981F3E" w:rsidRPr="00981F3E">
        <w:rPr>
          <w:sz w:val="32"/>
          <w:szCs w:val="32"/>
          <w:lang w:val="es-PR"/>
        </w:rPr>
        <w:t>condiciones, así como enfermedades que amenazan la vida. Y aunque el embarazo es claramente</w:t>
      </w:r>
    </w:p>
    <w:p w:rsidR="00981F3E" w:rsidRPr="00981F3E" w:rsidRDefault="00981F3E" w:rsidP="00981F3E">
      <w:pPr>
        <w:pStyle w:val="NoSpacing"/>
        <w:rPr>
          <w:sz w:val="32"/>
          <w:szCs w:val="32"/>
          <w:lang w:val="es-PR"/>
        </w:rPr>
      </w:pPr>
      <w:r w:rsidRPr="00981F3E">
        <w:rPr>
          <w:sz w:val="32"/>
          <w:szCs w:val="32"/>
          <w:lang w:val="es-PR"/>
        </w:rPr>
        <w:t>no una "enfermedad", dice el argumento, el embarazo es al menos una "condición".</w:t>
      </w:r>
    </w:p>
    <w:p w:rsidR="009A75A7" w:rsidRDefault="009A75A7" w:rsidP="00981F3E">
      <w:pPr>
        <w:pStyle w:val="NoSpacing"/>
        <w:rPr>
          <w:sz w:val="32"/>
          <w:szCs w:val="32"/>
          <w:lang w:val="es-PR"/>
        </w:rPr>
      </w:pPr>
    </w:p>
    <w:p w:rsidR="00981F3E" w:rsidRPr="00981F3E" w:rsidRDefault="00981F3E" w:rsidP="00981F3E">
      <w:pPr>
        <w:pStyle w:val="NoSpacing"/>
        <w:rPr>
          <w:sz w:val="32"/>
          <w:szCs w:val="32"/>
          <w:lang w:val="es-PR"/>
        </w:rPr>
      </w:pPr>
      <w:r w:rsidRPr="00981F3E">
        <w:rPr>
          <w:sz w:val="32"/>
          <w:szCs w:val="32"/>
          <w:lang w:val="es-PR"/>
        </w:rPr>
        <w:t>Hay dos problemas con este argumento. Primero, no usamos</w:t>
      </w:r>
    </w:p>
    <w:p w:rsidR="00981F3E" w:rsidRPr="00981F3E" w:rsidRDefault="00981F3E" w:rsidP="00981F3E">
      <w:pPr>
        <w:pStyle w:val="NoSpacing"/>
        <w:rPr>
          <w:sz w:val="32"/>
          <w:szCs w:val="32"/>
          <w:lang w:val="es-PR"/>
        </w:rPr>
      </w:pPr>
      <w:r w:rsidRPr="00981F3E">
        <w:rPr>
          <w:sz w:val="32"/>
          <w:szCs w:val="32"/>
          <w:lang w:val="es-PR"/>
        </w:rPr>
        <w:t>preámbulos para ampliar el significado de texto reglamentario claro. Ver Distrito de</w:t>
      </w:r>
      <w:r w:rsidR="009A75A7">
        <w:rPr>
          <w:sz w:val="32"/>
          <w:szCs w:val="32"/>
          <w:lang w:val="es-PR"/>
        </w:rPr>
        <w:t xml:space="preserve"> </w:t>
      </w:r>
      <w:r w:rsidRPr="00981F3E">
        <w:rPr>
          <w:sz w:val="32"/>
          <w:szCs w:val="32"/>
          <w:lang w:val="es-PR"/>
        </w:rPr>
        <w:t xml:space="preserve">Columbia v. </w:t>
      </w:r>
      <w:proofErr w:type="spellStart"/>
      <w:r w:rsidRPr="00981F3E">
        <w:rPr>
          <w:sz w:val="32"/>
          <w:szCs w:val="32"/>
          <w:lang w:val="es-PR"/>
        </w:rPr>
        <w:t>Heller</w:t>
      </w:r>
      <w:proofErr w:type="spellEnd"/>
      <w:r w:rsidRPr="00981F3E">
        <w:rPr>
          <w:sz w:val="32"/>
          <w:szCs w:val="32"/>
          <w:lang w:val="es-PR"/>
        </w:rPr>
        <w:t xml:space="preserve">, 554 U.S. 570, 578 n.3 (2008) (“[I]n </w:t>
      </w:r>
      <w:proofErr w:type="spellStart"/>
      <w:r w:rsidRPr="00981F3E">
        <w:rPr>
          <w:sz w:val="32"/>
          <w:szCs w:val="32"/>
          <w:lang w:val="es-PR"/>
        </w:rPr>
        <w:t>America</w:t>
      </w:r>
      <w:proofErr w:type="spellEnd"/>
      <w:r w:rsidRPr="00981F3E">
        <w:rPr>
          <w:sz w:val="32"/>
          <w:szCs w:val="32"/>
          <w:lang w:val="es-PR"/>
        </w:rPr>
        <w:t xml:space="preserve"> ‘los </w:t>
      </w:r>
      <w:proofErr w:type="spellStart"/>
      <w:r w:rsidRPr="00981F3E">
        <w:rPr>
          <w:sz w:val="32"/>
          <w:szCs w:val="32"/>
          <w:lang w:val="es-PR"/>
        </w:rPr>
        <w:t>pobladoresprincipio</w:t>
      </w:r>
      <w:proofErr w:type="spellEnd"/>
      <w:r w:rsidRPr="00981F3E">
        <w:rPr>
          <w:sz w:val="32"/>
          <w:szCs w:val="32"/>
          <w:lang w:val="es-PR"/>
        </w:rPr>
        <w:t xml:space="preserve"> de derecho es que el preámbulo no puede controlar la parte dispositi</w:t>
      </w:r>
      <w:r w:rsidR="009A75A7">
        <w:rPr>
          <w:sz w:val="32"/>
          <w:szCs w:val="32"/>
          <w:lang w:val="es-PR"/>
        </w:rPr>
        <w:t xml:space="preserve">va </w:t>
      </w:r>
      <w:proofErr w:type="gramStart"/>
      <w:r w:rsidR="009A75A7">
        <w:rPr>
          <w:sz w:val="32"/>
          <w:szCs w:val="32"/>
          <w:lang w:val="es-PR"/>
        </w:rPr>
        <w:t xml:space="preserve">del </w:t>
      </w:r>
      <w:r w:rsidRPr="00981F3E">
        <w:rPr>
          <w:sz w:val="32"/>
          <w:szCs w:val="32"/>
          <w:lang w:val="es-PR"/>
        </w:rPr>
        <w:t>ley</w:t>
      </w:r>
      <w:proofErr w:type="gramEnd"/>
      <w:r w:rsidRPr="00981F3E">
        <w:rPr>
          <w:sz w:val="32"/>
          <w:szCs w:val="32"/>
          <w:lang w:val="es-PR"/>
        </w:rPr>
        <w:t xml:space="preserve"> en los casos en que la parte dispositiva se expre</w:t>
      </w:r>
      <w:r w:rsidR="009A75A7">
        <w:rPr>
          <w:sz w:val="32"/>
          <w:szCs w:val="32"/>
          <w:lang w:val="es-PR"/>
        </w:rPr>
        <w:t xml:space="preserve">se de manera clara e inequívoca </w:t>
      </w:r>
      <w:r w:rsidRPr="00981F3E">
        <w:rPr>
          <w:sz w:val="32"/>
          <w:szCs w:val="32"/>
          <w:lang w:val="es-PR"/>
        </w:rPr>
        <w:t xml:space="preserve">términos.'"); </w:t>
      </w:r>
      <w:proofErr w:type="spellStart"/>
      <w:r w:rsidRPr="00981F3E">
        <w:rPr>
          <w:sz w:val="32"/>
          <w:szCs w:val="32"/>
          <w:lang w:val="es-PR"/>
        </w:rPr>
        <w:t>Antonin</w:t>
      </w:r>
      <w:proofErr w:type="spellEnd"/>
      <w:r w:rsidRPr="00981F3E">
        <w:rPr>
          <w:sz w:val="32"/>
          <w:szCs w:val="32"/>
          <w:lang w:val="es-PR"/>
        </w:rPr>
        <w:t xml:space="preserve"> </w:t>
      </w:r>
      <w:proofErr w:type="spellStart"/>
      <w:r w:rsidRPr="00981F3E">
        <w:rPr>
          <w:sz w:val="32"/>
          <w:szCs w:val="32"/>
          <w:lang w:val="es-PR"/>
        </w:rPr>
        <w:t>Scalia</w:t>
      </w:r>
      <w:proofErr w:type="spellEnd"/>
      <w:r w:rsidRPr="00981F3E">
        <w:rPr>
          <w:sz w:val="32"/>
          <w:szCs w:val="32"/>
          <w:lang w:val="es-PR"/>
        </w:rPr>
        <w:t xml:space="preserve"> y </w:t>
      </w:r>
      <w:r w:rsidR="009A75A7">
        <w:rPr>
          <w:sz w:val="32"/>
          <w:szCs w:val="32"/>
          <w:lang w:val="es-PR"/>
        </w:rPr>
        <w:t xml:space="preserve">Bryan A. </w:t>
      </w:r>
      <w:proofErr w:type="spellStart"/>
      <w:r w:rsidR="009A75A7">
        <w:rPr>
          <w:sz w:val="32"/>
          <w:szCs w:val="32"/>
          <w:lang w:val="es-PR"/>
        </w:rPr>
        <w:t>Garner</w:t>
      </w:r>
      <w:proofErr w:type="spellEnd"/>
      <w:r w:rsidR="009A75A7">
        <w:rPr>
          <w:sz w:val="32"/>
          <w:szCs w:val="32"/>
          <w:lang w:val="es-PR"/>
        </w:rPr>
        <w:t xml:space="preserve">, ley de lectura </w:t>
      </w:r>
      <w:r w:rsidRPr="00981F3E">
        <w:rPr>
          <w:sz w:val="32"/>
          <w:szCs w:val="32"/>
          <w:lang w:val="es-PR"/>
        </w:rPr>
        <w:t xml:space="preserve">218 (2012) (“[E]l prólogo no </w:t>
      </w:r>
      <w:r w:rsidR="009A75A7">
        <w:rPr>
          <w:sz w:val="32"/>
          <w:szCs w:val="32"/>
          <w:lang w:val="es-PR"/>
        </w:rPr>
        <w:t xml:space="preserve">puede dar palabras y frases del </w:t>
      </w:r>
      <w:r w:rsidRPr="00981F3E">
        <w:rPr>
          <w:sz w:val="32"/>
          <w:szCs w:val="32"/>
          <w:lang w:val="es-PR"/>
        </w:rPr>
        <w:t>texto dispositivo un significado que no pueden soportar”).</w:t>
      </w:r>
    </w:p>
    <w:p w:rsidR="009A75A7" w:rsidRDefault="009A75A7" w:rsidP="00981F3E">
      <w:pPr>
        <w:pStyle w:val="NoSpacing"/>
        <w:rPr>
          <w:sz w:val="32"/>
          <w:szCs w:val="32"/>
          <w:lang w:val="es-PR"/>
        </w:rPr>
      </w:pPr>
    </w:p>
    <w:p w:rsidR="00981F3E" w:rsidRPr="00981F3E" w:rsidRDefault="00981F3E" w:rsidP="00981F3E">
      <w:pPr>
        <w:pStyle w:val="NoSpacing"/>
        <w:rPr>
          <w:sz w:val="32"/>
          <w:szCs w:val="32"/>
          <w:lang w:val="es-PR"/>
        </w:rPr>
      </w:pPr>
      <w:r w:rsidRPr="00981F3E">
        <w:rPr>
          <w:sz w:val="32"/>
          <w:szCs w:val="32"/>
          <w:lang w:val="es-PR"/>
        </w:rPr>
        <w:t xml:space="preserve">En segundo lugar, este argumento de que el </w:t>
      </w:r>
      <w:r w:rsidR="009A75A7">
        <w:rPr>
          <w:sz w:val="32"/>
          <w:szCs w:val="32"/>
          <w:lang w:val="es-PR"/>
        </w:rPr>
        <w:t xml:space="preserve">preámbulo amplía "enfermedad" </w:t>
      </w:r>
      <w:proofErr w:type="spellStart"/>
      <w:r w:rsidR="009A75A7">
        <w:rPr>
          <w:sz w:val="32"/>
          <w:szCs w:val="32"/>
          <w:lang w:val="es-PR"/>
        </w:rPr>
        <w:t>a</w:t>
      </w:r>
      <w:r w:rsidRPr="00981F3E">
        <w:rPr>
          <w:sz w:val="32"/>
          <w:szCs w:val="32"/>
          <w:lang w:val="es-PR"/>
        </w:rPr>
        <w:t>incluyen</w:t>
      </w:r>
      <w:proofErr w:type="spellEnd"/>
      <w:r w:rsidRPr="00981F3E">
        <w:rPr>
          <w:sz w:val="32"/>
          <w:szCs w:val="32"/>
          <w:lang w:val="es-PR"/>
        </w:rPr>
        <w:t xml:space="preserve"> “condiciones”—equívocos entre d</w:t>
      </w:r>
      <w:r w:rsidR="009A75A7">
        <w:rPr>
          <w:sz w:val="32"/>
          <w:szCs w:val="32"/>
          <w:lang w:val="es-PR"/>
        </w:rPr>
        <w:t xml:space="preserve">os significados distintos de la </w:t>
      </w:r>
      <w:r w:rsidRPr="00981F3E">
        <w:rPr>
          <w:sz w:val="32"/>
          <w:szCs w:val="32"/>
          <w:lang w:val="es-PR"/>
        </w:rPr>
        <w:t>palabra "condición". Tal como se utiliza en el preám</w:t>
      </w:r>
      <w:r w:rsidR="009A75A7">
        <w:rPr>
          <w:sz w:val="32"/>
          <w:szCs w:val="32"/>
          <w:lang w:val="es-PR"/>
        </w:rPr>
        <w:t xml:space="preserve">bulo, "condición" significa una </w:t>
      </w:r>
      <w:r w:rsidRPr="00981F3E">
        <w:rPr>
          <w:sz w:val="32"/>
          <w:szCs w:val="32"/>
          <w:lang w:val="es-PR"/>
        </w:rPr>
        <w:t>“estado de salud defectuoso</w:t>
      </w:r>
      <w:r w:rsidR="009A75A7">
        <w:rPr>
          <w:sz w:val="32"/>
          <w:szCs w:val="32"/>
          <w:lang w:val="es-PR"/>
        </w:rPr>
        <w:t xml:space="preserve">”. Colegiado de </w:t>
      </w:r>
      <w:proofErr w:type="spellStart"/>
      <w:r w:rsidR="009A75A7">
        <w:rPr>
          <w:sz w:val="32"/>
          <w:szCs w:val="32"/>
          <w:lang w:val="es-PR"/>
        </w:rPr>
        <w:t>Merriam-Webster</w:t>
      </w:r>
      <w:proofErr w:type="spellEnd"/>
      <w:r w:rsidR="009A75A7">
        <w:rPr>
          <w:sz w:val="32"/>
          <w:szCs w:val="32"/>
          <w:lang w:val="es-PR"/>
        </w:rPr>
        <w:t xml:space="preserve"> </w:t>
      </w:r>
      <w:r w:rsidRPr="00981F3E">
        <w:rPr>
          <w:sz w:val="32"/>
          <w:szCs w:val="32"/>
          <w:lang w:val="es-PR"/>
        </w:rPr>
        <w:t>Diccionario (11ª ed. 2007), s.v. condició</w:t>
      </w:r>
      <w:r w:rsidR="009A75A7">
        <w:rPr>
          <w:sz w:val="32"/>
          <w:szCs w:val="32"/>
          <w:lang w:val="es-PR"/>
        </w:rPr>
        <w:t xml:space="preserve">n, sentido 4c. En este sentido, </w:t>
      </w:r>
      <w:r w:rsidRPr="00981F3E">
        <w:rPr>
          <w:sz w:val="32"/>
          <w:szCs w:val="32"/>
          <w:lang w:val="es-PR"/>
        </w:rPr>
        <w:t>“condición” es sinónimo de “enf</w:t>
      </w:r>
      <w:r w:rsidR="009A75A7">
        <w:rPr>
          <w:sz w:val="32"/>
          <w:szCs w:val="32"/>
          <w:lang w:val="es-PR"/>
        </w:rPr>
        <w:t xml:space="preserve">ermedad”. Ver </w:t>
      </w:r>
      <w:proofErr w:type="spellStart"/>
      <w:r w:rsidR="009A75A7">
        <w:rPr>
          <w:sz w:val="32"/>
          <w:szCs w:val="32"/>
          <w:lang w:val="es-PR"/>
        </w:rPr>
        <w:t>Merriam-Webster's</w:t>
      </w:r>
      <w:proofErr w:type="spellEnd"/>
      <w:r w:rsidR="009A75A7">
        <w:rPr>
          <w:sz w:val="32"/>
          <w:szCs w:val="32"/>
          <w:lang w:val="es-PR"/>
        </w:rPr>
        <w:t xml:space="preserve"> </w:t>
      </w:r>
      <w:proofErr w:type="spellStart"/>
      <w:r w:rsidRPr="00981F3E">
        <w:rPr>
          <w:sz w:val="32"/>
          <w:szCs w:val="32"/>
          <w:lang w:val="es-PR"/>
        </w:rPr>
        <w:t>Collegiate</w:t>
      </w:r>
      <w:proofErr w:type="spellEnd"/>
      <w:r w:rsidRPr="00981F3E">
        <w:rPr>
          <w:sz w:val="32"/>
          <w:szCs w:val="32"/>
          <w:lang w:val="es-PR"/>
        </w:rPr>
        <w:t xml:space="preserve"> </w:t>
      </w:r>
      <w:proofErr w:type="spellStart"/>
      <w:r w:rsidRPr="00981F3E">
        <w:rPr>
          <w:sz w:val="32"/>
          <w:szCs w:val="32"/>
          <w:lang w:val="es-PR"/>
        </w:rPr>
        <w:t>Thesaurus</w:t>
      </w:r>
      <w:proofErr w:type="spellEnd"/>
      <w:r w:rsidRPr="00981F3E">
        <w:rPr>
          <w:sz w:val="32"/>
          <w:szCs w:val="32"/>
          <w:lang w:val="es-PR"/>
        </w:rPr>
        <w:t xml:space="preserve"> (1988), s.v</w:t>
      </w:r>
      <w:r w:rsidR="009A75A7">
        <w:rPr>
          <w:sz w:val="32"/>
          <w:szCs w:val="32"/>
          <w:lang w:val="es-PR"/>
        </w:rPr>
        <w:t>. condición, sentido 6 (</w:t>
      </w:r>
      <w:proofErr w:type="spellStart"/>
      <w:proofErr w:type="gramStart"/>
      <w:r w:rsidR="009A75A7">
        <w:rPr>
          <w:sz w:val="32"/>
          <w:szCs w:val="32"/>
          <w:lang w:val="es-PR"/>
        </w:rPr>
        <w:t>listado</w:t>
      </w:r>
      <w:r w:rsidRPr="00981F3E">
        <w:rPr>
          <w:sz w:val="32"/>
          <w:szCs w:val="32"/>
          <w:lang w:val="es-PR"/>
        </w:rPr>
        <w:t>“</w:t>
      </w:r>
      <w:proofErr w:type="gramEnd"/>
      <w:r w:rsidRPr="00981F3E">
        <w:rPr>
          <w:sz w:val="32"/>
          <w:szCs w:val="32"/>
          <w:lang w:val="es-PR"/>
        </w:rPr>
        <w:t>enfermedad</w:t>
      </w:r>
      <w:proofErr w:type="spellEnd"/>
      <w:r w:rsidRPr="00981F3E">
        <w:rPr>
          <w:sz w:val="32"/>
          <w:szCs w:val="32"/>
          <w:lang w:val="es-PR"/>
        </w:rPr>
        <w:t>”, “alimento” y “dolencia” como sinónimos de “condición”).</w:t>
      </w:r>
    </w:p>
    <w:p w:rsidR="009A75A7" w:rsidRDefault="009A75A7" w:rsidP="00981F3E">
      <w:pPr>
        <w:pStyle w:val="NoSpacing"/>
        <w:rPr>
          <w:sz w:val="32"/>
          <w:szCs w:val="32"/>
          <w:lang w:val="es-PR"/>
        </w:rPr>
      </w:pPr>
      <w:r>
        <w:rPr>
          <w:sz w:val="32"/>
          <w:szCs w:val="32"/>
          <w:lang w:val="es-PR"/>
        </w:rPr>
        <w:t xml:space="preserve"> </w:t>
      </w:r>
    </w:p>
    <w:p w:rsidR="00981F3E" w:rsidRPr="00981F3E" w:rsidRDefault="00981F3E" w:rsidP="00981F3E">
      <w:pPr>
        <w:pStyle w:val="NoSpacing"/>
        <w:rPr>
          <w:sz w:val="32"/>
          <w:szCs w:val="32"/>
          <w:lang w:val="es-PR"/>
        </w:rPr>
      </w:pPr>
      <w:r w:rsidRPr="00981F3E">
        <w:rPr>
          <w:sz w:val="32"/>
          <w:szCs w:val="32"/>
          <w:lang w:val="es-PR"/>
        </w:rPr>
        <w:lastRenderedPageBreak/>
        <w:t>Por supuesto, "condición" también puede si</w:t>
      </w:r>
      <w:r w:rsidR="009A75A7">
        <w:rPr>
          <w:sz w:val="32"/>
          <w:szCs w:val="32"/>
          <w:lang w:val="es-PR"/>
        </w:rPr>
        <w:t xml:space="preserve">gnificar "un estado de ser" </w:t>
      </w:r>
      <w:proofErr w:type="spellStart"/>
      <w:r w:rsidR="009A75A7">
        <w:rPr>
          <w:sz w:val="32"/>
          <w:szCs w:val="32"/>
          <w:lang w:val="es-PR"/>
        </w:rPr>
        <w:t>más</w:t>
      </w:r>
      <w:r w:rsidRPr="00981F3E">
        <w:rPr>
          <w:sz w:val="32"/>
          <w:szCs w:val="32"/>
          <w:lang w:val="es-PR"/>
        </w:rPr>
        <w:t>en</w:t>
      </w:r>
      <w:proofErr w:type="spellEnd"/>
      <w:r w:rsidRPr="00981F3E">
        <w:rPr>
          <w:sz w:val="32"/>
          <w:szCs w:val="32"/>
          <w:lang w:val="es-PR"/>
        </w:rPr>
        <w:t xml:space="preserve"> general. Diccionario colegiado de </w:t>
      </w:r>
      <w:proofErr w:type="spellStart"/>
      <w:r w:rsidRPr="00981F3E">
        <w:rPr>
          <w:sz w:val="32"/>
          <w:szCs w:val="32"/>
          <w:lang w:val="es-PR"/>
        </w:rPr>
        <w:t>Merriam-Webster</w:t>
      </w:r>
      <w:proofErr w:type="spellEnd"/>
      <w:r w:rsidRPr="00981F3E">
        <w:rPr>
          <w:sz w:val="32"/>
          <w:szCs w:val="32"/>
          <w:lang w:val="es-PR"/>
        </w:rPr>
        <w:t xml:space="preserve">, </w:t>
      </w:r>
      <w:proofErr w:type="spellStart"/>
      <w:r w:rsidRPr="00981F3E">
        <w:rPr>
          <w:sz w:val="32"/>
          <w:szCs w:val="32"/>
          <w:lang w:val="es-PR"/>
        </w:rPr>
        <w:t>sv</w:t>
      </w:r>
      <w:proofErr w:type="spellEnd"/>
      <w:r w:rsidRPr="00981F3E">
        <w:rPr>
          <w:sz w:val="32"/>
          <w:szCs w:val="32"/>
          <w:lang w:val="es-PR"/>
        </w:rPr>
        <w:t>,</w:t>
      </w:r>
    </w:p>
    <w:p w:rsidR="00981F3E" w:rsidRPr="00981F3E" w:rsidRDefault="00981F3E" w:rsidP="00981F3E">
      <w:pPr>
        <w:pStyle w:val="NoSpacing"/>
        <w:rPr>
          <w:sz w:val="32"/>
          <w:szCs w:val="32"/>
          <w:lang w:val="es-PR"/>
        </w:rPr>
      </w:pPr>
      <w:r w:rsidRPr="00981F3E">
        <w:rPr>
          <w:sz w:val="32"/>
          <w:szCs w:val="32"/>
          <w:lang w:val="es-PR"/>
        </w:rPr>
        <w:t>condición, sentido 4a. Y el embarazo es ciertamente una</w:t>
      </w:r>
      <w:r w:rsidR="009A75A7">
        <w:rPr>
          <w:sz w:val="32"/>
          <w:szCs w:val="32"/>
          <w:lang w:val="es-PR"/>
        </w:rPr>
        <w:t xml:space="preserve"> "condición" en este más amplio </w:t>
      </w:r>
      <w:r w:rsidRPr="00981F3E">
        <w:rPr>
          <w:sz w:val="32"/>
          <w:szCs w:val="32"/>
          <w:lang w:val="es-PR"/>
        </w:rPr>
        <w:t>sentido.</w:t>
      </w:r>
    </w:p>
    <w:p w:rsidR="009A75A7" w:rsidRDefault="009A75A7" w:rsidP="00981F3E">
      <w:pPr>
        <w:pStyle w:val="NoSpacing"/>
        <w:rPr>
          <w:sz w:val="32"/>
          <w:szCs w:val="32"/>
          <w:lang w:val="es-PR"/>
        </w:rPr>
      </w:pPr>
    </w:p>
    <w:p w:rsidR="00722EB5" w:rsidRDefault="00981F3E" w:rsidP="00981F3E">
      <w:pPr>
        <w:pStyle w:val="NoSpacing"/>
        <w:rPr>
          <w:sz w:val="32"/>
          <w:szCs w:val="32"/>
          <w:lang w:val="es-PR"/>
        </w:rPr>
      </w:pPr>
      <w:r w:rsidRPr="00981F3E">
        <w:rPr>
          <w:sz w:val="32"/>
          <w:szCs w:val="32"/>
          <w:lang w:val="es-PR"/>
        </w:rPr>
        <w:t>Pero el hecho de que el embarazo sea una “con</w:t>
      </w:r>
      <w:r w:rsidR="009A75A7">
        <w:rPr>
          <w:sz w:val="32"/>
          <w:szCs w:val="32"/>
          <w:lang w:val="es-PR"/>
        </w:rPr>
        <w:t xml:space="preserve">dición” en el sentido amplio de </w:t>
      </w:r>
      <w:r w:rsidRPr="00981F3E">
        <w:rPr>
          <w:sz w:val="32"/>
          <w:szCs w:val="32"/>
          <w:lang w:val="es-PR"/>
        </w:rPr>
        <w:t>“estado de ser” no lo convierte en una “condi</w:t>
      </w:r>
      <w:r w:rsidR="009A75A7">
        <w:rPr>
          <w:sz w:val="32"/>
          <w:szCs w:val="32"/>
          <w:lang w:val="es-PR"/>
        </w:rPr>
        <w:t xml:space="preserve">ción” en el sentido estricto de </w:t>
      </w:r>
      <w:r w:rsidRPr="00981F3E">
        <w:rPr>
          <w:sz w:val="32"/>
          <w:szCs w:val="32"/>
          <w:lang w:val="es-PR"/>
        </w:rPr>
        <w:t xml:space="preserve">"enfermedad." Y la </w:t>
      </w:r>
      <w:proofErr w:type="spellStart"/>
      <w:r w:rsidRPr="00981F3E">
        <w:rPr>
          <w:sz w:val="32"/>
          <w:szCs w:val="32"/>
          <w:lang w:val="es-PR"/>
        </w:rPr>
        <w:t>Subparte</w:t>
      </w:r>
      <w:proofErr w:type="spellEnd"/>
      <w:r w:rsidRPr="00981F3E">
        <w:rPr>
          <w:sz w:val="32"/>
          <w:szCs w:val="32"/>
          <w:lang w:val="es-PR"/>
        </w:rPr>
        <w:t xml:space="preserve"> H claramente contem</w:t>
      </w:r>
      <w:r w:rsidR="009A75A7">
        <w:rPr>
          <w:sz w:val="32"/>
          <w:szCs w:val="32"/>
          <w:lang w:val="es-PR"/>
        </w:rPr>
        <w:t xml:space="preserve">pla el sentido estricto, porque </w:t>
      </w:r>
      <w:r w:rsidRPr="00981F3E">
        <w:rPr>
          <w:sz w:val="32"/>
          <w:szCs w:val="32"/>
          <w:lang w:val="es-PR"/>
        </w:rPr>
        <w:t>usa "condición" indistintamente con "enfermedad". U</w:t>
      </w:r>
      <w:r w:rsidR="009A75A7">
        <w:rPr>
          <w:sz w:val="32"/>
          <w:szCs w:val="32"/>
          <w:lang w:val="es-PR"/>
        </w:rPr>
        <w:t>n reglamento sobre los “</w:t>
      </w:r>
      <w:proofErr w:type="spellStart"/>
      <w:r w:rsidR="009A75A7">
        <w:rPr>
          <w:sz w:val="32"/>
          <w:szCs w:val="32"/>
          <w:lang w:val="es-PR"/>
        </w:rPr>
        <w:t>coches”</w:t>
      </w:r>
      <w:r w:rsidRPr="00981F3E">
        <w:rPr>
          <w:sz w:val="32"/>
          <w:szCs w:val="32"/>
          <w:lang w:val="es-PR"/>
        </w:rPr>
        <w:t>n</w:t>
      </w:r>
      <w:r w:rsidR="009A75A7">
        <w:rPr>
          <w:sz w:val="32"/>
          <w:szCs w:val="32"/>
          <w:lang w:val="es-PR"/>
        </w:rPr>
        <w:t>o</w:t>
      </w:r>
      <w:proofErr w:type="spellEnd"/>
      <w:r w:rsidR="009A75A7">
        <w:rPr>
          <w:sz w:val="32"/>
          <w:szCs w:val="32"/>
          <w:lang w:val="es-PR"/>
        </w:rPr>
        <w:t xml:space="preserve"> cubre </w:t>
      </w:r>
      <w:r w:rsidRPr="00981F3E">
        <w:rPr>
          <w:sz w:val="32"/>
          <w:szCs w:val="32"/>
          <w:lang w:val="es-PR"/>
        </w:rPr>
        <w:t>bicicletas solo porqu</w:t>
      </w:r>
      <w:r w:rsidR="009A75A7">
        <w:rPr>
          <w:sz w:val="32"/>
          <w:szCs w:val="32"/>
          <w:lang w:val="es-PR"/>
        </w:rPr>
        <w:t xml:space="preserve">e su preámbulo a veces menciona </w:t>
      </w:r>
      <w:r w:rsidRPr="00981F3E">
        <w:rPr>
          <w:sz w:val="32"/>
          <w:szCs w:val="32"/>
          <w:lang w:val="es-PR"/>
        </w:rPr>
        <w:t>"vehículos". Asimismo, una norma</w:t>
      </w:r>
      <w:r w:rsidR="009A75A7">
        <w:rPr>
          <w:sz w:val="32"/>
          <w:szCs w:val="32"/>
          <w:lang w:val="es-PR"/>
        </w:rPr>
        <w:t xml:space="preserve"> sobre “enfermedades” no aborda </w:t>
      </w:r>
      <w:r w:rsidRPr="00981F3E">
        <w:rPr>
          <w:sz w:val="32"/>
          <w:szCs w:val="32"/>
          <w:lang w:val="es-PR"/>
        </w:rPr>
        <w:t xml:space="preserve">embarazo solo porque su preámbulo a veces menciona “condiciones”. </w:t>
      </w:r>
      <w:r>
        <w:rPr>
          <w:sz w:val="32"/>
          <w:szCs w:val="32"/>
          <w:lang w:val="es-PR"/>
        </w:rPr>
        <w:t>i</w:t>
      </w:r>
      <w:r w:rsidR="00722EB5">
        <w:rPr>
          <w:sz w:val="32"/>
          <w:szCs w:val="32"/>
          <w:lang w:val="es-PR"/>
        </w:rPr>
        <w:t xml:space="preserve">ntenta argumentar </w:t>
      </w:r>
    </w:p>
    <w:p w:rsidR="00722EB5" w:rsidRDefault="00722EB5" w:rsidP="00981F3E">
      <w:pPr>
        <w:pStyle w:val="NoSpacing"/>
        <w:rPr>
          <w:sz w:val="32"/>
          <w:szCs w:val="32"/>
          <w:lang w:val="es-PR"/>
        </w:rPr>
      </w:pPr>
    </w:p>
    <w:p w:rsidR="00981F3E" w:rsidRPr="00981F3E" w:rsidRDefault="00981F3E" w:rsidP="00981F3E">
      <w:pPr>
        <w:pStyle w:val="NoSpacing"/>
        <w:rPr>
          <w:sz w:val="32"/>
          <w:szCs w:val="32"/>
          <w:lang w:val="es-PR"/>
        </w:rPr>
      </w:pPr>
      <w:r w:rsidRPr="00981F3E">
        <w:rPr>
          <w:sz w:val="32"/>
          <w:szCs w:val="32"/>
          <w:lang w:val="es-PR"/>
        </w:rPr>
        <w:t>Como defensa final, la FDA sostiene que lo</w:t>
      </w:r>
      <w:r w:rsidR="00722EB5">
        <w:rPr>
          <w:sz w:val="32"/>
          <w:szCs w:val="32"/>
          <w:lang w:val="es-PR"/>
        </w:rPr>
        <w:t xml:space="preserve">s eventos subsiguientes curaron </w:t>
      </w:r>
      <w:r w:rsidRPr="00981F3E">
        <w:rPr>
          <w:sz w:val="32"/>
          <w:szCs w:val="32"/>
          <w:lang w:val="es-PR"/>
        </w:rPr>
        <w:t xml:space="preserve">ningún defecto en su aprobación inicial de 2000. Específicamente, la FDA </w:t>
      </w:r>
      <w:r w:rsidR="00722EB5">
        <w:rPr>
          <w:sz w:val="32"/>
          <w:szCs w:val="32"/>
          <w:lang w:val="es-PR"/>
        </w:rPr>
        <w:t xml:space="preserve">apunta a la </w:t>
      </w:r>
      <w:r w:rsidRPr="00981F3E">
        <w:rPr>
          <w:sz w:val="32"/>
          <w:szCs w:val="32"/>
          <w:lang w:val="es-PR"/>
        </w:rPr>
        <w:t>Ley de Enmiendas de la Administración de Dr</w:t>
      </w:r>
      <w:r w:rsidR="00722EB5">
        <w:rPr>
          <w:sz w:val="32"/>
          <w:szCs w:val="32"/>
          <w:lang w:val="es-PR"/>
        </w:rPr>
        <w:t xml:space="preserve">ogas y Alimentos de 2007 y a la </w:t>
      </w:r>
      <w:r w:rsidRPr="00981F3E">
        <w:rPr>
          <w:sz w:val="32"/>
          <w:szCs w:val="32"/>
          <w:lang w:val="es-PR"/>
        </w:rPr>
        <w:t>2011 Estrategia de Evaluación y Mitigación de Riesgos. Afirma que ambas autoridades</w:t>
      </w:r>
    </w:p>
    <w:p w:rsidR="00981F3E" w:rsidRPr="00981F3E" w:rsidRDefault="00981F3E" w:rsidP="00981F3E">
      <w:pPr>
        <w:pStyle w:val="NoSpacing"/>
        <w:rPr>
          <w:sz w:val="32"/>
          <w:szCs w:val="32"/>
          <w:lang w:val="es-PR"/>
        </w:rPr>
      </w:pPr>
      <w:r w:rsidRPr="00981F3E">
        <w:rPr>
          <w:sz w:val="32"/>
          <w:szCs w:val="32"/>
          <w:lang w:val="es-PR"/>
        </w:rPr>
        <w:t>hacer irrelevantes los defectos de la homologación de 2000.</w:t>
      </w:r>
    </w:p>
    <w:p w:rsidR="00722EB5" w:rsidRDefault="00981F3E" w:rsidP="00981F3E">
      <w:pPr>
        <w:pStyle w:val="NoSpacing"/>
        <w:rPr>
          <w:sz w:val="32"/>
          <w:szCs w:val="32"/>
          <w:lang w:val="es-PR"/>
        </w:rPr>
      </w:pPr>
      <w:r w:rsidRPr="00981F3E">
        <w:rPr>
          <w:sz w:val="32"/>
          <w:szCs w:val="32"/>
          <w:lang w:val="es-PR"/>
        </w:rPr>
        <w:t xml:space="preserve">  </w:t>
      </w:r>
    </w:p>
    <w:p w:rsidR="00981F3E" w:rsidRPr="00981F3E" w:rsidRDefault="00981F3E" w:rsidP="00981F3E">
      <w:pPr>
        <w:pStyle w:val="NoSpacing"/>
        <w:rPr>
          <w:sz w:val="32"/>
          <w:szCs w:val="32"/>
          <w:lang w:val="es-PR"/>
        </w:rPr>
      </w:pPr>
      <w:r w:rsidRPr="00981F3E">
        <w:rPr>
          <w:sz w:val="32"/>
          <w:szCs w:val="32"/>
          <w:lang w:val="es-PR"/>
        </w:rPr>
        <w:t xml:space="preserve">Primero, la FDA argumenta que la Ley de 2007 </w:t>
      </w:r>
      <w:r w:rsidR="00722EB5">
        <w:rPr>
          <w:sz w:val="32"/>
          <w:szCs w:val="32"/>
          <w:lang w:val="es-PR"/>
        </w:rPr>
        <w:t xml:space="preserve">"consideró" que la </w:t>
      </w:r>
      <w:proofErr w:type="spellStart"/>
      <w:r w:rsidR="00722EB5">
        <w:rPr>
          <w:sz w:val="32"/>
          <w:szCs w:val="32"/>
          <w:lang w:val="es-PR"/>
        </w:rPr>
        <w:t>mifepristona</w:t>
      </w:r>
      <w:proofErr w:type="spellEnd"/>
      <w:r w:rsidR="00722EB5">
        <w:rPr>
          <w:sz w:val="32"/>
          <w:szCs w:val="32"/>
          <w:lang w:val="es-PR"/>
        </w:rPr>
        <w:t xml:space="preserve"> </w:t>
      </w:r>
      <w:r w:rsidRPr="00981F3E">
        <w:rPr>
          <w:sz w:val="32"/>
          <w:szCs w:val="32"/>
          <w:lang w:val="es-PR"/>
        </w:rPr>
        <w:t>ser aprobado. Pero el texto legal con</w:t>
      </w:r>
      <w:r w:rsidR="00722EB5">
        <w:rPr>
          <w:sz w:val="32"/>
          <w:szCs w:val="32"/>
          <w:lang w:val="es-PR"/>
        </w:rPr>
        <w:t xml:space="preserve">tradice este argumento. El acto </w:t>
      </w:r>
      <w:r w:rsidRPr="00981F3E">
        <w:rPr>
          <w:sz w:val="32"/>
          <w:szCs w:val="32"/>
          <w:lang w:val="es-PR"/>
        </w:rPr>
        <w:t>aclara que “[un] medicamento que fue aprobado antes de l</w:t>
      </w:r>
      <w:r w:rsidR="00722EB5">
        <w:rPr>
          <w:sz w:val="32"/>
          <w:szCs w:val="32"/>
          <w:lang w:val="es-PR"/>
        </w:rPr>
        <w:t xml:space="preserve">a fecha de vigencia de esta Ley </w:t>
      </w:r>
      <w:r w:rsidRPr="00981F3E">
        <w:rPr>
          <w:sz w:val="32"/>
          <w:szCs w:val="32"/>
          <w:lang w:val="es-PR"/>
        </w:rPr>
        <w:t>es . . . se considera que tiene en vigor una evaluación y mitigación de riesgos aprobada</w:t>
      </w:r>
    </w:p>
    <w:p w:rsidR="00981F3E" w:rsidRPr="00981F3E" w:rsidRDefault="00981F3E" w:rsidP="00722EB5">
      <w:pPr>
        <w:pStyle w:val="NoSpacing"/>
        <w:rPr>
          <w:sz w:val="32"/>
          <w:szCs w:val="32"/>
          <w:lang w:val="es-PR"/>
        </w:rPr>
      </w:pPr>
      <w:r w:rsidRPr="00981F3E">
        <w:rPr>
          <w:sz w:val="32"/>
          <w:szCs w:val="32"/>
          <w:lang w:val="es-PR"/>
        </w:rPr>
        <w:t>estrategia . . . si hay en vigor a la fecha de entrada en v</w:t>
      </w:r>
      <w:r w:rsidR="00722EB5">
        <w:rPr>
          <w:sz w:val="32"/>
          <w:szCs w:val="32"/>
          <w:lang w:val="es-PR"/>
        </w:rPr>
        <w:t xml:space="preserve">igor de esta Ley elementos para </w:t>
      </w:r>
      <w:r w:rsidRPr="00981F3E">
        <w:rPr>
          <w:sz w:val="32"/>
          <w:szCs w:val="32"/>
          <w:lang w:val="es-PR"/>
        </w:rPr>
        <w:t>garantizar un uso seguro. . . requerido bajo [21 C.F</w:t>
      </w:r>
      <w:r w:rsidR="00722EB5">
        <w:rPr>
          <w:sz w:val="32"/>
          <w:szCs w:val="32"/>
          <w:lang w:val="es-PR"/>
        </w:rPr>
        <w:t xml:space="preserve">.R. §] 314.520.” Comida y droga </w:t>
      </w:r>
      <w:r w:rsidRPr="00981F3E">
        <w:rPr>
          <w:sz w:val="32"/>
          <w:szCs w:val="32"/>
          <w:lang w:val="es-PR"/>
        </w:rPr>
        <w:t xml:space="preserve">Ley de Enmiendas Administrativas de 2007, </w:t>
      </w:r>
    </w:p>
    <w:p w:rsidR="00722EB5" w:rsidRDefault="00722EB5" w:rsidP="00981F3E">
      <w:pPr>
        <w:pStyle w:val="NoSpacing"/>
        <w:rPr>
          <w:sz w:val="32"/>
          <w:szCs w:val="32"/>
          <w:lang w:val="es-PR"/>
        </w:rPr>
      </w:pPr>
    </w:p>
    <w:p w:rsidR="00981F3E" w:rsidRPr="00981F3E" w:rsidRDefault="00981F3E" w:rsidP="00981F3E">
      <w:pPr>
        <w:pStyle w:val="NoSpacing"/>
        <w:rPr>
          <w:sz w:val="32"/>
          <w:szCs w:val="32"/>
          <w:lang w:val="es-PR"/>
        </w:rPr>
      </w:pPr>
      <w:r w:rsidRPr="00981F3E">
        <w:rPr>
          <w:sz w:val="32"/>
          <w:szCs w:val="32"/>
          <w:lang w:val="es-PR"/>
        </w:rPr>
        <w:t>Así que la Ley en sí no aprobaba ninguna drog</w:t>
      </w:r>
      <w:r w:rsidR="00722EB5">
        <w:rPr>
          <w:sz w:val="32"/>
          <w:szCs w:val="32"/>
          <w:lang w:val="es-PR"/>
        </w:rPr>
        <w:t xml:space="preserve">a. Sólo aprobó cualquier riesgo </w:t>
      </w:r>
      <w:r w:rsidRPr="00981F3E">
        <w:rPr>
          <w:sz w:val="32"/>
          <w:szCs w:val="32"/>
          <w:lang w:val="es-PR"/>
        </w:rPr>
        <w:t xml:space="preserve">estrategias de evaluación y mitigación para aquellos </w:t>
      </w:r>
      <w:r w:rsidRPr="00981F3E">
        <w:rPr>
          <w:sz w:val="32"/>
          <w:szCs w:val="32"/>
          <w:lang w:val="es-PR"/>
        </w:rPr>
        <w:lastRenderedPageBreak/>
        <w:t>m</w:t>
      </w:r>
      <w:r w:rsidR="00722EB5">
        <w:rPr>
          <w:sz w:val="32"/>
          <w:szCs w:val="32"/>
          <w:lang w:val="es-PR"/>
        </w:rPr>
        <w:t xml:space="preserve">edicamentos que la FDA ya había </w:t>
      </w:r>
      <w:r w:rsidRPr="00981F3E">
        <w:rPr>
          <w:sz w:val="32"/>
          <w:szCs w:val="32"/>
          <w:lang w:val="es-PR"/>
        </w:rPr>
        <w:t xml:space="preserve">aprobada válidamente bajo § 314.520 de la </w:t>
      </w:r>
      <w:proofErr w:type="spellStart"/>
      <w:r w:rsidRPr="00981F3E">
        <w:rPr>
          <w:sz w:val="32"/>
          <w:szCs w:val="32"/>
          <w:lang w:val="es-PR"/>
        </w:rPr>
        <w:t>Subparte</w:t>
      </w:r>
      <w:proofErr w:type="spellEnd"/>
      <w:r w:rsidRPr="00981F3E">
        <w:rPr>
          <w:sz w:val="32"/>
          <w:szCs w:val="32"/>
          <w:lang w:val="es-PR"/>
        </w:rPr>
        <w:t xml:space="preserve"> H. Y como se explicó anteriormente, el</w:t>
      </w:r>
    </w:p>
    <w:p w:rsidR="00981F3E" w:rsidRPr="00981F3E" w:rsidRDefault="00981F3E" w:rsidP="00981F3E">
      <w:pPr>
        <w:pStyle w:val="NoSpacing"/>
        <w:rPr>
          <w:sz w:val="32"/>
          <w:szCs w:val="32"/>
          <w:lang w:val="es-PR"/>
        </w:rPr>
      </w:pPr>
      <w:r w:rsidRPr="00981F3E">
        <w:rPr>
          <w:sz w:val="32"/>
          <w:szCs w:val="32"/>
          <w:lang w:val="es-PR"/>
        </w:rPr>
        <w:t>El intento de aprobación de la FDA no fue válido porque no cumplió con</w:t>
      </w:r>
    </w:p>
    <w:p w:rsidR="00981F3E" w:rsidRPr="00981F3E" w:rsidRDefault="00981F3E" w:rsidP="00981F3E">
      <w:pPr>
        <w:pStyle w:val="NoSpacing"/>
        <w:rPr>
          <w:sz w:val="32"/>
          <w:szCs w:val="32"/>
          <w:lang w:val="es-PR"/>
        </w:rPr>
      </w:pPr>
      <w:proofErr w:type="spellStart"/>
      <w:r w:rsidRPr="00981F3E">
        <w:rPr>
          <w:sz w:val="32"/>
          <w:szCs w:val="32"/>
          <w:lang w:val="es-PR"/>
        </w:rPr>
        <w:t>Subparte</w:t>
      </w:r>
      <w:proofErr w:type="spellEnd"/>
      <w:r w:rsidRPr="00981F3E">
        <w:rPr>
          <w:sz w:val="32"/>
          <w:szCs w:val="32"/>
          <w:lang w:val="es-PR"/>
        </w:rPr>
        <w:t xml:space="preserve"> H. La dependencia de la FDA en la Ley de 2007 </w:t>
      </w:r>
      <w:r w:rsidR="00722EB5">
        <w:rPr>
          <w:sz w:val="32"/>
          <w:szCs w:val="32"/>
          <w:lang w:val="es-PR"/>
        </w:rPr>
        <w:t xml:space="preserve">es completamente circular: solo </w:t>
      </w:r>
      <w:r w:rsidRPr="00981F3E">
        <w:rPr>
          <w:sz w:val="32"/>
          <w:szCs w:val="32"/>
          <w:lang w:val="es-PR"/>
        </w:rPr>
        <w:t>funciona si se supone que la agenci</w:t>
      </w:r>
      <w:r w:rsidR="00722EB5">
        <w:rPr>
          <w:sz w:val="32"/>
          <w:szCs w:val="32"/>
          <w:lang w:val="es-PR"/>
        </w:rPr>
        <w:t xml:space="preserve">a ya había aprobado válidamente </w:t>
      </w:r>
      <w:proofErr w:type="spellStart"/>
      <w:r w:rsidRPr="00981F3E">
        <w:rPr>
          <w:sz w:val="32"/>
          <w:szCs w:val="32"/>
          <w:lang w:val="es-PR"/>
        </w:rPr>
        <w:t>mifepristona</w:t>
      </w:r>
      <w:proofErr w:type="spellEnd"/>
      <w:r w:rsidRPr="00981F3E">
        <w:rPr>
          <w:sz w:val="32"/>
          <w:szCs w:val="32"/>
          <w:lang w:val="es-PR"/>
        </w:rPr>
        <w:t xml:space="preserve"> en primer lugar.</w:t>
      </w:r>
    </w:p>
    <w:p w:rsidR="00722EB5" w:rsidRDefault="00722EB5" w:rsidP="00981F3E">
      <w:pPr>
        <w:pStyle w:val="NoSpacing"/>
        <w:rPr>
          <w:sz w:val="32"/>
          <w:szCs w:val="32"/>
          <w:lang w:val="es-PR"/>
        </w:rPr>
      </w:pPr>
    </w:p>
    <w:p w:rsidR="00981F3E" w:rsidRPr="00981F3E" w:rsidRDefault="00981F3E" w:rsidP="00981F3E">
      <w:pPr>
        <w:pStyle w:val="NoSpacing"/>
        <w:rPr>
          <w:sz w:val="32"/>
          <w:szCs w:val="32"/>
          <w:lang w:val="es-PR"/>
        </w:rPr>
      </w:pPr>
      <w:r w:rsidRPr="00981F3E">
        <w:rPr>
          <w:sz w:val="32"/>
          <w:szCs w:val="32"/>
          <w:lang w:val="es-PR"/>
        </w:rPr>
        <w:t>La FDA también señala su Evaluación y Mitigación de Riesgos de 2011</w:t>
      </w:r>
    </w:p>
    <w:p w:rsidR="00981F3E" w:rsidRPr="00981F3E" w:rsidRDefault="00981F3E" w:rsidP="00981F3E">
      <w:pPr>
        <w:pStyle w:val="NoSpacing"/>
        <w:rPr>
          <w:sz w:val="32"/>
          <w:szCs w:val="32"/>
          <w:lang w:val="es-PR"/>
        </w:rPr>
      </w:pPr>
      <w:r w:rsidRPr="00981F3E">
        <w:rPr>
          <w:sz w:val="32"/>
          <w:szCs w:val="32"/>
          <w:lang w:val="es-PR"/>
        </w:rPr>
        <w:t xml:space="preserve">Estrategia, argumentando que esto también volvió a aprobar la </w:t>
      </w:r>
      <w:proofErr w:type="spellStart"/>
      <w:r w:rsidRPr="00981F3E">
        <w:rPr>
          <w:sz w:val="32"/>
          <w:szCs w:val="32"/>
          <w:lang w:val="es-PR"/>
        </w:rPr>
        <w:t>mifepristona</w:t>
      </w:r>
      <w:proofErr w:type="spellEnd"/>
      <w:r w:rsidRPr="00981F3E">
        <w:rPr>
          <w:sz w:val="32"/>
          <w:szCs w:val="32"/>
          <w:lang w:val="es-PR"/>
        </w:rPr>
        <w:t xml:space="preserve"> y curó cualquier</w:t>
      </w:r>
    </w:p>
    <w:p w:rsidR="00981F3E" w:rsidRPr="00981F3E" w:rsidRDefault="00981F3E" w:rsidP="00981F3E">
      <w:pPr>
        <w:pStyle w:val="NoSpacing"/>
        <w:rPr>
          <w:sz w:val="32"/>
          <w:szCs w:val="32"/>
          <w:lang w:val="es-PR"/>
        </w:rPr>
      </w:pPr>
      <w:r w:rsidRPr="00981F3E">
        <w:rPr>
          <w:sz w:val="32"/>
          <w:szCs w:val="32"/>
          <w:lang w:val="es-PR"/>
        </w:rPr>
        <w:t>defectos en su aprobación de 2000. No lo hizo. Por el contrario, la REMS de 2011</w:t>
      </w:r>
    </w:p>
    <w:p w:rsidR="00981F3E" w:rsidRPr="00981F3E" w:rsidRDefault="00981F3E" w:rsidP="00981F3E">
      <w:pPr>
        <w:pStyle w:val="NoSpacing"/>
        <w:rPr>
          <w:sz w:val="32"/>
          <w:szCs w:val="32"/>
          <w:lang w:val="es-PR"/>
        </w:rPr>
      </w:pPr>
      <w:r w:rsidRPr="00981F3E">
        <w:rPr>
          <w:sz w:val="32"/>
          <w:szCs w:val="32"/>
          <w:lang w:val="es-PR"/>
        </w:rPr>
        <w:t xml:space="preserve">La carta dejó en claro que la agencia continuó confiando en la </w:t>
      </w:r>
      <w:proofErr w:type="spellStart"/>
      <w:r w:rsidRPr="00981F3E">
        <w:rPr>
          <w:sz w:val="32"/>
          <w:szCs w:val="32"/>
          <w:lang w:val="es-PR"/>
        </w:rPr>
        <w:t>Subparte</w:t>
      </w:r>
      <w:proofErr w:type="spellEnd"/>
      <w:r w:rsidRPr="00981F3E">
        <w:rPr>
          <w:sz w:val="32"/>
          <w:szCs w:val="32"/>
          <w:lang w:val="es-PR"/>
        </w:rPr>
        <w:t xml:space="preserve"> H para su</w:t>
      </w:r>
    </w:p>
    <w:p w:rsidR="00981F3E" w:rsidRPr="00981F3E" w:rsidRDefault="00981F3E" w:rsidP="00981F3E">
      <w:pPr>
        <w:pStyle w:val="NoSpacing"/>
        <w:rPr>
          <w:sz w:val="32"/>
          <w:szCs w:val="32"/>
          <w:lang w:val="es-PR"/>
        </w:rPr>
      </w:pPr>
      <w:r w:rsidRPr="00981F3E">
        <w:rPr>
          <w:sz w:val="32"/>
          <w:szCs w:val="32"/>
          <w:lang w:val="es-PR"/>
        </w:rPr>
        <w:t xml:space="preserve">aprobación de la </w:t>
      </w:r>
      <w:proofErr w:type="spellStart"/>
      <w:r w:rsidRPr="00981F3E">
        <w:rPr>
          <w:sz w:val="32"/>
          <w:szCs w:val="32"/>
          <w:lang w:val="es-PR"/>
        </w:rPr>
        <w:t>mifepristona</w:t>
      </w:r>
      <w:proofErr w:type="spellEnd"/>
      <w:r w:rsidRPr="00981F3E">
        <w:rPr>
          <w:sz w:val="32"/>
          <w:szCs w:val="32"/>
          <w:lang w:val="es-PR"/>
        </w:rPr>
        <w:t>—que “está aprobada bajo las disposiciones de 21</w:t>
      </w:r>
    </w:p>
    <w:p w:rsidR="00981F3E" w:rsidRPr="00981F3E" w:rsidRDefault="00981F3E" w:rsidP="00981F3E">
      <w:pPr>
        <w:pStyle w:val="NoSpacing"/>
        <w:rPr>
          <w:sz w:val="32"/>
          <w:szCs w:val="32"/>
          <w:lang w:val="es-PR"/>
        </w:rPr>
      </w:pPr>
      <w:r w:rsidRPr="00981F3E">
        <w:rPr>
          <w:sz w:val="32"/>
          <w:szCs w:val="32"/>
          <w:lang w:val="es-PR"/>
        </w:rPr>
        <w:t>CFR 314.520 (</w:t>
      </w:r>
      <w:proofErr w:type="spellStart"/>
      <w:r w:rsidRPr="00981F3E">
        <w:rPr>
          <w:sz w:val="32"/>
          <w:szCs w:val="32"/>
          <w:lang w:val="es-PR"/>
        </w:rPr>
        <w:t>Subparte</w:t>
      </w:r>
      <w:proofErr w:type="spellEnd"/>
      <w:r w:rsidRPr="00981F3E">
        <w:rPr>
          <w:sz w:val="32"/>
          <w:szCs w:val="32"/>
          <w:lang w:val="es-PR"/>
        </w:rPr>
        <w:t xml:space="preserve"> H)”. Carta de aprobación complementaria de la FDA a </w:t>
      </w:r>
      <w:proofErr w:type="spellStart"/>
      <w:r w:rsidRPr="00981F3E">
        <w:rPr>
          <w:sz w:val="32"/>
          <w:szCs w:val="32"/>
          <w:lang w:val="es-PR"/>
        </w:rPr>
        <w:t>Danco</w:t>
      </w:r>
      <w:proofErr w:type="spellEnd"/>
    </w:p>
    <w:p w:rsidR="00981F3E" w:rsidRPr="00981F3E" w:rsidRDefault="00981F3E" w:rsidP="00981F3E">
      <w:pPr>
        <w:pStyle w:val="NoSpacing"/>
        <w:rPr>
          <w:sz w:val="32"/>
          <w:szCs w:val="32"/>
          <w:lang w:val="es-PR"/>
        </w:rPr>
      </w:pPr>
      <w:proofErr w:type="spellStart"/>
      <w:r w:rsidRPr="00981F3E">
        <w:rPr>
          <w:sz w:val="32"/>
          <w:szCs w:val="32"/>
          <w:lang w:val="es-PR"/>
        </w:rPr>
        <w:t>Labs</w:t>
      </w:r>
      <w:proofErr w:type="spellEnd"/>
      <w:r w:rsidRPr="00981F3E">
        <w:rPr>
          <w:sz w:val="32"/>
          <w:szCs w:val="32"/>
          <w:lang w:val="es-PR"/>
        </w:rPr>
        <w:t xml:space="preserve"> en 1. Además, la carta solo aprobó la Evaluación de riesgos y</w:t>
      </w:r>
    </w:p>
    <w:p w:rsidR="00981F3E" w:rsidRPr="00981F3E" w:rsidRDefault="00981F3E" w:rsidP="00981F3E">
      <w:pPr>
        <w:pStyle w:val="NoSpacing"/>
        <w:rPr>
          <w:sz w:val="32"/>
          <w:szCs w:val="32"/>
          <w:lang w:val="es-PR"/>
        </w:rPr>
      </w:pPr>
      <w:r w:rsidRPr="00981F3E">
        <w:rPr>
          <w:sz w:val="32"/>
          <w:szCs w:val="32"/>
          <w:lang w:val="es-PR"/>
        </w:rPr>
        <w:t xml:space="preserve">Estrategia de mitigación propuesta en la solicitud complementaria de </w:t>
      </w:r>
      <w:proofErr w:type="spellStart"/>
      <w:r w:rsidRPr="00981F3E">
        <w:rPr>
          <w:sz w:val="32"/>
          <w:szCs w:val="32"/>
          <w:lang w:val="es-PR"/>
        </w:rPr>
        <w:t>Danco</w:t>
      </w:r>
      <w:proofErr w:type="spellEnd"/>
      <w:r w:rsidRPr="00981F3E">
        <w:rPr>
          <w:sz w:val="32"/>
          <w:szCs w:val="32"/>
          <w:lang w:val="es-PR"/>
        </w:rPr>
        <w:t xml:space="preserve"> de 2008:</w:t>
      </w:r>
    </w:p>
    <w:p w:rsidR="00981F3E" w:rsidRPr="00981F3E" w:rsidRDefault="00981F3E" w:rsidP="00981F3E">
      <w:pPr>
        <w:pStyle w:val="NoSpacing"/>
        <w:rPr>
          <w:sz w:val="32"/>
          <w:szCs w:val="32"/>
          <w:lang w:val="es-PR"/>
        </w:rPr>
      </w:pPr>
      <w:r w:rsidRPr="00981F3E">
        <w:rPr>
          <w:sz w:val="32"/>
          <w:szCs w:val="32"/>
          <w:lang w:val="es-PR"/>
        </w:rPr>
        <w:t xml:space="preserve">no volvió a aprobar el medicamento aparte de la </w:t>
      </w:r>
      <w:proofErr w:type="spellStart"/>
      <w:r w:rsidRPr="00981F3E">
        <w:rPr>
          <w:sz w:val="32"/>
          <w:szCs w:val="32"/>
          <w:lang w:val="es-PR"/>
        </w:rPr>
        <w:t>Subparte</w:t>
      </w:r>
      <w:proofErr w:type="spellEnd"/>
      <w:r w:rsidRPr="00981F3E">
        <w:rPr>
          <w:sz w:val="32"/>
          <w:szCs w:val="32"/>
          <w:lang w:val="es-PR"/>
        </w:rPr>
        <w:t xml:space="preserve"> H. De hecho, la carta</w:t>
      </w:r>
    </w:p>
    <w:p w:rsidR="00981F3E" w:rsidRPr="00981F3E" w:rsidRDefault="00981F3E" w:rsidP="00981F3E">
      <w:pPr>
        <w:pStyle w:val="NoSpacing"/>
        <w:rPr>
          <w:sz w:val="32"/>
          <w:szCs w:val="32"/>
          <w:lang w:val="es-PR"/>
        </w:rPr>
      </w:pPr>
      <w:r w:rsidRPr="00981F3E">
        <w:rPr>
          <w:sz w:val="32"/>
          <w:szCs w:val="32"/>
          <w:lang w:val="es-PR"/>
        </w:rPr>
        <w:t>reconoció la necesidad de seguir cumpliendo con las condiciones “requeridas</w:t>
      </w:r>
    </w:p>
    <w:p w:rsidR="00981F3E" w:rsidRPr="00981F3E" w:rsidRDefault="00981F3E" w:rsidP="00981F3E">
      <w:pPr>
        <w:pStyle w:val="NoSpacing"/>
        <w:rPr>
          <w:sz w:val="32"/>
          <w:szCs w:val="32"/>
          <w:lang w:val="es-PR"/>
        </w:rPr>
      </w:pPr>
      <w:r w:rsidRPr="00981F3E">
        <w:rPr>
          <w:sz w:val="32"/>
          <w:szCs w:val="32"/>
          <w:lang w:val="es-PR"/>
        </w:rPr>
        <w:t xml:space="preserve">por” </w:t>
      </w:r>
      <w:proofErr w:type="spellStart"/>
      <w:r w:rsidRPr="00981F3E">
        <w:rPr>
          <w:sz w:val="32"/>
          <w:szCs w:val="32"/>
          <w:lang w:val="es-PR"/>
        </w:rPr>
        <w:t>Subparte</w:t>
      </w:r>
      <w:proofErr w:type="spellEnd"/>
      <w:r w:rsidRPr="00981F3E">
        <w:rPr>
          <w:sz w:val="32"/>
          <w:szCs w:val="32"/>
          <w:lang w:val="es-PR"/>
        </w:rPr>
        <w:t xml:space="preserve"> H. Id. en 2 (citando 21 C.F.R. § 314.550).</w:t>
      </w:r>
    </w:p>
    <w:p w:rsidR="00981F3E" w:rsidRPr="00981F3E" w:rsidRDefault="00981F3E" w:rsidP="00981F3E">
      <w:pPr>
        <w:pStyle w:val="NoSpacing"/>
        <w:rPr>
          <w:sz w:val="32"/>
          <w:szCs w:val="32"/>
          <w:lang w:val="es-PR"/>
        </w:rPr>
      </w:pPr>
      <w:r w:rsidRPr="00981F3E">
        <w:rPr>
          <w:sz w:val="32"/>
          <w:szCs w:val="32"/>
          <w:lang w:val="es-PR"/>
        </w:rPr>
        <w:t>* * *</w:t>
      </w:r>
    </w:p>
    <w:p w:rsidR="00981F3E" w:rsidRPr="00981F3E" w:rsidRDefault="00981F3E" w:rsidP="00981F3E">
      <w:pPr>
        <w:pStyle w:val="NoSpacing"/>
        <w:rPr>
          <w:sz w:val="32"/>
          <w:szCs w:val="32"/>
          <w:lang w:val="es-PR"/>
        </w:rPr>
      </w:pPr>
      <w:r w:rsidRPr="00981F3E">
        <w:rPr>
          <w:sz w:val="32"/>
          <w:szCs w:val="32"/>
          <w:lang w:val="es-PR"/>
        </w:rPr>
        <w:t xml:space="preserve">  Por estas razones, encontraría que es probable que los Demandantes triunfen en</w:t>
      </w:r>
    </w:p>
    <w:p w:rsidR="00981F3E" w:rsidRPr="00981F3E" w:rsidRDefault="00981F3E" w:rsidP="00981F3E">
      <w:pPr>
        <w:pStyle w:val="NoSpacing"/>
        <w:rPr>
          <w:sz w:val="32"/>
          <w:szCs w:val="32"/>
          <w:lang w:val="es-PR"/>
        </w:rPr>
      </w:pPr>
      <w:r w:rsidRPr="00981F3E">
        <w:rPr>
          <w:sz w:val="32"/>
          <w:szCs w:val="32"/>
          <w:lang w:val="es-PR"/>
        </w:rPr>
        <w:t>los méritos de su impugnación de la aprobación de 2000. Los demandantes también satisfacen la</w:t>
      </w:r>
    </w:p>
    <w:p w:rsidR="00981F3E" w:rsidRPr="00981F3E" w:rsidRDefault="00981F3E" w:rsidP="00981F3E">
      <w:pPr>
        <w:pStyle w:val="NoSpacing"/>
        <w:rPr>
          <w:sz w:val="32"/>
          <w:szCs w:val="32"/>
          <w:lang w:val="es-PR"/>
        </w:rPr>
      </w:pPr>
      <w:r w:rsidRPr="00981F3E">
        <w:rPr>
          <w:sz w:val="32"/>
          <w:szCs w:val="32"/>
          <w:lang w:val="es-PR"/>
        </w:rPr>
        <w:t>factores restantes para el alivio equitativo. El daño a los Demandantes es irreparable.</w:t>
      </w:r>
    </w:p>
    <w:p w:rsidR="00981F3E" w:rsidRPr="00981F3E" w:rsidRDefault="00981F3E" w:rsidP="00981F3E">
      <w:pPr>
        <w:pStyle w:val="NoSpacing"/>
        <w:rPr>
          <w:sz w:val="32"/>
          <w:szCs w:val="32"/>
        </w:rPr>
      </w:pPr>
      <w:r w:rsidRPr="00981F3E">
        <w:rPr>
          <w:sz w:val="32"/>
          <w:szCs w:val="32"/>
          <w:lang w:val="es-PR"/>
        </w:rPr>
        <w:lastRenderedPageBreak/>
        <w:t xml:space="preserve">Ningún remedio en la ley puede abordar adecuadamente las lesiones de conciencia de los Demandantes. </w:t>
      </w:r>
      <w:proofErr w:type="spellStart"/>
      <w:r w:rsidRPr="00981F3E">
        <w:rPr>
          <w:sz w:val="32"/>
          <w:szCs w:val="32"/>
        </w:rPr>
        <w:t>Ver</w:t>
      </w:r>
      <w:proofErr w:type="spellEnd"/>
    </w:p>
    <w:p w:rsidR="00981F3E" w:rsidRPr="00981F3E" w:rsidRDefault="00981F3E" w:rsidP="00981F3E">
      <w:pPr>
        <w:pStyle w:val="NoSpacing"/>
        <w:rPr>
          <w:sz w:val="32"/>
          <w:szCs w:val="32"/>
        </w:rPr>
      </w:pPr>
      <w:r w:rsidRPr="00981F3E">
        <w:rPr>
          <w:sz w:val="32"/>
          <w:szCs w:val="32"/>
        </w:rPr>
        <w:t xml:space="preserve">BST Holdings, LLC v. OSHA, 17 F.4th 604, 618 (5th Cir. 2021). </w:t>
      </w:r>
      <w:proofErr w:type="spellStart"/>
      <w:r w:rsidRPr="00981F3E">
        <w:rPr>
          <w:sz w:val="32"/>
          <w:szCs w:val="32"/>
        </w:rPr>
        <w:t>ni</w:t>
      </w:r>
      <w:proofErr w:type="spellEnd"/>
      <w:r w:rsidRPr="00981F3E">
        <w:rPr>
          <w:sz w:val="32"/>
          <w:szCs w:val="32"/>
        </w:rPr>
        <w:t xml:space="preserve"> </w:t>
      </w:r>
      <w:proofErr w:type="spellStart"/>
      <w:r w:rsidRPr="00981F3E">
        <w:rPr>
          <w:sz w:val="32"/>
          <w:szCs w:val="32"/>
        </w:rPr>
        <w:t>puede</w:t>
      </w:r>
      <w:proofErr w:type="spellEnd"/>
    </w:p>
    <w:p w:rsidR="00981F3E" w:rsidRPr="00981F3E" w:rsidRDefault="00981F3E" w:rsidP="00981F3E">
      <w:pPr>
        <w:pStyle w:val="NoSpacing"/>
        <w:rPr>
          <w:sz w:val="32"/>
          <w:szCs w:val="32"/>
        </w:rPr>
      </w:pPr>
      <w:r w:rsidRPr="00981F3E">
        <w:rPr>
          <w:sz w:val="32"/>
          <w:szCs w:val="32"/>
          <w:lang w:val="es-PR"/>
        </w:rPr>
        <w:t xml:space="preserve">los daños monetarios remedian la destrucción de la vida. </w:t>
      </w:r>
      <w:r w:rsidRPr="00981F3E">
        <w:rPr>
          <w:sz w:val="32"/>
          <w:szCs w:val="32"/>
        </w:rPr>
        <w:t>Cf. Amoco Production Co v.</w:t>
      </w:r>
    </w:p>
    <w:p w:rsidR="00981F3E" w:rsidRPr="00981F3E" w:rsidRDefault="00981F3E" w:rsidP="00981F3E">
      <w:pPr>
        <w:pStyle w:val="NoSpacing"/>
        <w:rPr>
          <w:sz w:val="32"/>
          <w:szCs w:val="32"/>
          <w:lang w:val="es-PR"/>
        </w:rPr>
      </w:pPr>
      <w:r w:rsidRPr="00981F3E">
        <w:rPr>
          <w:sz w:val="32"/>
          <w:szCs w:val="32"/>
          <w:lang w:val="es-PR"/>
        </w:rPr>
        <w:t xml:space="preserve">Pueblo de </w:t>
      </w:r>
      <w:proofErr w:type="spellStart"/>
      <w:r w:rsidRPr="00981F3E">
        <w:rPr>
          <w:sz w:val="32"/>
          <w:szCs w:val="32"/>
          <w:lang w:val="es-PR"/>
        </w:rPr>
        <w:t>Gambell</w:t>
      </w:r>
      <w:proofErr w:type="spellEnd"/>
      <w:r w:rsidRPr="00981F3E">
        <w:rPr>
          <w:sz w:val="32"/>
          <w:szCs w:val="32"/>
          <w:lang w:val="es-PR"/>
        </w:rPr>
        <w:t>, 480 U.S. 531, 545 (1987). El balance de acciones y</w:t>
      </w:r>
    </w:p>
    <w:p w:rsidR="00981F3E" w:rsidRPr="00981F3E" w:rsidRDefault="00981F3E" w:rsidP="00981F3E">
      <w:pPr>
        <w:pStyle w:val="NoSpacing"/>
        <w:rPr>
          <w:sz w:val="32"/>
          <w:szCs w:val="32"/>
          <w:lang w:val="es-PR"/>
        </w:rPr>
      </w:pPr>
      <w:r w:rsidRPr="00981F3E">
        <w:rPr>
          <w:sz w:val="32"/>
          <w:szCs w:val="32"/>
          <w:lang w:val="es-PR"/>
        </w:rPr>
        <w:t>el interés público también favorece a los Demandantes. Los demandantes buscan reivindicar el “derecho nacional</w:t>
      </w:r>
    </w:p>
    <w:p w:rsidR="00981F3E" w:rsidRPr="00981F3E" w:rsidRDefault="00981F3E" w:rsidP="00981F3E">
      <w:pPr>
        <w:pStyle w:val="NoSpacing"/>
        <w:rPr>
          <w:sz w:val="32"/>
          <w:szCs w:val="32"/>
          <w:lang w:val="es-PR"/>
        </w:rPr>
      </w:pPr>
      <w:r w:rsidRPr="00981F3E">
        <w:rPr>
          <w:sz w:val="32"/>
          <w:szCs w:val="32"/>
          <w:lang w:val="es-PR"/>
        </w:rPr>
        <w:t>política de desacreditar el aborto como hostil a la vida nacional”, como</w:t>
      </w:r>
    </w:p>
    <w:p w:rsidR="00981F3E" w:rsidRPr="00981F3E" w:rsidRDefault="00981F3E" w:rsidP="00981F3E">
      <w:pPr>
        <w:pStyle w:val="NoSpacing"/>
        <w:rPr>
          <w:sz w:val="32"/>
          <w:szCs w:val="32"/>
          <w:lang w:val="es-PR"/>
        </w:rPr>
      </w:pPr>
      <w:r w:rsidRPr="00981F3E">
        <w:rPr>
          <w:sz w:val="32"/>
          <w:szCs w:val="32"/>
          <w:lang w:val="es-PR"/>
        </w:rPr>
        <w:t xml:space="preserve">se refleja en las promulgaciones del Congreso, incluida la Ley </w:t>
      </w:r>
      <w:proofErr w:type="spellStart"/>
      <w:r w:rsidRPr="00981F3E">
        <w:rPr>
          <w:sz w:val="32"/>
          <w:szCs w:val="32"/>
          <w:lang w:val="es-PR"/>
        </w:rPr>
        <w:t>Comstock</w:t>
      </w:r>
      <w:proofErr w:type="spellEnd"/>
      <w:r w:rsidRPr="00981F3E">
        <w:rPr>
          <w:sz w:val="32"/>
          <w:szCs w:val="32"/>
          <w:lang w:val="es-PR"/>
        </w:rPr>
        <w:t xml:space="preserve">. </w:t>
      </w:r>
      <w:proofErr w:type="spellStart"/>
      <w:r w:rsidRPr="00981F3E">
        <w:rPr>
          <w:sz w:val="32"/>
          <w:szCs w:val="32"/>
          <w:lang w:val="es-PR"/>
        </w:rPr>
        <w:t>Bours</w:t>
      </w:r>
      <w:proofErr w:type="spellEnd"/>
      <w:r w:rsidRPr="00981F3E">
        <w:rPr>
          <w:sz w:val="32"/>
          <w:szCs w:val="32"/>
          <w:lang w:val="es-PR"/>
        </w:rPr>
        <w:t xml:space="preserve"> v.</w:t>
      </w:r>
    </w:p>
    <w:p w:rsidR="00981F3E" w:rsidRPr="00981F3E" w:rsidRDefault="00981F3E" w:rsidP="00981F3E">
      <w:pPr>
        <w:pStyle w:val="NoSpacing"/>
        <w:rPr>
          <w:sz w:val="32"/>
          <w:szCs w:val="32"/>
          <w:lang w:val="es-PR"/>
        </w:rPr>
      </w:pPr>
      <w:r w:rsidRPr="00981F3E">
        <w:rPr>
          <w:sz w:val="32"/>
          <w:szCs w:val="32"/>
          <w:lang w:val="es-PR"/>
        </w:rPr>
        <w:t>Estados Unidos, 229 F. 960, 964 (7th Cir. 1915). Ver 18 U.S.C. § 1461; identificación.</w:t>
      </w:r>
    </w:p>
    <w:p w:rsidR="00981F3E" w:rsidRDefault="00981F3E" w:rsidP="00981F3E">
      <w:pPr>
        <w:pStyle w:val="NoSpacing"/>
        <w:rPr>
          <w:sz w:val="32"/>
          <w:szCs w:val="32"/>
          <w:lang w:val="es-PR"/>
        </w:rPr>
      </w:pPr>
      <w:r w:rsidRPr="00981F3E">
        <w:rPr>
          <w:sz w:val="32"/>
          <w:szCs w:val="32"/>
          <w:lang w:val="es-PR"/>
        </w:rPr>
        <w:t>§ 1462. Cfr. 19 USC §1305(a).</w:t>
      </w:r>
    </w:p>
    <w:p w:rsidR="00981F3E" w:rsidRDefault="00981F3E" w:rsidP="00981F3E">
      <w:pPr>
        <w:pStyle w:val="NoSpacing"/>
        <w:rPr>
          <w:sz w:val="32"/>
          <w:szCs w:val="32"/>
          <w:lang w:val="es-PR"/>
        </w:rPr>
      </w:pPr>
    </w:p>
    <w:p w:rsidR="00981F3E" w:rsidRPr="00981F3E" w:rsidRDefault="00981F3E" w:rsidP="00981F3E">
      <w:pPr>
        <w:pStyle w:val="NoSpacing"/>
        <w:rPr>
          <w:sz w:val="32"/>
          <w:szCs w:val="32"/>
          <w:lang w:val="es-PR"/>
        </w:rPr>
      </w:pPr>
      <w:r w:rsidRPr="00981F3E">
        <w:rPr>
          <w:sz w:val="32"/>
          <w:szCs w:val="32"/>
          <w:lang w:val="es-PR"/>
        </w:rPr>
        <w:t>Con respecto a las revisiones de 2016 y 2021 de la FDA, estoy de acuerdo con la</w:t>
      </w:r>
    </w:p>
    <w:p w:rsidR="00981F3E" w:rsidRPr="00981F3E" w:rsidRDefault="00981F3E" w:rsidP="00981F3E">
      <w:pPr>
        <w:pStyle w:val="NoSpacing"/>
        <w:rPr>
          <w:sz w:val="32"/>
          <w:szCs w:val="32"/>
          <w:lang w:val="es-PR"/>
        </w:rPr>
      </w:pPr>
      <w:r w:rsidRPr="00981F3E">
        <w:rPr>
          <w:sz w:val="32"/>
          <w:szCs w:val="32"/>
          <w:lang w:val="es-PR"/>
        </w:rPr>
        <w:t>análisis reflexivo de la mayoría que explica cómo la FDA "falló por completo en</w:t>
      </w:r>
    </w:p>
    <w:p w:rsidR="00981F3E" w:rsidRPr="00981F3E" w:rsidRDefault="00981F3E" w:rsidP="00981F3E">
      <w:pPr>
        <w:pStyle w:val="NoSpacing"/>
        <w:rPr>
          <w:sz w:val="32"/>
          <w:szCs w:val="32"/>
          <w:lang w:val="es-PR"/>
        </w:rPr>
      </w:pPr>
      <w:r w:rsidRPr="00981F3E">
        <w:rPr>
          <w:sz w:val="32"/>
          <w:szCs w:val="32"/>
          <w:lang w:val="es-PR"/>
        </w:rPr>
        <w:t>considerar un aspecto importante del p</w:t>
      </w:r>
      <w:r w:rsidR="00722EB5">
        <w:rPr>
          <w:sz w:val="32"/>
          <w:szCs w:val="32"/>
          <w:lang w:val="es-PR"/>
        </w:rPr>
        <w:t xml:space="preserve">roblema” en 2016 y “ofreció una </w:t>
      </w:r>
      <w:r w:rsidRPr="00981F3E">
        <w:rPr>
          <w:sz w:val="32"/>
          <w:szCs w:val="32"/>
          <w:lang w:val="es-PR"/>
        </w:rPr>
        <w:t xml:space="preserve">explicación de su decisión que va en contra de </w:t>
      </w:r>
      <w:r w:rsidR="00722EB5">
        <w:rPr>
          <w:sz w:val="32"/>
          <w:szCs w:val="32"/>
          <w:lang w:val="es-PR"/>
        </w:rPr>
        <w:t xml:space="preserve">las pruebas presentadas ante </w:t>
      </w:r>
      <w:proofErr w:type="gramStart"/>
      <w:r w:rsidR="00722EB5">
        <w:rPr>
          <w:sz w:val="32"/>
          <w:szCs w:val="32"/>
          <w:lang w:val="es-PR"/>
        </w:rPr>
        <w:t xml:space="preserve">el </w:t>
      </w:r>
      <w:r w:rsidRPr="00981F3E">
        <w:rPr>
          <w:sz w:val="32"/>
          <w:szCs w:val="32"/>
          <w:lang w:val="es-PR"/>
        </w:rPr>
        <w:t>agencia</w:t>
      </w:r>
      <w:proofErr w:type="gramEnd"/>
      <w:r w:rsidRPr="00981F3E">
        <w:rPr>
          <w:sz w:val="32"/>
          <w:szCs w:val="32"/>
          <w:lang w:val="es-PR"/>
        </w:rPr>
        <w:t xml:space="preserve">” en 2021. </w:t>
      </w:r>
      <w:proofErr w:type="spellStart"/>
      <w:r w:rsidRPr="00981F3E">
        <w:rPr>
          <w:sz w:val="32"/>
          <w:szCs w:val="32"/>
          <w:lang w:val="es-PR"/>
        </w:rPr>
        <w:t>State</w:t>
      </w:r>
      <w:proofErr w:type="spellEnd"/>
      <w:r w:rsidRPr="00981F3E">
        <w:rPr>
          <w:sz w:val="32"/>
          <w:szCs w:val="32"/>
          <w:lang w:val="es-PR"/>
        </w:rPr>
        <w:t xml:space="preserve"> </w:t>
      </w:r>
      <w:proofErr w:type="spellStart"/>
      <w:r w:rsidRPr="00981F3E">
        <w:rPr>
          <w:sz w:val="32"/>
          <w:szCs w:val="32"/>
          <w:lang w:val="es-PR"/>
        </w:rPr>
        <w:t>Farm</w:t>
      </w:r>
      <w:proofErr w:type="spellEnd"/>
      <w:r w:rsidRPr="00981F3E">
        <w:rPr>
          <w:sz w:val="32"/>
          <w:szCs w:val="32"/>
          <w:lang w:val="es-PR"/>
        </w:rPr>
        <w:t>, 463 U</w:t>
      </w:r>
      <w:r w:rsidR="00722EB5">
        <w:rPr>
          <w:sz w:val="32"/>
          <w:szCs w:val="32"/>
          <w:lang w:val="es-PR"/>
        </w:rPr>
        <w:t xml:space="preserve">.S. en 43. La agencia actuó así </w:t>
      </w:r>
      <w:r w:rsidRPr="00981F3E">
        <w:rPr>
          <w:sz w:val="32"/>
          <w:szCs w:val="32"/>
          <w:lang w:val="es-PR"/>
        </w:rPr>
        <w:t>arbitrariamente en violación de la APA.</w:t>
      </w:r>
    </w:p>
    <w:p w:rsidR="00722EB5" w:rsidRDefault="00722EB5" w:rsidP="00981F3E">
      <w:pPr>
        <w:pStyle w:val="NoSpacing"/>
        <w:rPr>
          <w:sz w:val="32"/>
          <w:szCs w:val="32"/>
          <w:lang w:val="es-PR"/>
        </w:rPr>
      </w:pPr>
    </w:p>
    <w:p w:rsidR="00981F3E" w:rsidRPr="00981F3E" w:rsidRDefault="00981F3E" w:rsidP="00981F3E">
      <w:pPr>
        <w:pStyle w:val="NoSpacing"/>
        <w:rPr>
          <w:sz w:val="32"/>
          <w:szCs w:val="32"/>
          <w:lang w:val="es-PR"/>
        </w:rPr>
      </w:pPr>
      <w:r w:rsidRPr="00981F3E">
        <w:rPr>
          <w:sz w:val="32"/>
          <w:szCs w:val="32"/>
          <w:lang w:val="es-PR"/>
        </w:rPr>
        <w:t>por separado para agregar que las revisi</w:t>
      </w:r>
      <w:r w:rsidR="00722EB5">
        <w:rPr>
          <w:sz w:val="32"/>
          <w:szCs w:val="32"/>
          <w:lang w:val="es-PR"/>
        </w:rPr>
        <w:t xml:space="preserve">ones de 2021 violan el </w:t>
      </w:r>
      <w:proofErr w:type="spellStart"/>
      <w:r w:rsidR="00722EB5">
        <w:rPr>
          <w:sz w:val="32"/>
          <w:szCs w:val="32"/>
          <w:lang w:val="es-PR"/>
        </w:rPr>
        <w:t>Comstock</w:t>
      </w:r>
      <w:r w:rsidRPr="00981F3E">
        <w:rPr>
          <w:sz w:val="32"/>
          <w:szCs w:val="32"/>
          <w:lang w:val="es-PR"/>
        </w:rPr>
        <w:t>Ley</w:t>
      </w:r>
      <w:proofErr w:type="spellEnd"/>
      <w:r w:rsidRPr="00981F3E">
        <w:rPr>
          <w:sz w:val="32"/>
          <w:szCs w:val="32"/>
          <w:lang w:val="es-PR"/>
        </w:rPr>
        <w:t>, 18 U.S.C. §§ 1461–62, y “no están de</w:t>
      </w:r>
      <w:r w:rsidR="00722EB5">
        <w:rPr>
          <w:sz w:val="32"/>
          <w:szCs w:val="32"/>
          <w:lang w:val="es-PR"/>
        </w:rPr>
        <w:t xml:space="preserve"> acuerdo con la ley” por lo </w:t>
      </w:r>
      <w:proofErr w:type="spellStart"/>
      <w:r w:rsidR="00722EB5">
        <w:rPr>
          <w:sz w:val="32"/>
          <w:szCs w:val="32"/>
          <w:lang w:val="es-PR"/>
        </w:rPr>
        <w:t>que</w:t>
      </w:r>
      <w:r w:rsidRPr="00981F3E">
        <w:rPr>
          <w:sz w:val="32"/>
          <w:szCs w:val="32"/>
          <w:lang w:val="es-PR"/>
        </w:rPr>
        <w:t>razón</w:t>
      </w:r>
      <w:proofErr w:type="spellEnd"/>
      <w:r w:rsidRPr="00981F3E">
        <w:rPr>
          <w:sz w:val="32"/>
          <w:szCs w:val="32"/>
          <w:lang w:val="es-PR"/>
        </w:rPr>
        <w:t xml:space="preserve"> también. 5 USC § 706(2)(A).</w:t>
      </w:r>
    </w:p>
    <w:p w:rsidR="00722EB5" w:rsidRDefault="00722EB5" w:rsidP="00981F3E">
      <w:pPr>
        <w:pStyle w:val="NoSpacing"/>
        <w:rPr>
          <w:sz w:val="32"/>
          <w:szCs w:val="32"/>
          <w:lang w:val="es-PR"/>
        </w:rPr>
      </w:pPr>
    </w:p>
    <w:p w:rsidR="00981F3E" w:rsidRPr="00981F3E" w:rsidRDefault="00981F3E" w:rsidP="00981F3E">
      <w:pPr>
        <w:pStyle w:val="NoSpacing"/>
        <w:rPr>
          <w:sz w:val="32"/>
          <w:szCs w:val="32"/>
          <w:lang w:val="es-PR"/>
        </w:rPr>
      </w:pPr>
      <w:r w:rsidRPr="00981F3E">
        <w:rPr>
          <w:sz w:val="32"/>
          <w:szCs w:val="32"/>
          <w:lang w:val="es-PR"/>
        </w:rPr>
        <w:t>A.</w:t>
      </w:r>
    </w:p>
    <w:p w:rsidR="00981F3E" w:rsidRPr="00981F3E" w:rsidRDefault="00981F3E" w:rsidP="00981F3E">
      <w:pPr>
        <w:pStyle w:val="NoSpacing"/>
        <w:rPr>
          <w:sz w:val="32"/>
          <w:szCs w:val="32"/>
          <w:lang w:val="es-PR"/>
        </w:rPr>
      </w:pPr>
      <w:r w:rsidRPr="00981F3E">
        <w:rPr>
          <w:sz w:val="32"/>
          <w:szCs w:val="32"/>
          <w:lang w:val="es-PR"/>
        </w:rPr>
        <w:t xml:space="preserve">El texto de la Ley </w:t>
      </w:r>
      <w:proofErr w:type="spellStart"/>
      <w:r w:rsidRPr="00981F3E">
        <w:rPr>
          <w:sz w:val="32"/>
          <w:szCs w:val="32"/>
          <w:lang w:val="es-PR"/>
        </w:rPr>
        <w:t>Comstock</w:t>
      </w:r>
      <w:proofErr w:type="spellEnd"/>
      <w:r w:rsidRPr="00981F3E">
        <w:rPr>
          <w:sz w:val="32"/>
          <w:szCs w:val="32"/>
          <w:lang w:val="es-PR"/>
        </w:rPr>
        <w:t xml:space="preserve"> prohíbe el </w:t>
      </w:r>
      <w:r w:rsidR="00722EB5">
        <w:rPr>
          <w:sz w:val="32"/>
          <w:szCs w:val="32"/>
          <w:lang w:val="es-PR"/>
        </w:rPr>
        <w:t xml:space="preserve">envío de medicamentos abortivos </w:t>
      </w:r>
      <w:r w:rsidRPr="00981F3E">
        <w:rPr>
          <w:sz w:val="32"/>
          <w:szCs w:val="32"/>
          <w:lang w:val="es-PR"/>
        </w:rPr>
        <w:t>drogas:</w:t>
      </w:r>
    </w:p>
    <w:p w:rsidR="00981F3E" w:rsidRPr="00981F3E" w:rsidRDefault="00981F3E" w:rsidP="00981F3E">
      <w:pPr>
        <w:pStyle w:val="NoSpacing"/>
        <w:rPr>
          <w:sz w:val="32"/>
          <w:szCs w:val="32"/>
          <w:lang w:val="es-PR"/>
        </w:rPr>
      </w:pPr>
      <w:r w:rsidRPr="00981F3E">
        <w:rPr>
          <w:sz w:val="32"/>
          <w:szCs w:val="32"/>
          <w:lang w:val="es-PR"/>
        </w:rPr>
        <w:t>Todo artículo o cosa diseñada, adaptada o destinada a</w:t>
      </w:r>
    </w:p>
    <w:p w:rsidR="00981F3E" w:rsidRPr="00981F3E" w:rsidRDefault="00981F3E" w:rsidP="00981F3E">
      <w:pPr>
        <w:pStyle w:val="NoSpacing"/>
        <w:rPr>
          <w:sz w:val="32"/>
          <w:szCs w:val="32"/>
          <w:lang w:val="es-PR"/>
        </w:rPr>
      </w:pPr>
      <w:r w:rsidRPr="00981F3E">
        <w:rPr>
          <w:sz w:val="32"/>
          <w:szCs w:val="32"/>
          <w:lang w:val="es-PR"/>
        </w:rPr>
        <w:t>produciendo el aborto. . . y [c]</w:t>
      </w:r>
      <w:proofErr w:type="spellStart"/>
      <w:r w:rsidRPr="00981F3E">
        <w:rPr>
          <w:sz w:val="32"/>
          <w:szCs w:val="32"/>
          <w:lang w:val="es-PR"/>
        </w:rPr>
        <w:t>odo</w:t>
      </w:r>
      <w:proofErr w:type="spellEnd"/>
      <w:r w:rsidRPr="00981F3E">
        <w:rPr>
          <w:sz w:val="32"/>
          <w:szCs w:val="32"/>
          <w:lang w:val="es-PR"/>
        </w:rPr>
        <w:t xml:space="preserve"> artículo, instrumento,</w:t>
      </w:r>
    </w:p>
    <w:p w:rsidR="00981F3E" w:rsidRPr="00981F3E" w:rsidRDefault="00981F3E" w:rsidP="00981F3E">
      <w:pPr>
        <w:pStyle w:val="NoSpacing"/>
        <w:rPr>
          <w:sz w:val="32"/>
          <w:szCs w:val="32"/>
          <w:lang w:val="es-PR"/>
        </w:rPr>
      </w:pPr>
      <w:r w:rsidRPr="00981F3E">
        <w:rPr>
          <w:sz w:val="32"/>
          <w:szCs w:val="32"/>
          <w:lang w:val="es-PR"/>
        </w:rPr>
        <w:lastRenderedPageBreak/>
        <w:t>sustancia, droga, medicina o cosa que se anuncia o</w:t>
      </w:r>
    </w:p>
    <w:p w:rsidR="00981F3E" w:rsidRPr="00981F3E" w:rsidRDefault="00981F3E" w:rsidP="00981F3E">
      <w:pPr>
        <w:pStyle w:val="NoSpacing"/>
        <w:rPr>
          <w:sz w:val="32"/>
          <w:szCs w:val="32"/>
          <w:lang w:val="es-PR"/>
        </w:rPr>
      </w:pPr>
      <w:r w:rsidRPr="00981F3E">
        <w:rPr>
          <w:sz w:val="32"/>
          <w:szCs w:val="32"/>
          <w:lang w:val="es-PR"/>
        </w:rPr>
        <w:t>descrito de una manera calculada para llevar a otro a usar o aplicar</w:t>
      </w:r>
    </w:p>
    <w:p w:rsidR="00981F3E" w:rsidRPr="00981F3E" w:rsidRDefault="00981F3E" w:rsidP="00981F3E">
      <w:pPr>
        <w:pStyle w:val="NoSpacing"/>
        <w:rPr>
          <w:sz w:val="32"/>
          <w:szCs w:val="32"/>
          <w:lang w:val="es-PR"/>
        </w:rPr>
      </w:pPr>
      <w:r w:rsidRPr="00981F3E">
        <w:rPr>
          <w:sz w:val="32"/>
          <w:szCs w:val="32"/>
          <w:lang w:val="es-PR"/>
        </w:rPr>
        <w:t xml:space="preserve">para producir el aborto. . . [i]s declarada como no </w:t>
      </w:r>
      <w:proofErr w:type="spellStart"/>
      <w:r w:rsidRPr="00981F3E">
        <w:rPr>
          <w:sz w:val="32"/>
          <w:szCs w:val="32"/>
          <w:lang w:val="es-PR"/>
        </w:rPr>
        <w:t>enviable</w:t>
      </w:r>
      <w:proofErr w:type="spellEnd"/>
    </w:p>
    <w:p w:rsidR="00981F3E" w:rsidRPr="00981F3E" w:rsidRDefault="00981F3E" w:rsidP="00981F3E">
      <w:pPr>
        <w:pStyle w:val="NoSpacing"/>
        <w:rPr>
          <w:sz w:val="32"/>
          <w:szCs w:val="32"/>
          <w:lang w:val="es-PR"/>
        </w:rPr>
      </w:pPr>
      <w:r w:rsidRPr="00981F3E">
        <w:rPr>
          <w:sz w:val="32"/>
          <w:szCs w:val="32"/>
          <w:lang w:val="es-PR"/>
        </w:rPr>
        <w:t>asunto y no se transportará por correo ni se entregará desde</w:t>
      </w:r>
    </w:p>
    <w:p w:rsidR="00981F3E" w:rsidRPr="00981F3E" w:rsidRDefault="00981F3E" w:rsidP="00981F3E">
      <w:pPr>
        <w:pStyle w:val="NoSpacing"/>
        <w:rPr>
          <w:sz w:val="32"/>
          <w:szCs w:val="32"/>
          <w:lang w:val="es-PR"/>
        </w:rPr>
      </w:pPr>
      <w:r w:rsidRPr="00981F3E">
        <w:rPr>
          <w:sz w:val="32"/>
          <w:szCs w:val="32"/>
          <w:lang w:val="es-PR"/>
        </w:rPr>
        <w:t>cualquier oficina de correos o por cualquier cartero.</w:t>
      </w:r>
    </w:p>
    <w:p w:rsidR="00981F3E" w:rsidRPr="00981F3E" w:rsidRDefault="00981F3E" w:rsidP="00981F3E">
      <w:pPr>
        <w:pStyle w:val="NoSpacing"/>
        <w:rPr>
          <w:sz w:val="32"/>
          <w:szCs w:val="32"/>
          <w:lang w:val="es-PR"/>
        </w:rPr>
      </w:pPr>
      <w:r w:rsidRPr="00981F3E">
        <w:rPr>
          <w:sz w:val="32"/>
          <w:szCs w:val="32"/>
          <w:lang w:val="es-PR"/>
        </w:rPr>
        <w:t>Quien a sabiendas utilice los correos para el envío, transporte en</w:t>
      </w:r>
    </w:p>
    <w:p w:rsidR="00981F3E" w:rsidRPr="00981F3E" w:rsidRDefault="00981F3E" w:rsidP="00981F3E">
      <w:pPr>
        <w:pStyle w:val="NoSpacing"/>
        <w:rPr>
          <w:sz w:val="32"/>
          <w:szCs w:val="32"/>
          <w:lang w:val="es-PR"/>
        </w:rPr>
      </w:pPr>
      <w:r w:rsidRPr="00981F3E">
        <w:rPr>
          <w:sz w:val="32"/>
          <w:szCs w:val="32"/>
          <w:lang w:val="es-PR"/>
        </w:rPr>
        <w:t>los correos, o la entrega de cualquier cosa declarada por esta sección</w:t>
      </w:r>
      <w:proofErr w:type="gramStart"/>
      <w:r w:rsidRPr="00981F3E">
        <w:rPr>
          <w:sz w:val="32"/>
          <w:szCs w:val="32"/>
          <w:lang w:val="es-PR"/>
        </w:rPr>
        <w:t>. .</w:t>
      </w:r>
      <w:proofErr w:type="gramEnd"/>
      <w:r w:rsidRPr="00981F3E">
        <w:rPr>
          <w:sz w:val="32"/>
          <w:szCs w:val="32"/>
          <w:lang w:val="es-PR"/>
        </w:rPr>
        <w:t xml:space="preserve"> </w:t>
      </w:r>
    </w:p>
    <w:p w:rsidR="00981F3E" w:rsidRPr="00981F3E" w:rsidRDefault="00981F3E" w:rsidP="00981F3E">
      <w:pPr>
        <w:pStyle w:val="NoSpacing"/>
        <w:rPr>
          <w:sz w:val="32"/>
          <w:szCs w:val="32"/>
          <w:lang w:val="es-PR"/>
        </w:rPr>
      </w:pPr>
      <w:r w:rsidRPr="00981F3E">
        <w:rPr>
          <w:sz w:val="32"/>
          <w:szCs w:val="32"/>
          <w:lang w:val="es-PR"/>
        </w:rPr>
        <w:t>no se puede enviar por correo. . . será multado</w:t>
      </w:r>
      <w:r w:rsidR="00722EB5">
        <w:rPr>
          <w:sz w:val="32"/>
          <w:szCs w:val="32"/>
          <w:lang w:val="es-PR"/>
        </w:rPr>
        <w:t xml:space="preserve"> bajo este título o encarcelado </w:t>
      </w:r>
      <w:r w:rsidRPr="00981F3E">
        <w:rPr>
          <w:sz w:val="32"/>
          <w:szCs w:val="32"/>
          <w:lang w:val="es-PR"/>
        </w:rPr>
        <w:t>no más de cinco años, o ambos, por</w:t>
      </w:r>
      <w:r w:rsidR="00722EB5">
        <w:rPr>
          <w:sz w:val="32"/>
          <w:szCs w:val="32"/>
          <w:lang w:val="es-PR"/>
        </w:rPr>
        <w:t xml:space="preserve"> la primera de tales ofensas, y </w:t>
      </w:r>
      <w:r w:rsidRPr="00981F3E">
        <w:rPr>
          <w:sz w:val="32"/>
          <w:szCs w:val="32"/>
          <w:lang w:val="es-PR"/>
        </w:rPr>
        <w:t>será multado bajo este título o encarcelado no más de diez</w:t>
      </w:r>
    </w:p>
    <w:p w:rsidR="00981F3E" w:rsidRPr="00981F3E" w:rsidRDefault="00981F3E" w:rsidP="00981F3E">
      <w:pPr>
        <w:pStyle w:val="NoSpacing"/>
        <w:rPr>
          <w:sz w:val="32"/>
          <w:szCs w:val="32"/>
          <w:lang w:val="es-PR"/>
        </w:rPr>
      </w:pPr>
      <w:r w:rsidRPr="00981F3E">
        <w:rPr>
          <w:sz w:val="32"/>
          <w:szCs w:val="32"/>
          <w:lang w:val="es-PR"/>
        </w:rPr>
        <w:t>años, o ambos, por cada uno de esos delitos a partir de entonces.</w:t>
      </w:r>
    </w:p>
    <w:p w:rsidR="00981F3E" w:rsidRPr="00981F3E" w:rsidRDefault="00981F3E" w:rsidP="00981F3E">
      <w:pPr>
        <w:pStyle w:val="NoSpacing"/>
        <w:rPr>
          <w:sz w:val="32"/>
          <w:szCs w:val="32"/>
          <w:lang w:val="es-PR"/>
        </w:rPr>
      </w:pPr>
      <w:r w:rsidRPr="00981F3E">
        <w:rPr>
          <w:sz w:val="32"/>
          <w:szCs w:val="32"/>
          <w:lang w:val="es-PR"/>
        </w:rPr>
        <w:t xml:space="preserve">18 USC § 1461. Este lenguaje se deriva del </w:t>
      </w:r>
      <w:proofErr w:type="spellStart"/>
      <w:r w:rsidRPr="00981F3E">
        <w:rPr>
          <w:sz w:val="32"/>
          <w:szCs w:val="32"/>
          <w:lang w:val="es-PR"/>
        </w:rPr>
        <w:t>Comstock</w:t>
      </w:r>
      <w:proofErr w:type="spellEnd"/>
      <w:r w:rsidRPr="00981F3E">
        <w:rPr>
          <w:sz w:val="32"/>
          <w:szCs w:val="32"/>
          <w:lang w:val="es-PR"/>
        </w:rPr>
        <w:t xml:space="preserve"> original de 1873</w:t>
      </w:r>
    </w:p>
    <w:p w:rsidR="00981F3E" w:rsidRPr="00981F3E" w:rsidRDefault="00981F3E" w:rsidP="00981F3E">
      <w:pPr>
        <w:pStyle w:val="NoSpacing"/>
        <w:rPr>
          <w:sz w:val="32"/>
          <w:szCs w:val="32"/>
          <w:lang w:val="es-PR"/>
        </w:rPr>
      </w:pPr>
      <w:r w:rsidRPr="00981F3E">
        <w:rPr>
          <w:sz w:val="32"/>
          <w:szCs w:val="32"/>
          <w:lang w:val="es-PR"/>
        </w:rPr>
        <w:t xml:space="preserve">Acto. Véase Acta del 3 de marzo de 1873, cap. 258, § 2, 17 </w:t>
      </w:r>
      <w:proofErr w:type="spellStart"/>
      <w:r w:rsidRPr="00981F3E">
        <w:rPr>
          <w:sz w:val="32"/>
          <w:szCs w:val="32"/>
          <w:lang w:val="es-PR"/>
        </w:rPr>
        <w:t>Estat</w:t>
      </w:r>
      <w:proofErr w:type="spellEnd"/>
      <w:r w:rsidRPr="00981F3E">
        <w:rPr>
          <w:sz w:val="32"/>
          <w:szCs w:val="32"/>
          <w:lang w:val="es-PR"/>
        </w:rPr>
        <w:t>. 598, 599 (“</w:t>
      </w:r>
      <w:proofErr w:type="gramStart"/>
      <w:r w:rsidRPr="00981F3E">
        <w:rPr>
          <w:sz w:val="32"/>
          <w:szCs w:val="32"/>
          <w:lang w:val="es-PR"/>
        </w:rPr>
        <w:t>No. .</w:t>
      </w:r>
      <w:proofErr w:type="gramEnd"/>
      <w:r w:rsidRPr="00981F3E">
        <w:rPr>
          <w:sz w:val="32"/>
          <w:szCs w:val="32"/>
          <w:lang w:val="es-PR"/>
        </w:rPr>
        <w:t xml:space="preserve"> . artículo</w:t>
      </w:r>
    </w:p>
    <w:p w:rsidR="00981F3E" w:rsidRPr="00981F3E" w:rsidRDefault="00981F3E" w:rsidP="00981F3E">
      <w:pPr>
        <w:pStyle w:val="NoSpacing"/>
        <w:rPr>
          <w:sz w:val="32"/>
          <w:szCs w:val="32"/>
          <w:lang w:val="es-PR"/>
        </w:rPr>
      </w:pPr>
      <w:r w:rsidRPr="00981F3E">
        <w:rPr>
          <w:sz w:val="32"/>
          <w:szCs w:val="32"/>
          <w:lang w:val="es-PR"/>
        </w:rPr>
        <w:t xml:space="preserve">o cosa diseñada o destinada para </w:t>
      </w:r>
      <w:proofErr w:type="spellStart"/>
      <w:r w:rsidRPr="00981F3E">
        <w:rPr>
          <w:sz w:val="32"/>
          <w:szCs w:val="32"/>
          <w:lang w:val="es-PR"/>
        </w:rPr>
        <w:t>el</w:t>
      </w:r>
      <w:proofErr w:type="spellEnd"/>
      <w:r w:rsidRPr="00981F3E">
        <w:rPr>
          <w:sz w:val="32"/>
          <w:szCs w:val="32"/>
          <w:lang w:val="es-PR"/>
        </w:rPr>
        <w:t xml:space="preserve"> . . . Procuración del aborto. . . será</w:t>
      </w:r>
    </w:p>
    <w:p w:rsidR="00981F3E" w:rsidRPr="00981F3E" w:rsidRDefault="00981F3E" w:rsidP="00981F3E">
      <w:pPr>
        <w:pStyle w:val="NoSpacing"/>
        <w:rPr>
          <w:sz w:val="32"/>
          <w:szCs w:val="32"/>
          <w:lang w:val="es-PR"/>
        </w:rPr>
      </w:pPr>
      <w:r w:rsidRPr="00981F3E">
        <w:rPr>
          <w:sz w:val="32"/>
          <w:szCs w:val="32"/>
          <w:lang w:val="es-PR"/>
        </w:rPr>
        <w:t>llevado por correo”).</w:t>
      </w:r>
    </w:p>
    <w:p w:rsidR="00722EB5" w:rsidRDefault="00722EB5" w:rsidP="00981F3E">
      <w:pPr>
        <w:pStyle w:val="NoSpacing"/>
        <w:rPr>
          <w:sz w:val="32"/>
          <w:szCs w:val="32"/>
          <w:lang w:val="es-PR"/>
        </w:rPr>
      </w:pPr>
    </w:p>
    <w:p w:rsidR="00981F3E" w:rsidRPr="00981F3E" w:rsidRDefault="00981F3E" w:rsidP="00981F3E">
      <w:pPr>
        <w:pStyle w:val="NoSpacing"/>
        <w:rPr>
          <w:sz w:val="32"/>
          <w:szCs w:val="32"/>
          <w:lang w:val="es-PR"/>
        </w:rPr>
      </w:pPr>
      <w:r w:rsidRPr="00981F3E">
        <w:rPr>
          <w:sz w:val="32"/>
          <w:szCs w:val="32"/>
          <w:lang w:val="es-PR"/>
        </w:rPr>
        <w:t xml:space="preserve">Posteriormente, el Congreso amplió la prohibición </w:t>
      </w:r>
      <w:r w:rsidR="00722EB5">
        <w:rPr>
          <w:sz w:val="32"/>
          <w:szCs w:val="32"/>
          <w:lang w:val="es-PR"/>
        </w:rPr>
        <w:t xml:space="preserve">de envío por correo para </w:t>
      </w:r>
      <w:proofErr w:type="spellStart"/>
      <w:r w:rsidR="00722EB5">
        <w:rPr>
          <w:sz w:val="32"/>
          <w:szCs w:val="32"/>
          <w:lang w:val="es-PR"/>
        </w:rPr>
        <w:t>cubrir</w:t>
      </w:r>
      <w:r w:rsidRPr="00981F3E">
        <w:rPr>
          <w:sz w:val="32"/>
          <w:szCs w:val="32"/>
          <w:lang w:val="es-PR"/>
        </w:rPr>
        <w:t>transportistas</w:t>
      </w:r>
      <w:proofErr w:type="spellEnd"/>
      <w:r w:rsidRPr="00981F3E">
        <w:rPr>
          <w:sz w:val="32"/>
          <w:szCs w:val="32"/>
          <w:lang w:val="es-PR"/>
        </w:rPr>
        <w:t xml:space="preserve"> también. Ver Ley del 8 de febrero de 1897, cap.</w:t>
      </w:r>
      <w:r w:rsidR="00722EB5">
        <w:rPr>
          <w:sz w:val="32"/>
          <w:szCs w:val="32"/>
          <w:lang w:val="es-PR"/>
        </w:rPr>
        <w:t xml:space="preserve"> 172, 29 </w:t>
      </w:r>
      <w:proofErr w:type="spellStart"/>
      <w:r w:rsidR="00722EB5">
        <w:rPr>
          <w:sz w:val="32"/>
          <w:szCs w:val="32"/>
          <w:lang w:val="es-PR"/>
        </w:rPr>
        <w:t>estat</w:t>
      </w:r>
      <w:proofErr w:type="spellEnd"/>
      <w:r w:rsidR="00722EB5">
        <w:rPr>
          <w:sz w:val="32"/>
          <w:szCs w:val="32"/>
          <w:lang w:val="es-PR"/>
        </w:rPr>
        <w:t xml:space="preserve">. 512, 512 (“[E]l </w:t>
      </w:r>
      <w:r w:rsidRPr="00981F3E">
        <w:rPr>
          <w:sz w:val="32"/>
          <w:szCs w:val="32"/>
          <w:lang w:val="es-PR"/>
        </w:rPr>
        <w:t>ser ilegal que cualquier persona deposite con cu</w:t>
      </w:r>
      <w:r w:rsidR="00722EB5">
        <w:rPr>
          <w:sz w:val="32"/>
          <w:szCs w:val="32"/>
          <w:lang w:val="es-PR"/>
        </w:rPr>
        <w:t xml:space="preserve">alquier compañía expresa u otra </w:t>
      </w:r>
      <w:r w:rsidRPr="00981F3E">
        <w:rPr>
          <w:sz w:val="32"/>
          <w:szCs w:val="32"/>
          <w:lang w:val="es-PR"/>
        </w:rPr>
        <w:t xml:space="preserve">transportista común . . . cualquier artículo o cosa </w:t>
      </w:r>
      <w:r w:rsidR="00722EB5">
        <w:rPr>
          <w:sz w:val="32"/>
          <w:szCs w:val="32"/>
          <w:lang w:val="es-PR"/>
        </w:rPr>
        <w:t>diseñado o destinado a la . . .</w:t>
      </w:r>
      <w:r w:rsidRPr="00981F3E">
        <w:rPr>
          <w:sz w:val="32"/>
          <w:szCs w:val="32"/>
          <w:lang w:val="es-PR"/>
        </w:rPr>
        <w:t>procurar el aborto”). Tal como está actualmente en vigor, esta disposición establece:</w:t>
      </w:r>
    </w:p>
    <w:p w:rsidR="00722EB5" w:rsidRDefault="00722EB5" w:rsidP="00981F3E">
      <w:pPr>
        <w:pStyle w:val="NoSpacing"/>
        <w:rPr>
          <w:sz w:val="32"/>
          <w:szCs w:val="32"/>
          <w:lang w:val="es-PR"/>
        </w:rPr>
      </w:pPr>
    </w:p>
    <w:p w:rsidR="00981F3E" w:rsidRPr="00981F3E" w:rsidRDefault="00981F3E" w:rsidP="00981F3E">
      <w:pPr>
        <w:pStyle w:val="NoSpacing"/>
        <w:rPr>
          <w:sz w:val="32"/>
          <w:szCs w:val="32"/>
          <w:lang w:val="es-PR"/>
        </w:rPr>
      </w:pPr>
      <w:r w:rsidRPr="00981F3E">
        <w:rPr>
          <w:sz w:val="32"/>
          <w:szCs w:val="32"/>
          <w:lang w:val="es-PR"/>
        </w:rPr>
        <w:t>Cualquiera que traiga a los Estados Unidos. . . o utiliza a sabiendas</w:t>
      </w:r>
    </w:p>
    <w:p w:rsidR="00981F3E" w:rsidRPr="00981F3E" w:rsidRDefault="00981F3E" w:rsidP="00981F3E">
      <w:pPr>
        <w:pStyle w:val="NoSpacing"/>
        <w:rPr>
          <w:sz w:val="32"/>
          <w:szCs w:val="32"/>
          <w:lang w:val="es-PR"/>
        </w:rPr>
      </w:pPr>
      <w:r w:rsidRPr="00981F3E">
        <w:rPr>
          <w:sz w:val="32"/>
          <w:szCs w:val="32"/>
          <w:lang w:val="es-PR"/>
        </w:rPr>
        <w:t>cualquier compañía expresa u otro transportista común o interactivo</w:t>
      </w:r>
    </w:p>
    <w:p w:rsidR="00981F3E" w:rsidRPr="00981F3E" w:rsidRDefault="00981F3E" w:rsidP="00981F3E">
      <w:pPr>
        <w:pStyle w:val="NoSpacing"/>
        <w:rPr>
          <w:sz w:val="32"/>
          <w:szCs w:val="32"/>
          <w:lang w:val="es-PR"/>
        </w:rPr>
      </w:pPr>
      <w:r w:rsidRPr="00981F3E">
        <w:rPr>
          <w:sz w:val="32"/>
          <w:szCs w:val="32"/>
          <w:lang w:val="es-PR"/>
        </w:rPr>
        <w:t>servicio de computación. . . para transporte interestatal o extranjero</w:t>
      </w:r>
    </w:p>
    <w:p w:rsidR="00981F3E" w:rsidRPr="00981F3E" w:rsidRDefault="00722EB5" w:rsidP="00981F3E">
      <w:pPr>
        <w:pStyle w:val="NoSpacing"/>
        <w:rPr>
          <w:sz w:val="32"/>
          <w:szCs w:val="32"/>
          <w:lang w:val="es-PR"/>
        </w:rPr>
      </w:pPr>
      <w:r>
        <w:rPr>
          <w:sz w:val="32"/>
          <w:szCs w:val="32"/>
          <w:lang w:val="es-PR"/>
        </w:rPr>
        <w:t>comercio</w:t>
      </w:r>
      <w:r w:rsidR="00981F3E" w:rsidRPr="00981F3E">
        <w:rPr>
          <w:sz w:val="32"/>
          <w:szCs w:val="32"/>
          <w:lang w:val="es-PR"/>
        </w:rPr>
        <w:t>. cualquier droga, medicina, artículo o cosa diseñada,</w:t>
      </w:r>
    </w:p>
    <w:p w:rsidR="00981F3E" w:rsidRPr="00981F3E" w:rsidRDefault="00981F3E" w:rsidP="00981F3E">
      <w:pPr>
        <w:pStyle w:val="NoSpacing"/>
        <w:rPr>
          <w:sz w:val="32"/>
          <w:szCs w:val="32"/>
          <w:lang w:val="es-PR"/>
        </w:rPr>
      </w:pPr>
      <w:r w:rsidRPr="00981F3E">
        <w:rPr>
          <w:sz w:val="32"/>
          <w:szCs w:val="32"/>
          <w:lang w:val="es-PR"/>
        </w:rPr>
        <w:t>adaptado o destinado a producir el aborto. . . o [quien] sea</w:t>
      </w:r>
    </w:p>
    <w:p w:rsidR="00981F3E" w:rsidRPr="00981F3E" w:rsidRDefault="00981F3E" w:rsidP="00981F3E">
      <w:pPr>
        <w:pStyle w:val="NoSpacing"/>
        <w:rPr>
          <w:sz w:val="32"/>
          <w:szCs w:val="32"/>
          <w:lang w:val="es-PR"/>
        </w:rPr>
      </w:pPr>
      <w:r w:rsidRPr="00981F3E">
        <w:rPr>
          <w:sz w:val="32"/>
          <w:szCs w:val="32"/>
          <w:lang w:val="es-PR"/>
        </w:rPr>
        <w:t>a sabiendas toma o recibe, de dicha compañía expresa o</w:t>
      </w:r>
    </w:p>
    <w:p w:rsidR="00981F3E" w:rsidRPr="00981F3E" w:rsidRDefault="00981F3E" w:rsidP="00981F3E">
      <w:pPr>
        <w:pStyle w:val="NoSpacing"/>
        <w:rPr>
          <w:sz w:val="32"/>
          <w:szCs w:val="32"/>
          <w:lang w:val="es-PR"/>
        </w:rPr>
      </w:pPr>
      <w:r w:rsidRPr="00981F3E">
        <w:rPr>
          <w:sz w:val="32"/>
          <w:szCs w:val="32"/>
          <w:lang w:val="es-PR"/>
        </w:rPr>
        <w:t>otro operador común o servicio informático interactivo. . . cualquier</w:t>
      </w:r>
    </w:p>
    <w:p w:rsidR="00981F3E" w:rsidRPr="00981F3E" w:rsidRDefault="00981F3E" w:rsidP="00981F3E">
      <w:pPr>
        <w:pStyle w:val="NoSpacing"/>
        <w:rPr>
          <w:sz w:val="32"/>
          <w:szCs w:val="32"/>
          <w:lang w:val="es-PR"/>
        </w:rPr>
      </w:pPr>
      <w:r w:rsidRPr="00981F3E">
        <w:rPr>
          <w:sz w:val="32"/>
          <w:szCs w:val="32"/>
          <w:lang w:val="es-PR"/>
        </w:rPr>
        <w:lastRenderedPageBreak/>
        <w:t>asunto o cosa cuyo transporte o importaci</w:t>
      </w:r>
      <w:r w:rsidR="00722EB5">
        <w:rPr>
          <w:sz w:val="32"/>
          <w:szCs w:val="32"/>
          <w:lang w:val="es-PR"/>
        </w:rPr>
        <w:t xml:space="preserve">ón se especifica en el presente </w:t>
      </w:r>
      <w:r w:rsidRPr="00981F3E">
        <w:rPr>
          <w:sz w:val="32"/>
          <w:szCs w:val="32"/>
          <w:lang w:val="es-PR"/>
        </w:rPr>
        <w:t>hecho ilegal. . . [s]</w:t>
      </w:r>
      <w:proofErr w:type="spellStart"/>
      <w:r w:rsidRPr="00981F3E">
        <w:rPr>
          <w:sz w:val="32"/>
          <w:szCs w:val="32"/>
          <w:lang w:val="es-PR"/>
        </w:rPr>
        <w:t>erá</w:t>
      </w:r>
      <w:proofErr w:type="spellEnd"/>
      <w:r w:rsidRPr="00981F3E">
        <w:rPr>
          <w:sz w:val="32"/>
          <w:szCs w:val="32"/>
          <w:lang w:val="es-PR"/>
        </w:rPr>
        <w:t xml:space="preserve"> multado bajo este título o encarcelado</w:t>
      </w:r>
    </w:p>
    <w:p w:rsidR="00981F3E" w:rsidRPr="00981F3E" w:rsidRDefault="00981F3E" w:rsidP="00981F3E">
      <w:pPr>
        <w:pStyle w:val="NoSpacing"/>
        <w:rPr>
          <w:sz w:val="32"/>
          <w:szCs w:val="32"/>
          <w:lang w:val="es-PR"/>
        </w:rPr>
      </w:pPr>
      <w:r w:rsidRPr="00981F3E">
        <w:rPr>
          <w:sz w:val="32"/>
          <w:szCs w:val="32"/>
          <w:lang w:val="es-PR"/>
        </w:rPr>
        <w:t>no más de cinco años, o ambos, por la primera de tales ofensas y</w:t>
      </w:r>
    </w:p>
    <w:p w:rsidR="00981F3E" w:rsidRPr="00981F3E" w:rsidRDefault="00981F3E" w:rsidP="00981F3E">
      <w:pPr>
        <w:pStyle w:val="NoSpacing"/>
        <w:rPr>
          <w:sz w:val="32"/>
          <w:szCs w:val="32"/>
          <w:lang w:val="es-PR"/>
        </w:rPr>
      </w:pPr>
      <w:r w:rsidRPr="00981F3E">
        <w:rPr>
          <w:sz w:val="32"/>
          <w:szCs w:val="32"/>
          <w:lang w:val="es-PR"/>
        </w:rPr>
        <w:t>será multado bajo este título o encarcelado no más de diez</w:t>
      </w:r>
    </w:p>
    <w:p w:rsidR="00981F3E" w:rsidRDefault="00981F3E" w:rsidP="00981F3E">
      <w:pPr>
        <w:pStyle w:val="NoSpacing"/>
        <w:rPr>
          <w:sz w:val="32"/>
          <w:szCs w:val="32"/>
          <w:lang w:val="es-PR"/>
        </w:rPr>
      </w:pPr>
      <w:r w:rsidRPr="00981F3E">
        <w:rPr>
          <w:sz w:val="32"/>
          <w:szCs w:val="32"/>
          <w:lang w:val="es-PR"/>
        </w:rPr>
        <w:t>años, o ambos, por cada uno de esos delitos a partir de entonces.</w:t>
      </w:r>
    </w:p>
    <w:p w:rsidR="00981F3E" w:rsidRDefault="00981F3E" w:rsidP="00981F3E">
      <w:pPr>
        <w:pStyle w:val="NoSpacing"/>
        <w:rPr>
          <w:sz w:val="32"/>
          <w:szCs w:val="32"/>
          <w:lang w:val="es-PR"/>
        </w:rPr>
      </w:pPr>
    </w:p>
    <w:p w:rsidR="00981F3E" w:rsidRPr="00981F3E" w:rsidRDefault="00981F3E" w:rsidP="00981F3E">
      <w:pPr>
        <w:pStyle w:val="NoSpacing"/>
        <w:rPr>
          <w:sz w:val="32"/>
          <w:szCs w:val="32"/>
          <w:lang w:val="es-PR"/>
        </w:rPr>
      </w:pPr>
      <w:r w:rsidRPr="00981F3E">
        <w:rPr>
          <w:sz w:val="32"/>
          <w:szCs w:val="32"/>
          <w:lang w:val="es-PR"/>
        </w:rPr>
        <w:t>En 1996, el Congreso agregó “servicio de computadora interactivo” a la</w:t>
      </w:r>
    </w:p>
    <w:p w:rsidR="00981F3E" w:rsidRPr="00981F3E" w:rsidRDefault="00981F3E" w:rsidP="00981F3E">
      <w:pPr>
        <w:pStyle w:val="NoSpacing"/>
        <w:rPr>
          <w:sz w:val="32"/>
          <w:szCs w:val="32"/>
          <w:lang w:val="es-PR"/>
        </w:rPr>
      </w:pPr>
      <w:r w:rsidRPr="00981F3E">
        <w:rPr>
          <w:sz w:val="32"/>
          <w:szCs w:val="32"/>
          <w:lang w:val="es-PR"/>
        </w:rPr>
        <w:t xml:space="preserve">Ley </w:t>
      </w:r>
      <w:proofErr w:type="spellStart"/>
      <w:r w:rsidRPr="00981F3E">
        <w:rPr>
          <w:sz w:val="32"/>
          <w:szCs w:val="32"/>
          <w:lang w:val="es-PR"/>
        </w:rPr>
        <w:t>Comstock</w:t>
      </w:r>
      <w:proofErr w:type="spellEnd"/>
      <w:r w:rsidRPr="00981F3E">
        <w:rPr>
          <w:sz w:val="32"/>
          <w:szCs w:val="32"/>
          <w:lang w:val="es-PR"/>
        </w:rPr>
        <w:t>. Ver Ley de Telecomunicacione</w:t>
      </w:r>
      <w:r w:rsidR="00722EB5">
        <w:rPr>
          <w:sz w:val="32"/>
          <w:szCs w:val="32"/>
          <w:lang w:val="es-PR"/>
        </w:rPr>
        <w:t>s de 1996, Pub. L. No. 104-</w:t>
      </w:r>
      <w:proofErr w:type="gramStart"/>
      <w:r w:rsidR="00722EB5">
        <w:rPr>
          <w:sz w:val="32"/>
          <w:szCs w:val="32"/>
          <w:lang w:val="es-PR"/>
        </w:rPr>
        <w:t>104,</w:t>
      </w:r>
      <w:r w:rsidRPr="00981F3E">
        <w:rPr>
          <w:sz w:val="32"/>
          <w:szCs w:val="32"/>
          <w:lang w:val="es-PR"/>
        </w:rPr>
        <w:t>§</w:t>
      </w:r>
      <w:proofErr w:type="gramEnd"/>
      <w:r w:rsidRPr="00981F3E">
        <w:rPr>
          <w:sz w:val="32"/>
          <w:szCs w:val="32"/>
          <w:lang w:val="es-PR"/>
        </w:rPr>
        <w:t xml:space="preserve"> 507(a), 110 Estatutos. 56, 137. Por lo tanto, también es ile</w:t>
      </w:r>
      <w:r w:rsidR="00722EB5">
        <w:rPr>
          <w:sz w:val="32"/>
          <w:szCs w:val="32"/>
          <w:lang w:val="es-PR"/>
        </w:rPr>
        <w:t xml:space="preserve">gal usar Internet para enviar </w:t>
      </w:r>
      <w:proofErr w:type="spellStart"/>
      <w:r w:rsidR="00722EB5">
        <w:rPr>
          <w:sz w:val="32"/>
          <w:szCs w:val="32"/>
          <w:lang w:val="es-PR"/>
        </w:rPr>
        <w:t>o</w:t>
      </w:r>
      <w:r w:rsidRPr="00981F3E">
        <w:rPr>
          <w:sz w:val="32"/>
          <w:szCs w:val="32"/>
          <w:lang w:val="es-PR"/>
        </w:rPr>
        <w:t>recibir</w:t>
      </w:r>
      <w:proofErr w:type="spellEnd"/>
      <w:r w:rsidRPr="00981F3E">
        <w:rPr>
          <w:sz w:val="32"/>
          <w:szCs w:val="32"/>
          <w:lang w:val="es-PR"/>
        </w:rPr>
        <w:t xml:space="preserve"> abortivos. Ver 18 U.S.C. § 230</w:t>
      </w:r>
      <w:r w:rsidR="00722EB5">
        <w:rPr>
          <w:sz w:val="32"/>
          <w:szCs w:val="32"/>
          <w:lang w:val="es-PR"/>
        </w:rPr>
        <w:t xml:space="preserve">(f)(2) (que define “interactivo </w:t>
      </w:r>
      <w:r w:rsidRPr="00981F3E">
        <w:rPr>
          <w:sz w:val="32"/>
          <w:szCs w:val="32"/>
          <w:lang w:val="es-PR"/>
        </w:rPr>
        <w:t>servicio de cómputo”); identificación. § 230(f)(3) (“se</w:t>
      </w:r>
      <w:r w:rsidR="00722EB5">
        <w:rPr>
          <w:sz w:val="32"/>
          <w:szCs w:val="32"/>
          <w:lang w:val="es-PR"/>
        </w:rPr>
        <w:t xml:space="preserve">rvicio informático interactivo” </w:t>
      </w:r>
      <w:r w:rsidRPr="00722EB5">
        <w:rPr>
          <w:sz w:val="32"/>
          <w:szCs w:val="32"/>
          <w:lang w:val="es-PR"/>
        </w:rPr>
        <w:t xml:space="preserve">incluye “Internet”); </w:t>
      </w:r>
      <w:proofErr w:type="spellStart"/>
      <w:r w:rsidRPr="00722EB5">
        <w:rPr>
          <w:sz w:val="32"/>
          <w:szCs w:val="32"/>
          <w:lang w:val="es-PR"/>
        </w:rPr>
        <w:t>Doe</w:t>
      </w:r>
      <w:proofErr w:type="spellEnd"/>
      <w:r w:rsidRPr="00722EB5">
        <w:rPr>
          <w:sz w:val="32"/>
          <w:szCs w:val="32"/>
          <w:lang w:val="es-PR"/>
        </w:rPr>
        <w:t xml:space="preserve"> v. MySpace, In</w:t>
      </w:r>
      <w:r w:rsidR="00722EB5">
        <w:rPr>
          <w:sz w:val="32"/>
          <w:szCs w:val="32"/>
          <w:lang w:val="es-PR"/>
        </w:rPr>
        <w:t>c., 528 F.3d 413, 415 (5th Cir.</w:t>
      </w:r>
      <w:r w:rsidRPr="00981F3E">
        <w:rPr>
          <w:sz w:val="32"/>
          <w:szCs w:val="32"/>
          <w:lang w:val="es-PR"/>
        </w:rPr>
        <w:t>2008) (“servicio informático interactivo” incluye “un sitio web”).</w:t>
      </w:r>
    </w:p>
    <w:p w:rsidR="00981F3E" w:rsidRPr="00981F3E" w:rsidRDefault="00981F3E" w:rsidP="00981F3E">
      <w:pPr>
        <w:pStyle w:val="NoSpacing"/>
        <w:rPr>
          <w:sz w:val="32"/>
          <w:szCs w:val="32"/>
          <w:lang w:val="es-PR"/>
        </w:rPr>
      </w:pPr>
      <w:r w:rsidRPr="00981F3E">
        <w:rPr>
          <w:sz w:val="32"/>
          <w:szCs w:val="32"/>
          <w:lang w:val="es-PR"/>
        </w:rPr>
        <w:t xml:space="preserve">  La decisión de pedido por correo de 2021 d</w:t>
      </w:r>
      <w:r w:rsidR="00722EB5">
        <w:rPr>
          <w:sz w:val="32"/>
          <w:szCs w:val="32"/>
          <w:lang w:val="es-PR"/>
        </w:rPr>
        <w:t xml:space="preserve">e la FDA viola la Ley </w:t>
      </w:r>
      <w:proofErr w:type="spellStart"/>
      <w:r w:rsidR="00722EB5">
        <w:rPr>
          <w:sz w:val="32"/>
          <w:szCs w:val="32"/>
          <w:lang w:val="es-PR"/>
        </w:rPr>
        <w:t>Comstock.</w:t>
      </w:r>
      <w:r w:rsidRPr="00981F3E">
        <w:rPr>
          <w:sz w:val="32"/>
          <w:szCs w:val="32"/>
          <w:lang w:val="es-PR"/>
        </w:rPr>
        <w:t>Esa</w:t>
      </w:r>
      <w:proofErr w:type="spellEnd"/>
      <w:r w:rsidRPr="00981F3E">
        <w:rPr>
          <w:sz w:val="32"/>
          <w:szCs w:val="32"/>
          <w:lang w:val="es-PR"/>
        </w:rPr>
        <w:t xml:space="preserve"> decisión autoriza la dispensación de </w:t>
      </w:r>
      <w:proofErr w:type="spellStart"/>
      <w:r w:rsidRPr="00981F3E">
        <w:rPr>
          <w:sz w:val="32"/>
          <w:szCs w:val="32"/>
          <w:lang w:val="es-PR"/>
        </w:rPr>
        <w:t>m</w:t>
      </w:r>
      <w:r w:rsidR="00722EB5">
        <w:rPr>
          <w:sz w:val="32"/>
          <w:szCs w:val="32"/>
          <w:lang w:val="es-PR"/>
        </w:rPr>
        <w:t>ifepristona</w:t>
      </w:r>
      <w:proofErr w:type="spellEnd"/>
      <w:r w:rsidR="00722EB5">
        <w:rPr>
          <w:sz w:val="32"/>
          <w:szCs w:val="32"/>
          <w:lang w:val="es-PR"/>
        </w:rPr>
        <w:t xml:space="preserve"> “a través del </w:t>
      </w:r>
      <w:r w:rsidRPr="00981F3E">
        <w:rPr>
          <w:sz w:val="32"/>
          <w:szCs w:val="32"/>
          <w:lang w:val="es-PR"/>
        </w:rPr>
        <w:t xml:space="preserve">correo . . . o a través de una farmacia de pedidos por correo”. Carta </w:t>
      </w:r>
      <w:r w:rsidR="00722EB5">
        <w:rPr>
          <w:sz w:val="32"/>
          <w:szCs w:val="32"/>
          <w:lang w:val="es-PR"/>
        </w:rPr>
        <w:t xml:space="preserve">de la FDA a los estadounidenses </w:t>
      </w:r>
      <w:r w:rsidRPr="00981F3E">
        <w:rPr>
          <w:sz w:val="32"/>
          <w:szCs w:val="32"/>
          <w:lang w:val="es-PR"/>
        </w:rPr>
        <w:t>Colegio de Obstetras y Ginecólogos en 2 (12 de abril</w:t>
      </w:r>
      <w:r w:rsidR="00722EB5">
        <w:rPr>
          <w:sz w:val="32"/>
          <w:szCs w:val="32"/>
          <w:lang w:val="es-PR"/>
        </w:rPr>
        <w:t xml:space="preserve"> de 2021). Pero “nosotros [</w:t>
      </w:r>
      <w:proofErr w:type="spellStart"/>
      <w:r w:rsidR="00722EB5">
        <w:rPr>
          <w:sz w:val="32"/>
          <w:szCs w:val="32"/>
          <w:lang w:val="es-PR"/>
        </w:rPr>
        <w:t>ing</w:t>
      </w:r>
      <w:proofErr w:type="spellEnd"/>
      <w:r w:rsidR="00722EB5">
        <w:rPr>
          <w:sz w:val="32"/>
          <w:szCs w:val="32"/>
          <w:lang w:val="es-PR"/>
        </w:rPr>
        <w:t>]</w:t>
      </w:r>
      <w:r w:rsidRPr="00981F3E">
        <w:rPr>
          <w:sz w:val="32"/>
          <w:szCs w:val="32"/>
          <w:lang w:val="es-PR"/>
        </w:rPr>
        <w:t>los correos para el envío” de un “medicamento . . . por prod</w:t>
      </w:r>
      <w:r w:rsidR="00722EB5">
        <w:rPr>
          <w:sz w:val="32"/>
          <w:szCs w:val="32"/>
          <w:lang w:val="es-PR"/>
        </w:rPr>
        <w:t xml:space="preserve">ucir el aborto” es </w:t>
      </w:r>
      <w:proofErr w:type="spellStart"/>
      <w:r w:rsidR="00722EB5">
        <w:rPr>
          <w:sz w:val="32"/>
          <w:szCs w:val="32"/>
          <w:lang w:val="es-PR"/>
        </w:rPr>
        <w:t>precisamente</w:t>
      </w:r>
      <w:r w:rsidRPr="00981F3E">
        <w:rPr>
          <w:sz w:val="32"/>
          <w:szCs w:val="32"/>
          <w:lang w:val="es-PR"/>
        </w:rPr>
        <w:t>lo</w:t>
      </w:r>
      <w:proofErr w:type="spellEnd"/>
      <w:r w:rsidRPr="00981F3E">
        <w:rPr>
          <w:sz w:val="32"/>
          <w:szCs w:val="32"/>
          <w:lang w:val="es-PR"/>
        </w:rPr>
        <w:t xml:space="preserve"> que prohíbe la Ley </w:t>
      </w:r>
      <w:proofErr w:type="spellStart"/>
      <w:r w:rsidRPr="00981F3E">
        <w:rPr>
          <w:sz w:val="32"/>
          <w:szCs w:val="32"/>
          <w:lang w:val="es-PR"/>
        </w:rPr>
        <w:t>Comstock</w:t>
      </w:r>
      <w:proofErr w:type="spellEnd"/>
      <w:r w:rsidRPr="00981F3E">
        <w:rPr>
          <w:sz w:val="32"/>
          <w:szCs w:val="32"/>
          <w:lang w:val="es-PR"/>
        </w:rPr>
        <w:t>. 18 U</w:t>
      </w:r>
      <w:r w:rsidR="00722EB5">
        <w:rPr>
          <w:sz w:val="32"/>
          <w:szCs w:val="32"/>
          <w:lang w:val="es-PR"/>
        </w:rPr>
        <w:t>SC § 1461. Ver Alianza, 2023 WL</w:t>
      </w:r>
      <w:r w:rsidRPr="00981F3E">
        <w:rPr>
          <w:sz w:val="32"/>
          <w:szCs w:val="32"/>
          <w:lang w:val="es-PR"/>
        </w:rPr>
        <w:t>, en *20 ("[Un] usuario de esos canales de e</w:t>
      </w:r>
      <w:r w:rsidR="00722EB5">
        <w:rPr>
          <w:sz w:val="32"/>
          <w:szCs w:val="32"/>
          <w:lang w:val="es-PR"/>
        </w:rPr>
        <w:t xml:space="preserve">nvío viola el texto sin formato </w:t>
      </w:r>
      <w:r w:rsidRPr="00981F3E">
        <w:rPr>
          <w:sz w:val="32"/>
          <w:szCs w:val="32"/>
          <w:lang w:val="es-PR"/>
        </w:rPr>
        <w:t>simplemente por hacer uso del correo a sabiendas para un artículo de aborto prohibido”).</w:t>
      </w:r>
    </w:p>
    <w:p w:rsidR="00722EB5" w:rsidRDefault="00722EB5" w:rsidP="00981F3E">
      <w:pPr>
        <w:pStyle w:val="NoSpacing"/>
        <w:rPr>
          <w:sz w:val="32"/>
          <w:szCs w:val="32"/>
          <w:lang w:val="es-PR"/>
        </w:rPr>
      </w:pPr>
    </w:p>
    <w:p w:rsidR="00981F3E" w:rsidRPr="00981F3E" w:rsidRDefault="00981F3E" w:rsidP="00981F3E">
      <w:pPr>
        <w:pStyle w:val="NoSpacing"/>
        <w:rPr>
          <w:sz w:val="32"/>
          <w:szCs w:val="32"/>
          <w:lang w:val="es-PR"/>
        </w:rPr>
      </w:pPr>
      <w:r w:rsidRPr="00981F3E">
        <w:rPr>
          <w:sz w:val="32"/>
          <w:szCs w:val="32"/>
          <w:lang w:val="es-PR"/>
        </w:rPr>
        <w:t>Estrategia de evaluación y mitigación de riesgos de la FDA para 2023</w:t>
      </w:r>
    </w:p>
    <w:p w:rsidR="00981F3E" w:rsidRPr="00981F3E" w:rsidRDefault="00981F3E" w:rsidP="00981F3E">
      <w:pPr>
        <w:pStyle w:val="NoSpacing"/>
        <w:rPr>
          <w:sz w:val="32"/>
          <w:szCs w:val="32"/>
          <w:lang w:val="es-PR"/>
        </w:rPr>
      </w:pPr>
      <w:r w:rsidRPr="00981F3E">
        <w:rPr>
          <w:sz w:val="32"/>
          <w:szCs w:val="32"/>
          <w:lang w:val="es-PR"/>
        </w:rPr>
        <w:t>modificación duplica esta violación al eliminar permanentemente la</w:t>
      </w:r>
    </w:p>
    <w:p w:rsidR="00981F3E" w:rsidRPr="00981F3E" w:rsidRDefault="00981F3E" w:rsidP="00981F3E">
      <w:pPr>
        <w:pStyle w:val="NoSpacing"/>
        <w:rPr>
          <w:sz w:val="32"/>
          <w:szCs w:val="32"/>
          <w:lang w:val="es-PR"/>
        </w:rPr>
      </w:pPr>
      <w:r w:rsidRPr="00981F3E">
        <w:rPr>
          <w:sz w:val="32"/>
          <w:szCs w:val="32"/>
          <w:lang w:val="es-PR"/>
        </w:rPr>
        <w:t xml:space="preserve">requisito de dispensación en persona. Bajo el </w:t>
      </w:r>
      <w:r w:rsidR="00722EB5">
        <w:rPr>
          <w:sz w:val="32"/>
          <w:szCs w:val="32"/>
          <w:lang w:val="es-PR"/>
        </w:rPr>
        <w:t xml:space="preserve">REMS 2023, las farmacias envían </w:t>
      </w:r>
      <w:proofErr w:type="spellStart"/>
      <w:r w:rsidRPr="00981F3E">
        <w:rPr>
          <w:sz w:val="32"/>
          <w:szCs w:val="32"/>
          <w:lang w:val="es-PR"/>
        </w:rPr>
        <w:t>mifepristona</w:t>
      </w:r>
      <w:proofErr w:type="spellEnd"/>
      <w:r w:rsidRPr="00981F3E">
        <w:rPr>
          <w:sz w:val="32"/>
          <w:szCs w:val="32"/>
          <w:lang w:val="es-PR"/>
        </w:rPr>
        <w:t xml:space="preserve"> a sus usuarios. Para obtener la certificación p</w:t>
      </w:r>
      <w:r w:rsidR="00722EB5">
        <w:rPr>
          <w:sz w:val="32"/>
          <w:szCs w:val="32"/>
          <w:lang w:val="es-PR"/>
        </w:rPr>
        <w:t xml:space="preserve">ara distribuir </w:t>
      </w:r>
      <w:proofErr w:type="spellStart"/>
      <w:r w:rsidR="00722EB5">
        <w:rPr>
          <w:sz w:val="32"/>
          <w:szCs w:val="32"/>
          <w:lang w:val="es-PR"/>
        </w:rPr>
        <w:t>mifepristona</w:t>
      </w:r>
      <w:proofErr w:type="spellEnd"/>
      <w:r w:rsidR="00722EB5">
        <w:rPr>
          <w:sz w:val="32"/>
          <w:szCs w:val="32"/>
          <w:lang w:val="es-PR"/>
        </w:rPr>
        <w:t xml:space="preserve">, </w:t>
      </w:r>
      <w:proofErr w:type="spellStart"/>
      <w:r w:rsidR="00722EB5">
        <w:rPr>
          <w:sz w:val="32"/>
          <w:szCs w:val="32"/>
          <w:lang w:val="es-PR"/>
        </w:rPr>
        <w:t>un</w:t>
      </w:r>
      <w:r w:rsidRPr="00981F3E">
        <w:rPr>
          <w:sz w:val="32"/>
          <w:szCs w:val="32"/>
          <w:lang w:val="es-PR"/>
        </w:rPr>
        <w:t>la</w:t>
      </w:r>
      <w:proofErr w:type="spellEnd"/>
      <w:r w:rsidRPr="00981F3E">
        <w:rPr>
          <w:sz w:val="32"/>
          <w:szCs w:val="32"/>
          <w:lang w:val="es-PR"/>
        </w:rPr>
        <w:t xml:space="preserve"> farmacia debe “[ser] capaz de enviar </w:t>
      </w:r>
      <w:proofErr w:type="spellStart"/>
      <w:r w:rsidRPr="00981F3E">
        <w:rPr>
          <w:sz w:val="32"/>
          <w:szCs w:val="32"/>
          <w:lang w:val="es-PR"/>
        </w:rPr>
        <w:t>mifepristona</w:t>
      </w:r>
      <w:proofErr w:type="spellEnd"/>
      <w:r w:rsidRPr="00981F3E">
        <w:rPr>
          <w:sz w:val="32"/>
          <w:szCs w:val="32"/>
          <w:lang w:val="es-PR"/>
        </w:rPr>
        <w:t xml:space="preserve"> ut</w:t>
      </w:r>
      <w:r w:rsidR="00722EB5">
        <w:rPr>
          <w:sz w:val="32"/>
          <w:szCs w:val="32"/>
          <w:lang w:val="es-PR"/>
        </w:rPr>
        <w:t xml:space="preserve">ilizando un servicio de envío”. </w:t>
      </w:r>
      <w:r w:rsidRPr="00981F3E">
        <w:rPr>
          <w:sz w:val="32"/>
          <w:szCs w:val="32"/>
          <w:lang w:val="es-PR"/>
        </w:rPr>
        <w:t xml:space="preserve">FDA, REMS para </w:t>
      </w:r>
      <w:proofErr w:type="spellStart"/>
      <w:r w:rsidRPr="00981F3E">
        <w:rPr>
          <w:sz w:val="32"/>
          <w:szCs w:val="32"/>
          <w:lang w:val="es-PR"/>
        </w:rPr>
        <w:t>mifepristona</w:t>
      </w:r>
      <w:proofErr w:type="spellEnd"/>
      <w:r w:rsidRPr="00981F3E">
        <w:rPr>
          <w:sz w:val="32"/>
          <w:szCs w:val="32"/>
          <w:lang w:val="es-PR"/>
        </w:rPr>
        <w:t xml:space="preserve"> en 3 (enero de 2023). Las farmacias también deben</w:t>
      </w:r>
    </w:p>
    <w:p w:rsidR="00981F3E" w:rsidRDefault="00981F3E" w:rsidP="00981F3E">
      <w:pPr>
        <w:pStyle w:val="NoSpacing"/>
        <w:rPr>
          <w:sz w:val="32"/>
          <w:szCs w:val="32"/>
          <w:lang w:val="es-PR"/>
        </w:rPr>
      </w:pPr>
      <w:r w:rsidRPr="00981F3E">
        <w:rPr>
          <w:sz w:val="32"/>
          <w:szCs w:val="32"/>
          <w:lang w:val="es-PR"/>
        </w:rPr>
        <w:lastRenderedPageBreak/>
        <w:t>“[rastrear] y verificar la recepción de cada en</w:t>
      </w:r>
      <w:r w:rsidR="00722EB5">
        <w:rPr>
          <w:sz w:val="32"/>
          <w:szCs w:val="32"/>
          <w:lang w:val="es-PR"/>
        </w:rPr>
        <w:t>vío” y “[m]</w:t>
      </w:r>
      <w:proofErr w:type="spellStart"/>
      <w:r w:rsidR="00722EB5">
        <w:rPr>
          <w:sz w:val="32"/>
          <w:szCs w:val="32"/>
          <w:lang w:val="es-PR"/>
        </w:rPr>
        <w:t>antener</w:t>
      </w:r>
      <w:proofErr w:type="spellEnd"/>
      <w:r w:rsidR="00722EB5">
        <w:rPr>
          <w:sz w:val="32"/>
          <w:szCs w:val="32"/>
          <w:lang w:val="es-PR"/>
        </w:rPr>
        <w:t xml:space="preserve"> registros </w:t>
      </w:r>
      <w:proofErr w:type="spellStart"/>
      <w:r w:rsidR="00722EB5">
        <w:rPr>
          <w:sz w:val="32"/>
          <w:szCs w:val="32"/>
          <w:lang w:val="es-PR"/>
        </w:rPr>
        <w:t>de</w:t>
      </w:r>
      <w:r w:rsidRPr="00981F3E">
        <w:rPr>
          <w:sz w:val="32"/>
          <w:szCs w:val="32"/>
          <w:lang w:val="es-PR"/>
        </w:rPr>
        <w:t>dispensación</w:t>
      </w:r>
      <w:proofErr w:type="spellEnd"/>
      <w:r w:rsidRPr="00981F3E">
        <w:rPr>
          <w:sz w:val="32"/>
          <w:szCs w:val="32"/>
          <w:lang w:val="es-PR"/>
        </w:rPr>
        <w:t xml:space="preserve"> y envío.” Identificación. Y los distrib</w:t>
      </w:r>
      <w:r w:rsidR="00722EB5">
        <w:rPr>
          <w:sz w:val="32"/>
          <w:szCs w:val="32"/>
          <w:lang w:val="es-PR"/>
        </w:rPr>
        <w:t xml:space="preserve">uidores </w:t>
      </w:r>
      <w:proofErr w:type="spellStart"/>
      <w:r w:rsidR="00722EB5">
        <w:rPr>
          <w:sz w:val="32"/>
          <w:szCs w:val="32"/>
          <w:lang w:val="es-PR"/>
        </w:rPr>
        <w:t>Danco</w:t>
      </w:r>
      <w:proofErr w:type="spellEnd"/>
      <w:r w:rsidR="00722EB5">
        <w:rPr>
          <w:sz w:val="32"/>
          <w:szCs w:val="32"/>
          <w:lang w:val="es-PR"/>
        </w:rPr>
        <w:t xml:space="preserve"> y </w:t>
      </w:r>
      <w:proofErr w:type="spellStart"/>
      <w:r w:rsidR="00722EB5">
        <w:rPr>
          <w:sz w:val="32"/>
          <w:szCs w:val="32"/>
          <w:lang w:val="es-PR"/>
        </w:rPr>
        <w:t>GenBioPro</w:t>
      </w:r>
      <w:proofErr w:type="spellEnd"/>
      <w:r w:rsidR="00722EB5">
        <w:rPr>
          <w:sz w:val="32"/>
          <w:szCs w:val="32"/>
          <w:lang w:val="es-PR"/>
        </w:rPr>
        <w:t xml:space="preserve"> deben </w:t>
      </w:r>
      <w:r w:rsidRPr="00981F3E">
        <w:rPr>
          <w:sz w:val="32"/>
          <w:szCs w:val="32"/>
          <w:lang w:val="es-PR"/>
        </w:rPr>
        <w:t>“[e]</w:t>
      </w:r>
      <w:proofErr w:type="spellStart"/>
      <w:r w:rsidRPr="00981F3E">
        <w:rPr>
          <w:sz w:val="32"/>
          <w:szCs w:val="32"/>
          <w:lang w:val="es-PR"/>
        </w:rPr>
        <w:t>nviar</w:t>
      </w:r>
      <w:proofErr w:type="spellEnd"/>
      <w:r w:rsidRPr="00981F3E">
        <w:rPr>
          <w:sz w:val="32"/>
          <w:szCs w:val="32"/>
          <w:lang w:val="es-PR"/>
        </w:rPr>
        <w:t xml:space="preserve"> </w:t>
      </w:r>
      <w:proofErr w:type="spellStart"/>
      <w:r w:rsidRPr="00981F3E">
        <w:rPr>
          <w:sz w:val="32"/>
          <w:szCs w:val="32"/>
          <w:lang w:val="es-PR"/>
        </w:rPr>
        <w:t>mifepristona</w:t>
      </w:r>
      <w:proofErr w:type="spellEnd"/>
      <w:r w:rsidRPr="00981F3E">
        <w:rPr>
          <w:sz w:val="32"/>
          <w:szCs w:val="32"/>
          <w:lang w:val="es-PR"/>
        </w:rPr>
        <w:t xml:space="preserve"> . . . a farmacias certificadas.”.</w:t>
      </w:r>
    </w:p>
    <w:p w:rsidR="00722EB5" w:rsidRPr="00981F3E" w:rsidRDefault="00722EB5" w:rsidP="00981F3E">
      <w:pPr>
        <w:pStyle w:val="NoSpacing"/>
        <w:rPr>
          <w:sz w:val="32"/>
          <w:szCs w:val="32"/>
          <w:lang w:val="es-PR"/>
        </w:rPr>
      </w:pPr>
    </w:p>
    <w:p w:rsidR="00981F3E" w:rsidRPr="00981F3E" w:rsidRDefault="00981F3E" w:rsidP="00981F3E">
      <w:pPr>
        <w:pStyle w:val="NoSpacing"/>
        <w:rPr>
          <w:sz w:val="32"/>
          <w:szCs w:val="32"/>
          <w:lang w:val="es-PR"/>
        </w:rPr>
      </w:pPr>
      <w:r w:rsidRPr="00981F3E">
        <w:rPr>
          <w:sz w:val="32"/>
          <w:szCs w:val="32"/>
          <w:lang w:val="es-PR"/>
        </w:rPr>
        <w:t xml:space="preserve">Todo esto viola la Ley </w:t>
      </w:r>
      <w:proofErr w:type="spellStart"/>
      <w:r w:rsidRPr="00981F3E">
        <w:rPr>
          <w:sz w:val="32"/>
          <w:szCs w:val="32"/>
          <w:lang w:val="es-PR"/>
        </w:rPr>
        <w:t>Comstock</w:t>
      </w:r>
      <w:proofErr w:type="spellEnd"/>
      <w:r w:rsidRPr="00981F3E">
        <w:rPr>
          <w:sz w:val="32"/>
          <w:szCs w:val="32"/>
          <w:lang w:val="es-PR"/>
        </w:rPr>
        <w:t xml:space="preserve"> al “</w:t>
      </w:r>
      <w:proofErr w:type="spellStart"/>
      <w:r w:rsidRPr="00981F3E">
        <w:rPr>
          <w:sz w:val="32"/>
          <w:szCs w:val="32"/>
          <w:lang w:val="es-PR"/>
        </w:rPr>
        <w:t>us</w:t>
      </w:r>
      <w:proofErr w:type="spellEnd"/>
      <w:r w:rsidRPr="00981F3E">
        <w:rPr>
          <w:sz w:val="32"/>
          <w:szCs w:val="32"/>
          <w:lang w:val="es-PR"/>
        </w:rPr>
        <w:t>[</w:t>
      </w:r>
      <w:proofErr w:type="spellStart"/>
      <w:r w:rsidRPr="00981F3E">
        <w:rPr>
          <w:sz w:val="32"/>
          <w:szCs w:val="32"/>
          <w:lang w:val="es-PR"/>
        </w:rPr>
        <w:t>ing</w:t>
      </w:r>
      <w:proofErr w:type="spellEnd"/>
      <w:r w:rsidRPr="00981F3E">
        <w:rPr>
          <w:sz w:val="32"/>
          <w:szCs w:val="32"/>
          <w:lang w:val="es-PR"/>
        </w:rPr>
        <w:t>] [</w:t>
      </w:r>
      <w:proofErr w:type="spellStart"/>
      <w:r w:rsidRPr="00981F3E">
        <w:rPr>
          <w:sz w:val="32"/>
          <w:szCs w:val="32"/>
          <w:lang w:val="es-PR"/>
        </w:rPr>
        <w:t>an</w:t>
      </w:r>
      <w:proofErr w:type="spellEnd"/>
      <w:r w:rsidRPr="00981F3E">
        <w:rPr>
          <w:sz w:val="32"/>
          <w:szCs w:val="32"/>
          <w:lang w:val="es-PR"/>
        </w:rPr>
        <w:t xml:space="preserve">] </w:t>
      </w:r>
      <w:proofErr w:type="spellStart"/>
      <w:r w:rsidRPr="00981F3E">
        <w:rPr>
          <w:sz w:val="32"/>
          <w:szCs w:val="32"/>
          <w:lang w:val="es-PR"/>
        </w:rPr>
        <w:t>express</w:t>
      </w:r>
      <w:proofErr w:type="spellEnd"/>
    </w:p>
    <w:p w:rsidR="00981F3E" w:rsidRPr="00981F3E" w:rsidRDefault="00981F3E" w:rsidP="00981F3E">
      <w:pPr>
        <w:pStyle w:val="NoSpacing"/>
        <w:rPr>
          <w:sz w:val="32"/>
          <w:szCs w:val="32"/>
          <w:lang w:val="es-PR"/>
        </w:rPr>
      </w:pPr>
      <w:r w:rsidRPr="00981F3E">
        <w:rPr>
          <w:sz w:val="32"/>
          <w:szCs w:val="32"/>
          <w:lang w:val="es-PR"/>
        </w:rPr>
        <w:t>compañía u otro servicio de transporte público o de computad</w:t>
      </w:r>
      <w:r w:rsidR="00722EB5">
        <w:rPr>
          <w:sz w:val="32"/>
          <w:szCs w:val="32"/>
          <w:lang w:val="es-PR"/>
        </w:rPr>
        <w:t xml:space="preserve">ora interactivo” para enviar </w:t>
      </w:r>
      <w:proofErr w:type="gramStart"/>
      <w:r w:rsidR="00722EB5">
        <w:rPr>
          <w:sz w:val="32"/>
          <w:szCs w:val="32"/>
          <w:lang w:val="es-PR"/>
        </w:rPr>
        <w:t xml:space="preserve">un </w:t>
      </w:r>
      <w:r w:rsidRPr="00981F3E">
        <w:rPr>
          <w:sz w:val="32"/>
          <w:szCs w:val="32"/>
          <w:lang w:val="es-PR"/>
        </w:rPr>
        <w:t>droga</w:t>
      </w:r>
      <w:proofErr w:type="gramEnd"/>
      <w:r w:rsidRPr="00981F3E">
        <w:rPr>
          <w:sz w:val="32"/>
          <w:szCs w:val="32"/>
          <w:lang w:val="es-PR"/>
        </w:rPr>
        <w:t>. . . por producir el aborto”. 18 US</w:t>
      </w:r>
      <w:r w:rsidR="00722EB5">
        <w:rPr>
          <w:sz w:val="32"/>
          <w:szCs w:val="32"/>
          <w:lang w:val="es-PR"/>
        </w:rPr>
        <w:t xml:space="preserve">C § 1462 (c). Ver Alianza, 2023 </w:t>
      </w:r>
      <w:r w:rsidRPr="00981F3E">
        <w:rPr>
          <w:sz w:val="32"/>
          <w:szCs w:val="32"/>
          <w:lang w:val="es-PR"/>
        </w:rPr>
        <w:t>WL 2913725, en *20 (“</w:t>
      </w:r>
      <w:proofErr w:type="spellStart"/>
      <w:r w:rsidRPr="00981F3E">
        <w:rPr>
          <w:sz w:val="32"/>
          <w:szCs w:val="32"/>
          <w:lang w:val="es-PR"/>
        </w:rPr>
        <w:t>Danco</w:t>
      </w:r>
      <w:proofErr w:type="spellEnd"/>
      <w:r w:rsidRPr="00981F3E">
        <w:rPr>
          <w:sz w:val="32"/>
          <w:szCs w:val="32"/>
          <w:lang w:val="es-PR"/>
        </w:rPr>
        <w:t xml:space="preserve"> no tiene ningún interé</w:t>
      </w:r>
      <w:r w:rsidR="00722EB5">
        <w:rPr>
          <w:sz w:val="32"/>
          <w:szCs w:val="32"/>
          <w:lang w:val="es-PR"/>
        </w:rPr>
        <w:t xml:space="preserve">s en continuar violando la ley, </w:t>
      </w:r>
      <w:r w:rsidRPr="00981F3E">
        <w:rPr>
          <w:sz w:val="32"/>
          <w:szCs w:val="32"/>
          <w:lang w:val="es-PR"/>
        </w:rPr>
        <w:t xml:space="preserve">cual . . . lo hace cada vez que envía </w:t>
      </w:r>
      <w:proofErr w:type="spellStart"/>
      <w:r w:rsidRPr="00981F3E">
        <w:rPr>
          <w:sz w:val="32"/>
          <w:szCs w:val="32"/>
          <w:lang w:val="es-PR"/>
        </w:rPr>
        <w:t>m</w:t>
      </w:r>
      <w:r w:rsidR="00722EB5">
        <w:rPr>
          <w:sz w:val="32"/>
          <w:szCs w:val="32"/>
          <w:lang w:val="es-PR"/>
        </w:rPr>
        <w:t>ifepristona</w:t>
      </w:r>
      <w:proofErr w:type="spellEnd"/>
      <w:r w:rsidR="00722EB5">
        <w:rPr>
          <w:sz w:val="32"/>
          <w:szCs w:val="32"/>
          <w:lang w:val="es-PR"/>
        </w:rPr>
        <w:t xml:space="preserve">”); Alianza, 2023 WL </w:t>
      </w:r>
      <w:r w:rsidRPr="00981F3E">
        <w:rPr>
          <w:sz w:val="32"/>
          <w:szCs w:val="32"/>
          <w:lang w:val="es-PR"/>
        </w:rPr>
        <w:t xml:space="preserve">2825871, en *18 ("[L]a Ley </w:t>
      </w:r>
      <w:proofErr w:type="spellStart"/>
      <w:r w:rsidRPr="00981F3E">
        <w:rPr>
          <w:sz w:val="32"/>
          <w:szCs w:val="32"/>
          <w:lang w:val="es-PR"/>
        </w:rPr>
        <w:t>Comstock</w:t>
      </w:r>
      <w:proofErr w:type="spellEnd"/>
      <w:r w:rsidRPr="00981F3E">
        <w:rPr>
          <w:sz w:val="32"/>
          <w:szCs w:val="32"/>
          <w:lang w:val="es-PR"/>
        </w:rPr>
        <w:t xml:space="preserve"> excluye claramente los pedidos por c</w:t>
      </w:r>
      <w:r w:rsidR="00722EB5">
        <w:rPr>
          <w:sz w:val="32"/>
          <w:szCs w:val="32"/>
          <w:lang w:val="es-PR"/>
        </w:rPr>
        <w:t xml:space="preserve">orreo </w:t>
      </w:r>
      <w:r w:rsidRPr="00981F3E">
        <w:rPr>
          <w:sz w:val="32"/>
          <w:szCs w:val="32"/>
          <w:lang w:val="es-PR"/>
        </w:rPr>
        <w:t xml:space="preserve">aborto."); Texas v. Becerra, 623 F. </w:t>
      </w:r>
      <w:proofErr w:type="spellStart"/>
      <w:r w:rsidRPr="00981F3E">
        <w:rPr>
          <w:sz w:val="32"/>
          <w:szCs w:val="32"/>
          <w:lang w:val="es-PR"/>
        </w:rPr>
        <w:t>Supl</w:t>
      </w:r>
      <w:proofErr w:type="spellEnd"/>
      <w:r w:rsidRPr="00981F3E">
        <w:rPr>
          <w:sz w:val="32"/>
          <w:szCs w:val="32"/>
          <w:lang w:val="es-PR"/>
        </w:rPr>
        <w:t>. 3d 696, 733 (ND Tex. 2022)</w:t>
      </w:r>
    </w:p>
    <w:p w:rsidR="00981F3E" w:rsidRPr="00981F3E" w:rsidRDefault="00981F3E" w:rsidP="00981F3E">
      <w:pPr>
        <w:pStyle w:val="NoSpacing"/>
        <w:rPr>
          <w:sz w:val="32"/>
          <w:szCs w:val="32"/>
          <w:lang w:val="es-PR"/>
        </w:rPr>
      </w:pPr>
      <w:r w:rsidRPr="00981F3E">
        <w:rPr>
          <w:sz w:val="32"/>
          <w:szCs w:val="32"/>
          <w:lang w:val="es-PR"/>
        </w:rPr>
        <w:t>(“[L]</w:t>
      </w:r>
      <w:proofErr w:type="spellStart"/>
      <w:r w:rsidRPr="00981F3E">
        <w:rPr>
          <w:sz w:val="32"/>
          <w:szCs w:val="32"/>
          <w:lang w:val="es-PR"/>
        </w:rPr>
        <w:t>ey</w:t>
      </w:r>
      <w:proofErr w:type="spellEnd"/>
      <w:r w:rsidRPr="00981F3E">
        <w:rPr>
          <w:sz w:val="32"/>
          <w:szCs w:val="32"/>
          <w:lang w:val="es-PR"/>
        </w:rPr>
        <w:t xml:space="preserve"> federal </w:t>
      </w:r>
      <w:proofErr w:type="spellStart"/>
      <w:r w:rsidRPr="00981F3E">
        <w:rPr>
          <w:sz w:val="32"/>
          <w:szCs w:val="32"/>
          <w:lang w:val="es-PR"/>
        </w:rPr>
        <w:t>prohib</w:t>
      </w:r>
      <w:proofErr w:type="spellEnd"/>
      <w:r w:rsidRPr="00981F3E">
        <w:rPr>
          <w:sz w:val="32"/>
          <w:szCs w:val="32"/>
          <w:lang w:val="es-PR"/>
        </w:rPr>
        <w:t xml:space="preserve">[e] la importación o entrega de . . . medicamentos </w:t>
      </w:r>
      <w:proofErr w:type="spellStart"/>
      <w:r w:rsidRPr="00981F3E">
        <w:rPr>
          <w:sz w:val="32"/>
          <w:szCs w:val="32"/>
          <w:lang w:val="es-PR"/>
        </w:rPr>
        <w:t>diseñadospara</w:t>
      </w:r>
      <w:proofErr w:type="spellEnd"/>
      <w:r w:rsidRPr="00981F3E">
        <w:rPr>
          <w:sz w:val="32"/>
          <w:szCs w:val="32"/>
          <w:lang w:val="es-PR"/>
        </w:rPr>
        <w:t xml:space="preserve"> producir un aborto”) (citando 18 U.S.C. § 1461).</w:t>
      </w:r>
    </w:p>
    <w:p w:rsidR="00981F3E" w:rsidRPr="00981F3E" w:rsidRDefault="00981F3E" w:rsidP="00981F3E">
      <w:pPr>
        <w:pStyle w:val="NoSpacing"/>
        <w:rPr>
          <w:sz w:val="32"/>
          <w:szCs w:val="32"/>
          <w:lang w:val="es-PR"/>
        </w:rPr>
      </w:pPr>
      <w:r w:rsidRPr="00981F3E">
        <w:rPr>
          <w:sz w:val="32"/>
          <w:szCs w:val="32"/>
          <w:lang w:val="es-PR"/>
        </w:rPr>
        <w:t>B.</w:t>
      </w:r>
    </w:p>
    <w:p w:rsidR="00981F3E" w:rsidRDefault="00981F3E" w:rsidP="00981F3E">
      <w:pPr>
        <w:pStyle w:val="NoSpacing"/>
        <w:rPr>
          <w:sz w:val="32"/>
          <w:szCs w:val="32"/>
          <w:lang w:val="es-PR"/>
        </w:rPr>
      </w:pPr>
      <w:r w:rsidRPr="00981F3E">
        <w:rPr>
          <w:sz w:val="32"/>
          <w:szCs w:val="32"/>
          <w:lang w:val="es-PR"/>
        </w:rPr>
        <w:t xml:space="preserve">  La FDA afirma varias consideraciones </w:t>
      </w:r>
      <w:proofErr w:type="spellStart"/>
      <w:r w:rsidRPr="00981F3E">
        <w:rPr>
          <w:sz w:val="32"/>
          <w:szCs w:val="32"/>
          <w:lang w:val="es-PR"/>
        </w:rPr>
        <w:t>atext</w:t>
      </w:r>
      <w:r w:rsidR="00722EB5">
        <w:rPr>
          <w:sz w:val="32"/>
          <w:szCs w:val="32"/>
          <w:lang w:val="es-PR"/>
        </w:rPr>
        <w:t>uales</w:t>
      </w:r>
      <w:proofErr w:type="spellEnd"/>
      <w:r w:rsidR="00722EB5">
        <w:rPr>
          <w:sz w:val="32"/>
          <w:szCs w:val="32"/>
          <w:lang w:val="es-PR"/>
        </w:rPr>
        <w:t xml:space="preserve"> en un esfuerzo por evitar </w:t>
      </w:r>
      <w:r w:rsidRPr="00981F3E">
        <w:rPr>
          <w:sz w:val="32"/>
          <w:szCs w:val="32"/>
          <w:lang w:val="es-PR"/>
        </w:rPr>
        <w:t>el significado inequívoco de la Ley.</w:t>
      </w:r>
    </w:p>
    <w:p w:rsidR="00981F3E" w:rsidRDefault="00981F3E" w:rsidP="00981F3E">
      <w:pPr>
        <w:pStyle w:val="NoSpacing"/>
        <w:rPr>
          <w:sz w:val="32"/>
          <w:szCs w:val="32"/>
          <w:lang w:val="es-PR"/>
        </w:rPr>
      </w:pPr>
    </w:p>
    <w:p w:rsidR="00981F3E" w:rsidRPr="00981F3E" w:rsidRDefault="00981F3E" w:rsidP="00981F3E">
      <w:pPr>
        <w:pStyle w:val="NoSpacing"/>
        <w:rPr>
          <w:sz w:val="32"/>
          <w:szCs w:val="32"/>
          <w:lang w:val="es-PR"/>
        </w:rPr>
      </w:pPr>
      <w:r w:rsidRPr="00981F3E">
        <w:rPr>
          <w:sz w:val="32"/>
          <w:szCs w:val="32"/>
          <w:lang w:val="es-PR"/>
        </w:rPr>
        <w:t>En primer lugar, la FDA insta a que las disposiciones solo prohíban la distribución por</w:t>
      </w:r>
    </w:p>
    <w:p w:rsidR="00981F3E" w:rsidRPr="00981F3E" w:rsidRDefault="00981F3E" w:rsidP="00722EB5">
      <w:pPr>
        <w:pStyle w:val="NoSpacing"/>
        <w:rPr>
          <w:sz w:val="32"/>
          <w:szCs w:val="32"/>
          <w:lang w:val="es-PR"/>
        </w:rPr>
      </w:pPr>
      <w:r w:rsidRPr="00981F3E">
        <w:rPr>
          <w:sz w:val="32"/>
          <w:szCs w:val="32"/>
          <w:lang w:val="es-PR"/>
        </w:rPr>
        <w:t>USPS y transportista común, y no por transportista priva</w:t>
      </w:r>
      <w:r w:rsidR="00722EB5">
        <w:rPr>
          <w:sz w:val="32"/>
          <w:szCs w:val="32"/>
          <w:lang w:val="es-PR"/>
        </w:rPr>
        <w:t xml:space="preserve">do. Pero eso lee las </w:t>
      </w:r>
      <w:r w:rsidRPr="00981F3E">
        <w:rPr>
          <w:sz w:val="32"/>
          <w:szCs w:val="32"/>
          <w:lang w:val="es-PR"/>
        </w:rPr>
        <w:t>palabras “servicio de computadora interactiva” fuer</w:t>
      </w:r>
      <w:r w:rsidR="00722EB5">
        <w:rPr>
          <w:sz w:val="32"/>
          <w:szCs w:val="32"/>
          <w:lang w:val="es-PR"/>
        </w:rPr>
        <w:t xml:space="preserve">a del estatuto. La Ley </w:t>
      </w:r>
      <w:proofErr w:type="spellStart"/>
      <w:r w:rsidR="00722EB5">
        <w:rPr>
          <w:sz w:val="32"/>
          <w:szCs w:val="32"/>
          <w:lang w:val="es-PR"/>
        </w:rPr>
        <w:t>Comstock</w:t>
      </w:r>
      <w:proofErr w:type="spellEnd"/>
      <w:r w:rsidR="00722EB5">
        <w:rPr>
          <w:sz w:val="32"/>
          <w:szCs w:val="32"/>
          <w:lang w:val="es-PR"/>
        </w:rPr>
        <w:t xml:space="preserve"> </w:t>
      </w:r>
      <w:r w:rsidRPr="00981F3E">
        <w:rPr>
          <w:sz w:val="32"/>
          <w:szCs w:val="32"/>
          <w:lang w:val="es-PR"/>
        </w:rPr>
        <w:t>prohíbe el uso de “cualquier compañía expresa u otro tr</w:t>
      </w:r>
      <w:r w:rsidR="00722EB5">
        <w:rPr>
          <w:sz w:val="32"/>
          <w:szCs w:val="32"/>
          <w:lang w:val="es-PR"/>
        </w:rPr>
        <w:t xml:space="preserve">ansportista común o interactivo </w:t>
      </w:r>
      <w:r w:rsidRPr="00981F3E">
        <w:rPr>
          <w:sz w:val="32"/>
          <w:szCs w:val="32"/>
          <w:lang w:val="es-PR"/>
        </w:rPr>
        <w:t>servicio informático” para el transporte de abortivos. 18 USC § 14</w:t>
      </w:r>
      <w:r w:rsidR="00722EB5">
        <w:rPr>
          <w:sz w:val="32"/>
          <w:szCs w:val="32"/>
          <w:lang w:val="es-PR"/>
        </w:rPr>
        <w:t xml:space="preserve">62. Como </w:t>
      </w:r>
      <w:r w:rsidRPr="00981F3E">
        <w:rPr>
          <w:sz w:val="32"/>
          <w:szCs w:val="32"/>
          <w:lang w:val="es-PR"/>
        </w:rPr>
        <w:t>Cuestión práctica, todos los operadores de hoy, incluidos los ope</w:t>
      </w:r>
      <w:r w:rsidR="00722EB5">
        <w:rPr>
          <w:sz w:val="32"/>
          <w:szCs w:val="32"/>
          <w:lang w:val="es-PR"/>
        </w:rPr>
        <w:t xml:space="preserve">radores privados, usan en </w:t>
      </w:r>
    </w:p>
    <w:p w:rsidR="00722EB5" w:rsidRDefault="00981F3E" w:rsidP="00981F3E">
      <w:pPr>
        <w:pStyle w:val="NoSpacing"/>
        <w:rPr>
          <w:sz w:val="32"/>
          <w:szCs w:val="32"/>
          <w:lang w:val="es-PR"/>
        </w:rPr>
      </w:pPr>
      <w:r w:rsidRPr="00981F3E">
        <w:rPr>
          <w:sz w:val="32"/>
          <w:szCs w:val="32"/>
          <w:lang w:val="es-PR"/>
        </w:rPr>
        <w:t xml:space="preserve">  </w:t>
      </w:r>
    </w:p>
    <w:p w:rsidR="00981F3E" w:rsidRPr="00981F3E" w:rsidRDefault="00981F3E" w:rsidP="00981F3E">
      <w:pPr>
        <w:pStyle w:val="NoSpacing"/>
        <w:rPr>
          <w:sz w:val="32"/>
          <w:szCs w:val="32"/>
          <w:lang w:val="es-PR"/>
        </w:rPr>
      </w:pPr>
      <w:r w:rsidRPr="00981F3E">
        <w:rPr>
          <w:sz w:val="32"/>
          <w:szCs w:val="32"/>
          <w:lang w:val="es-PR"/>
        </w:rPr>
        <w:t xml:space="preserve">A continuación, la FDA afirma que la Ley </w:t>
      </w:r>
      <w:proofErr w:type="spellStart"/>
      <w:r w:rsidRPr="00981F3E">
        <w:rPr>
          <w:sz w:val="32"/>
          <w:szCs w:val="32"/>
          <w:lang w:val="es-PR"/>
        </w:rPr>
        <w:t>Comstock</w:t>
      </w:r>
      <w:proofErr w:type="spellEnd"/>
      <w:r w:rsidRPr="00981F3E">
        <w:rPr>
          <w:sz w:val="32"/>
          <w:szCs w:val="32"/>
          <w:lang w:val="es-PR"/>
        </w:rPr>
        <w:t xml:space="preserve"> prohíbe enviar</w:t>
      </w:r>
    </w:p>
    <w:p w:rsidR="00981F3E" w:rsidRPr="00981F3E" w:rsidRDefault="00981F3E" w:rsidP="00981F3E">
      <w:pPr>
        <w:pStyle w:val="NoSpacing"/>
        <w:rPr>
          <w:sz w:val="32"/>
          <w:szCs w:val="32"/>
          <w:lang w:val="es-PR"/>
        </w:rPr>
      </w:pPr>
      <w:r w:rsidRPr="00981F3E">
        <w:rPr>
          <w:sz w:val="32"/>
          <w:szCs w:val="32"/>
          <w:lang w:val="es-PR"/>
        </w:rPr>
        <w:t>abortivos solo cuando se usan en violación de la ley estatal. Apoyar</w:t>
      </w:r>
    </w:p>
    <w:p w:rsidR="00981F3E" w:rsidRPr="00981F3E" w:rsidRDefault="00981F3E" w:rsidP="00981F3E">
      <w:pPr>
        <w:pStyle w:val="NoSpacing"/>
        <w:rPr>
          <w:sz w:val="32"/>
          <w:szCs w:val="32"/>
          <w:lang w:val="es-PR"/>
        </w:rPr>
      </w:pPr>
      <w:r w:rsidRPr="00981F3E">
        <w:rPr>
          <w:sz w:val="32"/>
          <w:szCs w:val="32"/>
          <w:lang w:val="es-PR"/>
        </w:rPr>
        <w:t>esta teoría, se basa en un puñado de casos de principio</w:t>
      </w:r>
      <w:r w:rsidR="00722EB5">
        <w:rPr>
          <w:sz w:val="32"/>
          <w:szCs w:val="32"/>
          <w:lang w:val="es-PR"/>
        </w:rPr>
        <w:t xml:space="preserve">s del siglo XX fuera de </w:t>
      </w:r>
      <w:proofErr w:type="gramStart"/>
      <w:r w:rsidR="00722EB5">
        <w:rPr>
          <w:sz w:val="32"/>
          <w:szCs w:val="32"/>
          <w:lang w:val="es-PR"/>
        </w:rPr>
        <w:t xml:space="preserve">nuestra </w:t>
      </w:r>
      <w:r w:rsidRPr="00981F3E">
        <w:rPr>
          <w:sz w:val="32"/>
          <w:szCs w:val="32"/>
          <w:lang w:val="es-PR"/>
        </w:rPr>
        <w:t>circuito</w:t>
      </w:r>
      <w:proofErr w:type="gramEnd"/>
      <w:r w:rsidRPr="00981F3E">
        <w:rPr>
          <w:sz w:val="32"/>
          <w:szCs w:val="32"/>
          <w:lang w:val="es-PR"/>
        </w:rPr>
        <w:t xml:space="preserve">. Ver Aplicación de la Ley </w:t>
      </w:r>
      <w:proofErr w:type="spellStart"/>
      <w:r w:rsidRPr="00981F3E">
        <w:rPr>
          <w:sz w:val="32"/>
          <w:szCs w:val="32"/>
          <w:lang w:val="es-PR"/>
        </w:rPr>
        <w:t>Comstock</w:t>
      </w:r>
      <w:proofErr w:type="spellEnd"/>
      <w:r w:rsidRPr="00981F3E">
        <w:rPr>
          <w:sz w:val="32"/>
          <w:szCs w:val="32"/>
          <w:lang w:val="es-PR"/>
        </w:rPr>
        <w:t xml:space="preserve"> al Envío de </w:t>
      </w:r>
      <w:r w:rsidRPr="00981F3E">
        <w:rPr>
          <w:sz w:val="32"/>
          <w:szCs w:val="32"/>
          <w:lang w:val="es-PR"/>
        </w:rPr>
        <w:lastRenderedPageBreak/>
        <w:t>Medi</w:t>
      </w:r>
      <w:r w:rsidR="00722EB5">
        <w:rPr>
          <w:sz w:val="32"/>
          <w:szCs w:val="32"/>
          <w:lang w:val="es-PR"/>
        </w:rPr>
        <w:t xml:space="preserve">camentos Recetados </w:t>
      </w:r>
      <w:r w:rsidRPr="00981F3E">
        <w:rPr>
          <w:sz w:val="32"/>
          <w:szCs w:val="32"/>
          <w:lang w:val="es-PR"/>
        </w:rPr>
        <w:t xml:space="preserve">que puede usarse para abortos, 46 </w:t>
      </w:r>
      <w:proofErr w:type="spellStart"/>
      <w:r w:rsidRPr="00981F3E">
        <w:rPr>
          <w:sz w:val="32"/>
          <w:szCs w:val="32"/>
          <w:lang w:val="es-PR"/>
        </w:rPr>
        <w:t>op</w:t>
      </w:r>
      <w:proofErr w:type="spellEnd"/>
      <w:r w:rsidRPr="00981F3E">
        <w:rPr>
          <w:sz w:val="32"/>
          <w:szCs w:val="32"/>
          <w:lang w:val="es-PR"/>
        </w:rPr>
        <w:t>. O.L.C.</w:t>
      </w:r>
      <w:r w:rsidR="00722EB5">
        <w:rPr>
          <w:sz w:val="32"/>
          <w:szCs w:val="32"/>
          <w:lang w:val="es-PR"/>
        </w:rPr>
        <w:t xml:space="preserve"> _, _ (23 de diciembre de 2022) </w:t>
      </w:r>
      <w:r w:rsidRPr="00981F3E">
        <w:rPr>
          <w:sz w:val="32"/>
          <w:szCs w:val="32"/>
          <w:lang w:val="es-PR"/>
        </w:rPr>
        <w:t>(colección de casos).</w:t>
      </w:r>
    </w:p>
    <w:p w:rsidR="00722EB5" w:rsidRDefault="00722EB5" w:rsidP="00981F3E">
      <w:pPr>
        <w:pStyle w:val="NoSpacing"/>
        <w:rPr>
          <w:sz w:val="32"/>
          <w:szCs w:val="32"/>
          <w:lang w:val="es-PR"/>
        </w:rPr>
      </w:pPr>
    </w:p>
    <w:p w:rsidR="00981F3E" w:rsidRPr="00981F3E" w:rsidRDefault="00981F3E" w:rsidP="00981F3E">
      <w:pPr>
        <w:pStyle w:val="NoSpacing"/>
        <w:rPr>
          <w:sz w:val="32"/>
          <w:szCs w:val="32"/>
          <w:lang w:val="es-PR"/>
        </w:rPr>
      </w:pPr>
      <w:r w:rsidRPr="00981F3E">
        <w:rPr>
          <w:sz w:val="32"/>
          <w:szCs w:val="32"/>
          <w:lang w:val="es-PR"/>
        </w:rPr>
        <w:t xml:space="preserve">Pero el caso más antiguo que cita, </w:t>
      </w:r>
      <w:proofErr w:type="spellStart"/>
      <w:r w:rsidRPr="00981F3E">
        <w:rPr>
          <w:sz w:val="32"/>
          <w:szCs w:val="32"/>
          <w:lang w:val="es-PR"/>
        </w:rPr>
        <w:t>Bours</w:t>
      </w:r>
      <w:proofErr w:type="spellEnd"/>
      <w:r w:rsidRPr="00981F3E">
        <w:rPr>
          <w:sz w:val="32"/>
          <w:szCs w:val="32"/>
          <w:lang w:val="es-PR"/>
        </w:rPr>
        <w:t xml:space="preserve"> v. </w:t>
      </w:r>
      <w:proofErr w:type="spellStart"/>
      <w:r w:rsidRPr="00981F3E">
        <w:rPr>
          <w:sz w:val="32"/>
          <w:szCs w:val="32"/>
          <w:lang w:val="es-PR"/>
        </w:rPr>
        <w:t>United</w:t>
      </w:r>
      <w:proofErr w:type="spellEnd"/>
      <w:r w:rsidRPr="00981F3E">
        <w:rPr>
          <w:sz w:val="32"/>
          <w:szCs w:val="32"/>
          <w:lang w:val="es-PR"/>
        </w:rPr>
        <w:t xml:space="preserve"> </w:t>
      </w:r>
      <w:proofErr w:type="spellStart"/>
      <w:r w:rsidRPr="00981F3E">
        <w:rPr>
          <w:sz w:val="32"/>
          <w:szCs w:val="32"/>
          <w:lang w:val="es-PR"/>
        </w:rPr>
        <w:t>States</w:t>
      </w:r>
      <w:proofErr w:type="spellEnd"/>
      <w:r w:rsidRPr="00981F3E">
        <w:rPr>
          <w:sz w:val="32"/>
          <w:szCs w:val="32"/>
          <w:lang w:val="es-PR"/>
        </w:rPr>
        <w:t xml:space="preserve">, rechaza la posición de la FDA. </w:t>
      </w:r>
      <w:proofErr w:type="spellStart"/>
      <w:r w:rsidRPr="00981F3E">
        <w:rPr>
          <w:sz w:val="32"/>
          <w:szCs w:val="32"/>
          <w:lang w:val="es-PR"/>
        </w:rPr>
        <w:t>Bours</w:t>
      </w:r>
      <w:proofErr w:type="spellEnd"/>
      <w:r w:rsidRPr="00981F3E">
        <w:rPr>
          <w:sz w:val="32"/>
          <w:szCs w:val="32"/>
          <w:lang w:val="es-PR"/>
        </w:rPr>
        <w:t xml:space="preserve"> dice que “es indiferente lo que</w:t>
      </w:r>
    </w:p>
    <w:p w:rsidR="00981F3E" w:rsidRPr="00981F3E" w:rsidRDefault="00981F3E" w:rsidP="00981F3E">
      <w:pPr>
        <w:pStyle w:val="NoSpacing"/>
        <w:rPr>
          <w:sz w:val="32"/>
          <w:szCs w:val="32"/>
          <w:lang w:val="es-PR"/>
        </w:rPr>
      </w:pPr>
      <w:r w:rsidRPr="00981F3E">
        <w:rPr>
          <w:sz w:val="32"/>
          <w:szCs w:val="32"/>
          <w:lang w:val="es-PR"/>
        </w:rPr>
        <w:t>la definición legal local de aborto es qué a</w:t>
      </w:r>
      <w:r w:rsidR="00722EB5">
        <w:rPr>
          <w:sz w:val="32"/>
          <w:szCs w:val="32"/>
          <w:lang w:val="es-PR"/>
        </w:rPr>
        <w:t xml:space="preserve">ctos de aborto están incluidos, </w:t>
      </w:r>
      <w:r w:rsidRPr="00981F3E">
        <w:rPr>
          <w:sz w:val="32"/>
          <w:szCs w:val="32"/>
          <w:lang w:val="es-PR"/>
        </w:rPr>
        <w:t>o lo que excluyó.” Identificación. en 964. Más b</w:t>
      </w:r>
      <w:r w:rsidR="00722EB5">
        <w:rPr>
          <w:sz w:val="32"/>
          <w:szCs w:val="32"/>
          <w:lang w:val="es-PR"/>
        </w:rPr>
        <w:t xml:space="preserve">ien, “la palabra ‘aborto’ en el </w:t>
      </w:r>
      <w:r w:rsidRPr="00981F3E">
        <w:rPr>
          <w:sz w:val="32"/>
          <w:szCs w:val="32"/>
          <w:lang w:val="es-PR"/>
        </w:rPr>
        <w:t>estatuto debe tomarse en su sentido médico general”. Identificación. Y “[e]s inclus</w:t>
      </w:r>
      <w:r w:rsidR="00722EB5">
        <w:rPr>
          <w:sz w:val="32"/>
          <w:szCs w:val="32"/>
          <w:lang w:val="es-PR"/>
        </w:rPr>
        <w:t xml:space="preserve">ión </w:t>
      </w:r>
      <w:r w:rsidRPr="00981F3E">
        <w:rPr>
          <w:sz w:val="32"/>
          <w:szCs w:val="32"/>
          <w:lang w:val="es-PR"/>
        </w:rPr>
        <w:t xml:space="preserve">en el estatuto que rige el uso de los correos </w:t>
      </w:r>
      <w:r w:rsidR="00722EB5">
        <w:rPr>
          <w:sz w:val="32"/>
          <w:szCs w:val="32"/>
          <w:lang w:val="es-PR"/>
        </w:rPr>
        <w:t xml:space="preserve">indica una política nacional de </w:t>
      </w:r>
      <w:r w:rsidRPr="00981F3E">
        <w:rPr>
          <w:sz w:val="32"/>
          <w:szCs w:val="32"/>
          <w:lang w:val="es-PR"/>
        </w:rPr>
        <w:t xml:space="preserve">desacreditando el aborto como enemigo de la vida nacional”. Identificación. Bajo </w:t>
      </w:r>
      <w:proofErr w:type="spellStart"/>
      <w:r w:rsidRPr="00981F3E">
        <w:rPr>
          <w:sz w:val="32"/>
          <w:szCs w:val="32"/>
          <w:lang w:val="es-PR"/>
        </w:rPr>
        <w:t>Bours</w:t>
      </w:r>
      <w:proofErr w:type="spellEnd"/>
      <w:r w:rsidRPr="00981F3E">
        <w:rPr>
          <w:sz w:val="32"/>
          <w:szCs w:val="32"/>
          <w:lang w:val="es-PR"/>
        </w:rPr>
        <w:t>,</w:t>
      </w:r>
    </w:p>
    <w:p w:rsidR="00981F3E" w:rsidRPr="00981F3E" w:rsidRDefault="00981F3E" w:rsidP="00981F3E">
      <w:pPr>
        <w:pStyle w:val="NoSpacing"/>
        <w:rPr>
          <w:sz w:val="32"/>
          <w:szCs w:val="32"/>
          <w:lang w:val="es-PR"/>
        </w:rPr>
      </w:pPr>
      <w:r w:rsidRPr="00981F3E">
        <w:rPr>
          <w:sz w:val="32"/>
          <w:szCs w:val="32"/>
          <w:lang w:val="es-PR"/>
        </w:rPr>
        <w:t>la definición de “aborto” de la Ley excluye “operación[es]” que son</w:t>
      </w:r>
    </w:p>
    <w:p w:rsidR="00981F3E" w:rsidRPr="00981F3E" w:rsidRDefault="00981F3E" w:rsidP="00981F3E">
      <w:pPr>
        <w:pStyle w:val="NoSpacing"/>
        <w:rPr>
          <w:sz w:val="32"/>
          <w:szCs w:val="32"/>
          <w:lang w:val="es-PR"/>
        </w:rPr>
      </w:pPr>
      <w:r w:rsidRPr="00981F3E">
        <w:rPr>
          <w:sz w:val="32"/>
          <w:szCs w:val="32"/>
          <w:lang w:val="es-PR"/>
        </w:rPr>
        <w:t>necesaria para “salvar la vida [de la madre]”. Identificación. Pero</w:t>
      </w:r>
      <w:r w:rsidR="00722EB5">
        <w:rPr>
          <w:sz w:val="32"/>
          <w:szCs w:val="32"/>
          <w:lang w:val="es-PR"/>
        </w:rPr>
        <w:t xml:space="preserve"> cualquiera que use los </w:t>
      </w:r>
      <w:proofErr w:type="spellStart"/>
      <w:proofErr w:type="gramStart"/>
      <w:r w:rsidR="00722EB5">
        <w:rPr>
          <w:sz w:val="32"/>
          <w:szCs w:val="32"/>
          <w:lang w:val="es-PR"/>
        </w:rPr>
        <w:t>correos</w:t>
      </w:r>
      <w:r w:rsidRPr="00981F3E">
        <w:rPr>
          <w:sz w:val="32"/>
          <w:szCs w:val="32"/>
          <w:lang w:val="es-PR"/>
        </w:rPr>
        <w:t>“</w:t>
      </w:r>
      <w:proofErr w:type="gramEnd"/>
      <w:r w:rsidRPr="00981F3E">
        <w:rPr>
          <w:sz w:val="32"/>
          <w:szCs w:val="32"/>
          <w:lang w:val="es-PR"/>
        </w:rPr>
        <w:t>destruir</w:t>
      </w:r>
      <w:proofErr w:type="spellEnd"/>
      <w:r w:rsidRPr="00981F3E">
        <w:rPr>
          <w:sz w:val="32"/>
          <w:szCs w:val="32"/>
          <w:lang w:val="es-PR"/>
        </w:rPr>
        <w:t xml:space="preserve"> [] la vida” viola el estatuto. Identificación.</w:t>
      </w:r>
    </w:p>
    <w:p w:rsidR="00981F3E" w:rsidRPr="00981F3E" w:rsidRDefault="00981F3E" w:rsidP="00722EB5">
      <w:pPr>
        <w:pStyle w:val="NoSpacing"/>
        <w:rPr>
          <w:sz w:val="32"/>
          <w:szCs w:val="32"/>
          <w:lang w:val="es-PR"/>
        </w:rPr>
      </w:pPr>
      <w:r w:rsidRPr="00981F3E">
        <w:rPr>
          <w:sz w:val="32"/>
          <w:szCs w:val="32"/>
          <w:lang w:val="es-PR"/>
        </w:rPr>
        <w:t xml:space="preserve">  Entonces, la FDA no puede invocar el canon de con</w:t>
      </w:r>
      <w:r w:rsidR="00722EB5">
        <w:rPr>
          <w:sz w:val="32"/>
          <w:szCs w:val="32"/>
          <w:lang w:val="es-PR"/>
        </w:rPr>
        <w:t xml:space="preserve">strucción previa. debajo de </w:t>
      </w:r>
      <w:proofErr w:type="spellStart"/>
      <w:r w:rsidR="00722EB5">
        <w:rPr>
          <w:sz w:val="32"/>
          <w:szCs w:val="32"/>
          <w:lang w:val="es-PR"/>
        </w:rPr>
        <w:t>eso</w:t>
      </w:r>
      <w:r w:rsidRPr="00981F3E">
        <w:rPr>
          <w:sz w:val="32"/>
          <w:szCs w:val="32"/>
          <w:lang w:val="es-PR"/>
        </w:rPr>
        <w:t>canon</w:t>
      </w:r>
      <w:proofErr w:type="spellEnd"/>
      <w:r w:rsidRPr="00981F3E">
        <w:rPr>
          <w:sz w:val="32"/>
          <w:szCs w:val="32"/>
          <w:lang w:val="es-PR"/>
        </w:rPr>
        <w:t>, la nueva promulgación legislativa de un estatuto p</w:t>
      </w:r>
      <w:r w:rsidR="00722EB5">
        <w:rPr>
          <w:sz w:val="32"/>
          <w:szCs w:val="32"/>
          <w:lang w:val="es-PR"/>
        </w:rPr>
        <w:t xml:space="preserve">uede, bajo ciertas condiciones, ratificar efectivamente la </w:t>
      </w:r>
      <w:r w:rsidRPr="00981F3E">
        <w:rPr>
          <w:sz w:val="32"/>
          <w:szCs w:val="32"/>
          <w:lang w:val="es-PR"/>
        </w:rPr>
        <w:t>interpretación judicial p</w:t>
      </w:r>
      <w:r w:rsidR="00722EB5">
        <w:rPr>
          <w:sz w:val="32"/>
          <w:szCs w:val="32"/>
          <w:lang w:val="es-PR"/>
        </w:rPr>
        <w:t xml:space="preserve">reexistente y autorizada de ese </w:t>
      </w:r>
      <w:r w:rsidRPr="00981F3E">
        <w:rPr>
          <w:sz w:val="32"/>
          <w:szCs w:val="32"/>
          <w:lang w:val="es-PR"/>
        </w:rPr>
        <w:t xml:space="preserve">estatuto. Pero el canon requiere un consenso </w:t>
      </w:r>
      <w:r w:rsidR="00722EB5">
        <w:rPr>
          <w:sz w:val="32"/>
          <w:szCs w:val="32"/>
          <w:lang w:val="es-PR"/>
        </w:rPr>
        <w:t xml:space="preserve">judicial sólido, como “uniforme </w:t>
      </w:r>
      <w:r w:rsidRPr="00981F3E">
        <w:rPr>
          <w:sz w:val="32"/>
          <w:szCs w:val="32"/>
          <w:lang w:val="es-PR"/>
        </w:rPr>
        <w:t>decisiones de los tribunales inferiores</w:t>
      </w:r>
    </w:p>
    <w:p w:rsidR="00981F3E" w:rsidRPr="00981F3E" w:rsidRDefault="00981F3E" w:rsidP="00981F3E">
      <w:pPr>
        <w:pStyle w:val="NoSpacing"/>
        <w:rPr>
          <w:sz w:val="32"/>
          <w:szCs w:val="32"/>
        </w:rPr>
      </w:pPr>
      <w:r w:rsidRPr="00981F3E">
        <w:rPr>
          <w:sz w:val="32"/>
          <w:szCs w:val="32"/>
        </w:rPr>
        <w:t>Communities Project, Inc., 576 U.S. 519, 536 (2015) (“</w:t>
      </w:r>
      <w:proofErr w:type="spellStart"/>
      <w:r w:rsidRPr="00981F3E">
        <w:rPr>
          <w:sz w:val="32"/>
          <w:szCs w:val="32"/>
        </w:rPr>
        <w:t>Congreso</w:t>
      </w:r>
      <w:proofErr w:type="spellEnd"/>
      <w:r w:rsidRPr="00981F3E">
        <w:rPr>
          <w:sz w:val="32"/>
          <w:szCs w:val="32"/>
        </w:rPr>
        <w:t xml:space="preserve"> </w:t>
      </w:r>
      <w:proofErr w:type="spellStart"/>
      <w:r w:rsidRPr="00981F3E">
        <w:rPr>
          <w:sz w:val="32"/>
          <w:szCs w:val="32"/>
        </w:rPr>
        <w:t>aceptado</w:t>
      </w:r>
      <w:proofErr w:type="spellEnd"/>
      <w:r w:rsidRPr="00981F3E">
        <w:rPr>
          <w:sz w:val="32"/>
          <w:szCs w:val="32"/>
        </w:rPr>
        <w:t xml:space="preserve"> y</w:t>
      </w:r>
    </w:p>
    <w:p w:rsidR="00981F3E" w:rsidRPr="00981F3E" w:rsidRDefault="00981F3E" w:rsidP="00981F3E">
      <w:pPr>
        <w:pStyle w:val="NoSpacing"/>
        <w:rPr>
          <w:sz w:val="32"/>
          <w:szCs w:val="32"/>
          <w:lang w:val="es-PR"/>
        </w:rPr>
      </w:pPr>
      <w:r w:rsidRPr="00981F3E">
        <w:rPr>
          <w:sz w:val="32"/>
          <w:szCs w:val="32"/>
          <w:lang w:val="es-PR"/>
        </w:rPr>
        <w:t>ratificó las decisiones unánimes de las Cortes de Apelaciones.”) (énfasis</w:t>
      </w:r>
    </w:p>
    <w:p w:rsidR="00981F3E" w:rsidRPr="00981F3E" w:rsidRDefault="00981F3E" w:rsidP="00981F3E">
      <w:pPr>
        <w:pStyle w:val="NoSpacing"/>
        <w:rPr>
          <w:sz w:val="32"/>
          <w:szCs w:val="32"/>
          <w:lang w:val="es-PR"/>
        </w:rPr>
      </w:pPr>
      <w:r w:rsidRPr="00981F3E">
        <w:rPr>
          <w:sz w:val="32"/>
          <w:szCs w:val="32"/>
          <w:lang w:val="es-PR"/>
        </w:rPr>
        <w:t>agregado). La FDA no puede reclamar tal cons</w:t>
      </w:r>
      <w:r w:rsidR="00722EB5">
        <w:rPr>
          <w:sz w:val="32"/>
          <w:szCs w:val="32"/>
          <w:lang w:val="es-PR"/>
        </w:rPr>
        <w:t>enso aquí. Por el contrario, el</w:t>
      </w:r>
      <w:r w:rsidRPr="00981F3E">
        <w:rPr>
          <w:sz w:val="32"/>
          <w:szCs w:val="32"/>
          <w:lang w:val="es-PR"/>
        </w:rPr>
        <w:t xml:space="preserve">los circuitos estaban, en el mejor de los casos, divididos. </w:t>
      </w:r>
      <w:proofErr w:type="spellStart"/>
      <w:r w:rsidRPr="00981F3E">
        <w:rPr>
          <w:sz w:val="32"/>
          <w:szCs w:val="32"/>
          <w:lang w:val="es-PR"/>
        </w:rPr>
        <w:t>Bours</w:t>
      </w:r>
      <w:proofErr w:type="spellEnd"/>
      <w:r w:rsidRPr="00981F3E">
        <w:rPr>
          <w:sz w:val="32"/>
          <w:szCs w:val="32"/>
          <w:lang w:val="es-PR"/>
        </w:rPr>
        <w:t xml:space="preserve"> rechaza la lectura del estatuto por parte de la FDA.</w:t>
      </w:r>
    </w:p>
    <w:p w:rsidR="00981F3E" w:rsidRPr="00981F3E" w:rsidRDefault="00981F3E" w:rsidP="00981F3E">
      <w:pPr>
        <w:pStyle w:val="NoSpacing"/>
        <w:rPr>
          <w:sz w:val="32"/>
          <w:szCs w:val="32"/>
          <w:lang w:val="es-PR"/>
        </w:rPr>
      </w:pPr>
      <w:r w:rsidRPr="00981F3E">
        <w:rPr>
          <w:sz w:val="32"/>
          <w:szCs w:val="32"/>
          <w:lang w:val="es-PR"/>
        </w:rPr>
        <w:t xml:space="preserve">Y el escrito </w:t>
      </w:r>
      <w:proofErr w:type="spellStart"/>
      <w:r w:rsidRPr="00981F3E">
        <w:rPr>
          <w:sz w:val="32"/>
          <w:szCs w:val="32"/>
          <w:lang w:val="es-PR"/>
        </w:rPr>
        <w:t>amicus</w:t>
      </w:r>
      <w:proofErr w:type="spellEnd"/>
      <w:r w:rsidRPr="00981F3E">
        <w:rPr>
          <w:sz w:val="32"/>
          <w:szCs w:val="32"/>
          <w:lang w:val="es-PR"/>
        </w:rPr>
        <w:t xml:space="preserve"> </w:t>
      </w:r>
      <w:proofErr w:type="spellStart"/>
      <w:r w:rsidRPr="00981F3E">
        <w:rPr>
          <w:sz w:val="32"/>
          <w:szCs w:val="32"/>
          <w:lang w:val="es-PR"/>
        </w:rPr>
        <w:t>curiae</w:t>
      </w:r>
      <w:proofErr w:type="spellEnd"/>
      <w:r w:rsidRPr="00981F3E">
        <w:rPr>
          <w:sz w:val="32"/>
          <w:szCs w:val="32"/>
          <w:lang w:val="es-PR"/>
        </w:rPr>
        <w:t xml:space="preserve"> del Centro de Ética y </w:t>
      </w:r>
      <w:r w:rsidR="00722EB5">
        <w:rPr>
          <w:sz w:val="32"/>
          <w:szCs w:val="32"/>
          <w:lang w:val="es-PR"/>
        </w:rPr>
        <w:t xml:space="preserve">Políticas Públicas presenta </w:t>
      </w:r>
      <w:proofErr w:type="gramStart"/>
      <w:r w:rsidR="00722EB5">
        <w:rPr>
          <w:sz w:val="32"/>
          <w:szCs w:val="32"/>
          <w:lang w:val="es-PR"/>
        </w:rPr>
        <w:t xml:space="preserve">una </w:t>
      </w:r>
      <w:r w:rsidRPr="00981F3E">
        <w:rPr>
          <w:sz w:val="32"/>
          <w:szCs w:val="32"/>
          <w:lang w:val="es-PR"/>
        </w:rPr>
        <w:t>fuerte argumento</w:t>
      </w:r>
      <w:proofErr w:type="gramEnd"/>
      <w:r w:rsidRPr="00981F3E">
        <w:rPr>
          <w:sz w:val="32"/>
          <w:szCs w:val="32"/>
          <w:lang w:val="es-PR"/>
        </w:rPr>
        <w:t xml:space="preserve"> de que ningún tribunal de circuito adoptó la lectura de la FDA.</w:t>
      </w:r>
    </w:p>
    <w:p w:rsidR="00722EB5" w:rsidRDefault="00722EB5" w:rsidP="00981F3E">
      <w:pPr>
        <w:pStyle w:val="NoSpacing"/>
        <w:rPr>
          <w:sz w:val="32"/>
          <w:szCs w:val="32"/>
          <w:lang w:val="es-PR"/>
        </w:rPr>
      </w:pPr>
    </w:p>
    <w:p w:rsidR="00981F3E" w:rsidRPr="00981F3E" w:rsidRDefault="00981F3E" w:rsidP="00981F3E">
      <w:pPr>
        <w:pStyle w:val="NoSpacing"/>
        <w:rPr>
          <w:sz w:val="32"/>
          <w:szCs w:val="32"/>
          <w:lang w:val="es-PR"/>
        </w:rPr>
      </w:pPr>
      <w:r w:rsidRPr="00981F3E">
        <w:rPr>
          <w:sz w:val="32"/>
          <w:szCs w:val="32"/>
          <w:lang w:val="es-PR"/>
        </w:rPr>
        <w:t>Es más, el Congreso ciertamente sabía cómo prohibir solo aquellos</w:t>
      </w:r>
    </w:p>
    <w:p w:rsidR="00981F3E" w:rsidRPr="00981F3E" w:rsidRDefault="00981F3E" w:rsidP="00981F3E">
      <w:pPr>
        <w:pStyle w:val="NoSpacing"/>
        <w:rPr>
          <w:sz w:val="32"/>
          <w:szCs w:val="32"/>
          <w:lang w:val="es-PR"/>
        </w:rPr>
      </w:pPr>
      <w:r w:rsidRPr="00981F3E">
        <w:rPr>
          <w:sz w:val="32"/>
          <w:szCs w:val="32"/>
          <w:lang w:val="es-PR"/>
        </w:rPr>
        <w:lastRenderedPageBreak/>
        <w:t>abortivos usados para violar la ley estatal. La Ley Ar</w:t>
      </w:r>
      <w:r w:rsidR="00722EB5">
        <w:rPr>
          <w:sz w:val="32"/>
          <w:szCs w:val="32"/>
          <w:lang w:val="es-PR"/>
        </w:rPr>
        <w:t xml:space="preserve">ancelaria de 1930, por ejemplo, </w:t>
      </w:r>
      <w:r w:rsidRPr="00981F3E">
        <w:rPr>
          <w:sz w:val="32"/>
          <w:szCs w:val="32"/>
          <w:lang w:val="es-PR"/>
        </w:rPr>
        <w:t xml:space="preserve">prohíbe a todas las personas “importar . . . cualquier droga </w:t>
      </w:r>
      <w:r w:rsidR="00722EB5">
        <w:rPr>
          <w:sz w:val="32"/>
          <w:szCs w:val="32"/>
          <w:lang w:val="es-PR"/>
        </w:rPr>
        <w:t xml:space="preserve">o medicina o cualquier artículo </w:t>
      </w:r>
      <w:r w:rsidRPr="00981F3E">
        <w:rPr>
          <w:sz w:val="32"/>
          <w:szCs w:val="32"/>
          <w:lang w:val="es-PR"/>
        </w:rPr>
        <w:t>lo que sea por causar un aborto i</w:t>
      </w:r>
      <w:r w:rsidR="00722EB5">
        <w:rPr>
          <w:sz w:val="32"/>
          <w:szCs w:val="32"/>
          <w:lang w:val="es-PR"/>
        </w:rPr>
        <w:t xml:space="preserve">legal”. 19 USC § 1305 (énfasis </w:t>
      </w:r>
      <w:r w:rsidRPr="00981F3E">
        <w:rPr>
          <w:sz w:val="32"/>
          <w:szCs w:val="32"/>
          <w:lang w:val="es-PR"/>
        </w:rPr>
        <w:t xml:space="preserve">agregado). Véase también Ley de 17 de junio de 1930, cap. 497, </w:t>
      </w:r>
      <w:proofErr w:type="spellStart"/>
      <w:r w:rsidRPr="00981F3E">
        <w:rPr>
          <w:sz w:val="32"/>
          <w:szCs w:val="32"/>
          <w:lang w:val="es-PR"/>
        </w:rPr>
        <w:t>tit</w:t>
      </w:r>
      <w:proofErr w:type="spellEnd"/>
      <w:r w:rsidRPr="00981F3E">
        <w:rPr>
          <w:sz w:val="32"/>
          <w:szCs w:val="32"/>
          <w:lang w:val="es-PR"/>
        </w:rPr>
        <w:t>.</w:t>
      </w:r>
      <w:r w:rsidR="00722EB5">
        <w:rPr>
          <w:sz w:val="32"/>
          <w:szCs w:val="32"/>
          <w:lang w:val="es-PR"/>
        </w:rPr>
        <w:t xml:space="preserve"> III, § 305, 46 </w:t>
      </w:r>
      <w:proofErr w:type="spellStart"/>
      <w:r w:rsidR="00722EB5">
        <w:rPr>
          <w:sz w:val="32"/>
          <w:szCs w:val="32"/>
          <w:lang w:val="es-PR"/>
        </w:rPr>
        <w:t>Estat</w:t>
      </w:r>
      <w:proofErr w:type="spellEnd"/>
      <w:r w:rsidR="00722EB5">
        <w:rPr>
          <w:sz w:val="32"/>
          <w:szCs w:val="32"/>
          <w:lang w:val="es-PR"/>
        </w:rPr>
        <w:t xml:space="preserve">. 590, 688 </w:t>
      </w:r>
      <w:r w:rsidRPr="00981F3E">
        <w:rPr>
          <w:sz w:val="32"/>
          <w:szCs w:val="32"/>
          <w:lang w:val="es-PR"/>
        </w:rPr>
        <w:t>mismo). En respuesta, la FDA sugiere que sería irracional que</w:t>
      </w:r>
    </w:p>
    <w:p w:rsidR="00722EB5" w:rsidRDefault="00722EB5" w:rsidP="00981F3E">
      <w:pPr>
        <w:pStyle w:val="NoSpacing"/>
        <w:rPr>
          <w:sz w:val="32"/>
          <w:szCs w:val="32"/>
          <w:lang w:val="es-PR"/>
        </w:rPr>
      </w:pPr>
    </w:p>
    <w:p w:rsidR="00981F3E" w:rsidRPr="00981F3E" w:rsidRDefault="00981F3E" w:rsidP="00981F3E">
      <w:pPr>
        <w:pStyle w:val="NoSpacing"/>
        <w:rPr>
          <w:sz w:val="32"/>
          <w:szCs w:val="32"/>
          <w:lang w:val="es-PR"/>
        </w:rPr>
      </w:pPr>
      <w:r w:rsidRPr="00981F3E">
        <w:rPr>
          <w:sz w:val="32"/>
          <w:szCs w:val="32"/>
          <w:lang w:val="es-PR"/>
        </w:rPr>
        <w:t xml:space="preserve">El Congreso apuntará a todos los abortos en la Ley </w:t>
      </w:r>
      <w:proofErr w:type="spellStart"/>
      <w:r w:rsidRPr="00981F3E">
        <w:rPr>
          <w:sz w:val="32"/>
          <w:szCs w:val="32"/>
          <w:lang w:val="es-PR"/>
        </w:rPr>
        <w:t>Comstock</w:t>
      </w:r>
      <w:proofErr w:type="spellEnd"/>
      <w:r w:rsidRPr="00981F3E">
        <w:rPr>
          <w:sz w:val="32"/>
          <w:szCs w:val="32"/>
          <w:lang w:val="es-PR"/>
        </w:rPr>
        <w:t>, pe</w:t>
      </w:r>
      <w:r w:rsidR="00722EB5">
        <w:rPr>
          <w:sz w:val="32"/>
          <w:szCs w:val="32"/>
          <w:lang w:val="es-PR"/>
        </w:rPr>
        <w:t xml:space="preserve">ro solo ilegales </w:t>
      </w:r>
      <w:r w:rsidRPr="00981F3E">
        <w:rPr>
          <w:sz w:val="32"/>
          <w:szCs w:val="32"/>
          <w:lang w:val="es-PR"/>
        </w:rPr>
        <w:t>abortos en la Ley Arancelaria. Pero diferentes Congr</w:t>
      </w:r>
      <w:r w:rsidR="00722EB5">
        <w:rPr>
          <w:sz w:val="32"/>
          <w:szCs w:val="32"/>
          <w:lang w:val="es-PR"/>
        </w:rPr>
        <w:t xml:space="preserve">esos pueden llegar a diferentes </w:t>
      </w:r>
      <w:r w:rsidRPr="00981F3E">
        <w:rPr>
          <w:sz w:val="32"/>
          <w:szCs w:val="32"/>
          <w:lang w:val="es-PR"/>
        </w:rPr>
        <w:t>juicios sobre cómo regular el abor</w:t>
      </w:r>
      <w:r w:rsidR="00722EB5">
        <w:rPr>
          <w:sz w:val="32"/>
          <w:szCs w:val="32"/>
          <w:lang w:val="es-PR"/>
        </w:rPr>
        <w:t xml:space="preserve">to en diferentes contextos. Hay </w:t>
      </w:r>
      <w:r w:rsidRPr="00981F3E">
        <w:rPr>
          <w:sz w:val="32"/>
          <w:szCs w:val="32"/>
          <w:lang w:val="es-PR"/>
        </w:rPr>
        <w:t>nada irracional sobre el Congreso que p</w:t>
      </w:r>
      <w:r w:rsidR="00722EB5">
        <w:rPr>
          <w:sz w:val="32"/>
          <w:szCs w:val="32"/>
          <w:lang w:val="es-PR"/>
        </w:rPr>
        <w:t xml:space="preserve">romulgó la Ley </w:t>
      </w:r>
      <w:proofErr w:type="spellStart"/>
      <w:r w:rsidR="00722EB5">
        <w:rPr>
          <w:sz w:val="32"/>
          <w:szCs w:val="32"/>
          <w:lang w:val="es-PR"/>
        </w:rPr>
        <w:t>Comstock</w:t>
      </w:r>
      <w:proofErr w:type="spellEnd"/>
      <w:r w:rsidR="00722EB5">
        <w:rPr>
          <w:sz w:val="32"/>
          <w:szCs w:val="32"/>
          <w:lang w:val="es-PR"/>
        </w:rPr>
        <w:t xml:space="preserve"> en 1873</w:t>
      </w:r>
      <w:r w:rsidRPr="00981F3E">
        <w:rPr>
          <w:sz w:val="32"/>
          <w:szCs w:val="32"/>
          <w:lang w:val="es-PR"/>
        </w:rPr>
        <w:t xml:space="preserve">emitir un juicio diferente al del Congreso </w:t>
      </w:r>
      <w:r w:rsidR="00722EB5">
        <w:rPr>
          <w:sz w:val="32"/>
          <w:szCs w:val="32"/>
          <w:lang w:val="es-PR"/>
        </w:rPr>
        <w:t xml:space="preserve">que promulgó la Ley Arancelaria </w:t>
      </w:r>
      <w:r w:rsidRPr="00981F3E">
        <w:rPr>
          <w:sz w:val="32"/>
          <w:szCs w:val="32"/>
          <w:lang w:val="es-PR"/>
        </w:rPr>
        <w:t>décadas después.</w:t>
      </w:r>
    </w:p>
    <w:p w:rsidR="00981F3E" w:rsidRPr="00981F3E" w:rsidRDefault="00981F3E" w:rsidP="00981F3E">
      <w:pPr>
        <w:pStyle w:val="NoSpacing"/>
        <w:rPr>
          <w:sz w:val="32"/>
          <w:szCs w:val="32"/>
          <w:lang w:val="es-PR"/>
        </w:rPr>
      </w:pPr>
      <w:r w:rsidRPr="00981F3E">
        <w:rPr>
          <w:sz w:val="32"/>
          <w:szCs w:val="32"/>
          <w:lang w:val="es-PR"/>
        </w:rPr>
        <w:t>Además, Con</w:t>
      </w:r>
      <w:r w:rsidRPr="00981F3E">
        <w:rPr>
          <w:lang w:val="es-PR"/>
        </w:rPr>
        <w:t xml:space="preserve"> </w:t>
      </w:r>
      <w:r w:rsidRPr="00981F3E">
        <w:rPr>
          <w:sz w:val="32"/>
          <w:szCs w:val="32"/>
          <w:lang w:val="es-PR"/>
        </w:rPr>
        <w:t xml:space="preserve">Así que es simplemente incorrecto afirmar, como la FDA y </w:t>
      </w:r>
      <w:proofErr w:type="spellStart"/>
      <w:r w:rsidRPr="00981F3E">
        <w:rPr>
          <w:sz w:val="32"/>
          <w:szCs w:val="32"/>
          <w:lang w:val="es-PR"/>
        </w:rPr>
        <w:t>Danco</w:t>
      </w:r>
      <w:proofErr w:type="spellEnd"/>
      <w:r w:rsidRPr="00981F3E">
        <w:rPr>
          <w:sz w:val="32"/>
          <w:szCs w:val="32"/>
          <w:lang w:val="es-PR"/>
        </w:rPr>
        <w:t xml:space="preserve"> y sus</w:t>
      </w:r>
      <w:r w:rsidR="009B79EB">
        <w:rPr>
          <w:sz w:val="32"/>
          <w:szCs w:val="32"/>
          <w:lang w:val="es-PR"/>
        </w:rPr>
        <w:t xml:space="preserve"> </w:t>
      </w:r>
      <w:proofErr w:type="spellStart"/>
      <w:r w:rsidRPr="00981F3E">
        <w:rPr>
          <w:sz w:val="32"/>
          <w:szCs w:val="32"/>
          <w:lang w:val="es-PR"/>
        </w:rPr>
        <w:t>amici</w:t>
      </w:r>
      <w:proofErr w:type="spellEnd"/>
      <w:r w:rsidRPr="00981F3E">
        <w:rPr>
          <w:sz w:val="32"/>
          <w:szCs w:val="32"/>
          <w:lang w:val="es-PR"/>
        </w:rPr>
        <w:t xml:space="preserve"> de apoyo aquí han afirmado—que la decisión de la corte de distrito en este</w:t>
      </w:r>
      <w:r w:rsidR="009B79EB">
        <w:rPr>
          <w:sz w:val="32"/>
          <w:szCs w:val="32"/>
          <w:lang w:val="es-PR"/>
        </w:rPr>
        <w:t xml:space="preserve"> </w:t>
      </w:r>
      <w:r w:rsidRPr="00981F3E">
        <w:rPr>
          <w:sz w:val="32"/>
          <w:szCs w:val="32"/>
          <w:lang w:val="es-PR"/>
        </w:rPr>
        <w:t>El caso no tenía precedentes.</w:t>
      </w:r>
    </w:p>
    <w:p w:rsidR="00981F3E" w:rsidRPr="00981F3E" w:rsidRDefault="00981F3E" w:rsidP="00981F3E">
      <w:pPr>
        <w:pStyle w:val="NoSpacing"/>
        <w:rPr>
          <w:sz w:val="32"/>
          <w:szCs w:val="32"/>
          <w:lang w:val="es-PR"/>
        </w:rPr>
      </w:pPr>
      <w:r w:rsidRPr="00981F3E">
        <w:rPr>
          <w:sz w:val="32"/>
          <w:szCs w:val="32"/>
          <w:lang w:val="es-PR"/>
        </w:rPr>
        <w:t>Los científicos de la FDA merecen nuestro r</w:t>
      </w:r>
      <w:r w:rsidR="009B79EB">
        <w:rPr>
          <w:sz w:val="32"/>
          <w:szCs w:val="32"/>
          <w:lang w:val="es-PR"/>
        </w:rPr>
        <w:t xml:space="preserve">espeto y nuestra gratitud, pero </w:t>
      </w:r>
      <w:r w:rsidRPr="00981F3E">
        <w:rPr>
          <w:sz w:val="32"/>
          <w:szCs w:val="32"/>
          <w:lang w:val="es-PR"/>
        </w:rPr>
        <w:t>no nuestra ciega deferencia. Eso desafiaría la directiva clara del Con</w:t>
      </w:r>
      <w:r w:rsidR="009B79EB">
        <w:rPr>
          <w:sz w:val="32"/>
          <w:szCs w:val="32"/>
          <w:lang w:val="es-PR"/>
        </w:rPr>
        <w:t xml:space="preserve">greso de que </w:t>
      </w:r>
      <w:r w:rsidRPr="00981F3E">
        <w:rPr>
          <w:sz w:val="32"/>
          <w:szCs w:val="32"/>
          <w:lang w:val="es-PR"/>
        </w:rPr>
        <w:t>los tribunales realizan una revisión legal independiente de la acción de la FDA en virtud de la APA.</w:t>
      </w:r>
    </w:p>
    <w:p w:rsidR="00981F3E" w:rsidRPr="00981F3E" w:rsidRDefault="00981F3E" w:rsidP="00981F3E">
      <w:pPr>
        <w:pStyle w:val="NoSpacing"/>
        <w:rPr>
          <w:sz w:val="32"/>
          <w:szCs w:val="32"/>
          <w:lang w:val="es-PR"/>
        </w:rPr>
      </w:pPr>
      <w:r w:rsidRPr="00981F3E">
        <w:rPr>
          <w:sz w:val="32"/>
          <w:szCs w:val="32"/>
          <w:lang w:val="es-PR"/>
        </w:rPr>
        <w:t>Según la propia admisión del solicitante, la FDA utilizó un método ilegal</w:t>
      </w:r>
    </w:p>
    <w:p w:rsidR="00981F3E" w:rsidRPr="00981F3E" w:rsidRDefault="00981F3E" w:rsidP="00981F3E">
      <w:pPr>
        <w:pStyle w:val="NoSpacing"/>
        <w:rPr>
          <w:sz w:val="32"/>
          <w:szCs w:val="32"/>
          <w:lang w:val="es-PR"/>
        </w:rPr>
      </w:pPr>
      <w:r w:rsidRPr="00981F3E">
        <w:rPr>
          <w:sz w:val="32"/>
          <w:szCs w:val="32"/>
          <w:lang w:val="es-PR"/>
        </w:rPr>
        <w:t xml:space="preserve">procedimiento cuando aprobó la </w:t>
      </w:r>
      <w:proofErr w:type="spellStart"/>
      <w:r w:rsidRPr="00981F3E">
        <w:rPr>
          <w:sz w:val="32"/>
          <w:szCs w:val="32"/>
          <w:lang w:val="es-PR"/>
        </w:rPr>
        <w:t>mifepristona</w:t>
      </w:r>
      <w:proofErr w:type="spellEnd"/>
      <w:r w:rsidRPr="00981F3E">
        <w:rPr>
          <w:sz w:val="32"/>
          <w:szCs w:val="32"/>
          <w:lang w:val="es-PR"/>
        </w:rPr>
        <w:t>. Y los reglam</w:t>
      </w:r>
      <w:r w:rsidR="009B79EB">
        <w:rPr>
          <w:sz w:val="32"/>
          <w:szCs w:val="32"/>
          <w:lang w:val="es-PR"/>
        </w:rPr>
        <w:t xml:space="preserve">entos posteriores de la agencia </w:t>
      </w:r>
      <w:r w:rsidRPr="00981F3E">
        <w:rPr>
          <w:sz w:val="32"/>
          <w:szCs w:val="32"/>
          <w:lang w:val="es-PR"/>
        </w:rPr>
        <w:t>son igualmente inválidos, tanto bajo la APA como los esquemas de la mayoría, y bajo</w:t>
      </w:r>
    </w:p>
    <w:p w:rsidR="00981F3E" w:rsidRPr="00822E5A" w:rsidRDefault="00981F3E" w:rsidP="00981F3E">
      <w:pPr>
        <w:pStyle w:val="NoSpacing"/>
        <w:rPr>
          <w:sz w:val="32"/>
          <w:szCs w:val="32"/>
          <w:lang w:val="es-PR"/>
        </w:rPr>
      </w:pPr>
      <w:r w:rsidRPr="00981F3E">
        <w:rPr>
          <w:sz w:val="32"/>
          <w:szCs w:val="32"/>
          <w:lang w:val="es-PR"/>
        </w:rPr>
        <w:t xml:space="preserve">la Ley </w:t>
      </w:r>
      <w:proofErr w:type="spellStart"/>
      <w:r w:rsidRPr="00981F3E">
        <w:rPr>
          <w:sz w:val="32"/>
          <w:szCs w:val="32"/>
          <w:lang w:val="es-PR"/>
        </w:rPr>
        <w:t>Comstock</w:t>
      </w:r>
      <w:proofErr w:type="spellEnd"/>
      <w:r w:rsidRPr="00981F3E">
        <w:rPr>
          <w:sz w:val="32"/>
          <w:szCs w:val="32"/>
          <w:lang w:val="es-PR"/>
        </w:rPr>
        <w:t xml:space="preserve"> también. En suma, las regulaciones “no está</w:t>
      </w:r>
      <w:r w:rsidR="009B79EB">
        <w:rPr>
          <w:sz w:val="32"/>
          <w:szCs w:val="32"/>
          <w:lang w:val="es-PR"/>
        </w:rPr>
        <w:t xml:space="preserve">n de acuerdo </w:t>
      </w:r>
      <w:r w:rsidRPr="00981F3E">
        <w:rPr>
          <w:sz w:val="32"/>
          <w:szCs w:val="32"/>
          <w:lang w:val="es-PR"/>
        </w:rPr>
        <w:t xml:space="preserve">con la ley” y, por lo tanto, debe dejarse de lado. </w:t>
      </w:r>
    </w:p>
    <w:sectPr w:rsidR="00981F3E" w:rsidRPr="00822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5C"/>
    <w:rsid w:val="000A3CDA"/>
    <w:rsid w:val="00195387"/>
    <w:rsid w:val="003E714C"/>
    <w:rsid w:val="0060385E"/>
    <w:rsid w:val="00615425"/>
    <w:rsid w:val="006165FB"/>
    <w:rsid w:val="006C3F5C"/>
    <w:rsid w:val="007223DA"/>
    <w:rsid w:val="00722EB5"/>
    <w:rsid w:val="00822E5A"/>
    <w:rsid w:val="00981F3E"/>
    <w:rsid w:val="00990BCC"/>
    <w:rsid w:val="009A75A7"/>
    <w:rsid w:val="009B79EB"/>
    <w:rsid w:val="00C95C66"/>
    <w:rsid w:val="00CE4019"/>
    <w:rsid w:val="00E21690"/>
    <w:rsid w:val="00E71759"/>
    <w:rsid w:val="00F1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60A3"/>
  <w15:chartTrackingRefBased/>
  <w15:docId w15:val="{E9F145EE-E2E6-45A0-9FD7-EC7084B5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3F5C"/>
    <w:pPr>
      <w:spacing w:after="0" w:line="240" w:lineRule="auto"/>
    </w:pPr>
  </w:style>
  <w:style w:type="paragraph" w:styleId="BalloonText">
    <w:name w:val="Balloon Text"/>
    <w:basedOn w:val="Normal"/>
    <w:link w:val="BalloonTextChar"/>
    <w:uiPriority w:val="99"/>
    <w:semiHidden/>
    <w:unhideWhenUsed/>
    <w:rsid w:val="00195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3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4956-D40E-4C53-87F6-768E9CEB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7108</Words>
  <Characters>40517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3</cp:revision>
  <cp:lastPrinted>2023-08-18T14:01:00Z</cp:lastPrinted>
  <dcterms:created xsi:type="dcterms:W3CDTF">2023-08-17T23:19:00Z</dcterms:created>
  <dcterms:modified xsi:type="dcterms:W3CDTF">2023-08-18T17:57:00Z</dcterms:modified>
</cp:coreProperties>
</file>