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4391D" w14:textId="77777777" w:rsidR="00945B88" w:rsidRPr="00945B88" w:rsidRDefault="00945B88" w:rsidP="00945B88">
      <w:pPr>
        <w:spacing w:after="0" w:line="240" w:lineRule="auto"/>
        <w:rPr>
          <w:rFonts w:ascii="Aptos" w:eastAsia="Times New Roman" w:hAnsi="Aptos" w:cs="Times New Roman"/>
          <w:color w:val="212121"/>
          <w:kern w:val="0"/>
          <w14:ligatures w14:val="none"/>
        </w:rPr>
      </w:pPr>
      <w:r w:rsidRPr="00945B88">
        <w:rPr>
          <w:rFonts w:ascii="Aptos" w:eastAsia="Times New Roman" w:hAnsi="Aptos" w:cs="Times New Roman"/>
          <w:color w:val="212121"/>
          <w:kern w:val="0"/>
          <w14:ligatures w14:val="none"/>
        </w:rPr>
        <w:t> </w:t>
      </w:r>
    </w:p>
    <w:p w14:paraId="701FD683" w14:textId="77777777" w:rsidR="00945B88" w:rsidRPr="00945B88" w:rsidRDefault="00945B88" w:rsidP="00945B88">
      <w:pPr>
        <w:spacing w:after="0" w:line="240" w:lineRule="auto"/>
        <w:rPr>
          <w:rFonts w:ascii="Aptos" w:eastAsia="Times New Roman" w:hAnsi="Aptos" w:cs="Times New Roman"/>
          <w:color w:val="212121"/>
          <w:kern w:val="0"/>
          <w14:ligatures w14:val="none"/>
        </w:rPr>
      </w:pPr>
      <w:r w:rsidRPr="00945B88">
        <w:rPr>
          <w:rFonts w:ascii="Aptos" w:eastAsia="Times New Roman" w:hAnsi="Aptos" w:cs="Times New Roman"/>
          <w:color w:val="212121"/>
          <w:kern w:val="0"/>
          <w14:ligatures w14:val="none"/>
        </w:rPr>
        <w:t>The legislature returned to Raleigh this week to begin the 2026 legislative “short” session. There were several voting sessions this week and the House and the Senate are both expected to hold voting sessions again next week. Of course, there is still much speculation about whether a budget agreement will be reached and even more speculation about what an agreement might look like. </w:t>
      </w:r>
    </w:p>
    <w:p w14:paraId="10755CA6" w14:textId="77777777" w:rsidR="00945B88" w:rsidRPr="00945B88" w:rsidRDefault="00945B88" w:rsidP="00945B88">
      <w:pPr>
        <w:spacing w:after="0" w:line="240" w:lineRule="auto"/>
        <w:rPr>
          <w:rFonts w:ascii="Aptos" w:eastAsia="Times New Roman" w:hAnsi="Aptos" w:cs="Times New Roman"/>
          <w:color w:val="212121"/>
          <w:kern w:val="0"/>
          <w14:ligatures w14:val="none"/>
        </w:rPr>
      </w:pPr>
      <w:r w:rsidRPr="00945B88">
        <w:rPr>
          <w:rFonts w:ascii="Aptos" w:eastAsia="Times New Roman" w:hAnsi="Aptos" w:cs="Times New Roman"/>
          <w:color w:val="212121"/>
          <w:kern w:val="0"/>
          <w14:ligatures w14:val="none"/>
        </w:rPr>
        <w:t> </w:t>
      </w:r>
    </w:p>
    <w:p w14:paraId="017005EE" w14:textId="77777777" w:rsidR="00945B88" w:rsidRPr="00945B88" w:rsidRDefault="00945B88" w:rsidP="00945B88">
      <w:pPr>
        <w:spacing w:after="0" w:line="240" w:lineRule="auto"/>
        <w:rPr>
          <w:rFonts w:ascii="Aptos" w:eastAsia="Times New Roman" w:hAnsi="Aptos" w:cs="Times New Roman"/>
          <w:color w:val="212121"/>
          <w:kern w:val="0"/>
          <w14:ligatures w14:val="none"/>
        </w:rPr>
      </w:pPr>
      <w:r w:rsidRPr="00945B88">
        <w:rPr>
          <w:rFonts w:ascii="Aptos" w:eastAsia="Times New Roman" w:hAnsi="Aptos" w:cs="Times New Roman"/>
          <w:b/>
          <w:bCs/>
          <w:color w:val="212121"/>
          <w:kern w:val="0"/>
          <w14:ligatures w14:val="none"/>
        </w:rPr>
        <w:t>Medicaid Funding Deal</w:t>
      </w:r>
    </w:p>
    <w:p w14:paraId="41A022B9" w14:textId="77777777" w:rsidR="00945B88" w:rsidRPr="00945B88" w:rsidRDefault="00945B88" w:rsidP="00945B88">
      <w:pPr>
        <w:spacing w:after="0" w:line="240" w:lineRule="auto"/>
        <w:rPr>
          <w:rFonts w:ascii="Aptos" w:eastAsia="Times New Roman" w:hAnsi="Aptos" w:cs="Times New Roman"/>
          <w:color w:val="212121"/>
          <w:kern w:val="0"/>
          <w14:ligatures w14:val="none"/>
        </w:rPr>
      </w:pPr>
      <w:r w:rsidRPr="00945B88">
        <w:rPr>
          <w:rFonts w:ascii="Aptos" w:eastAsia="Times New Roman" w:hAnsi="Aptos" w:cs="Times New Roman"/>
          <w:color w:val="212121"/>
          <w:kern w:val="0"/>
          <w14:ligatures w14:val="none"/>
        </w:rPr>
        <w:t>One of this legislative session's centerpiece is a bipartisan deal to close a $319 million Medicaid shortfall. House Bill 696 was unveiled Tuesday and passed both chambers within 24 hours — the House 112–1 and the Senate 48–1, with only Rep. Pricey Harrison (D-Guilford) and Sen. Michael Garrett (D-Guilford) voting against. Final votes are scheduled for Tuesday, April 29, after Democrat leaders requested more time to review oversight provisions. Governor Stein, who had warned of dire consequences without funding by end of April, is expected to sign the bill. Key provisions include:</w:t>
      </w:r>
    </w:p>
    <w:p w14:paraId="3760F3F1" w14:textId="77777777" w:rsidR="00945B88" w:rsidRPr="00945B88" w:rsidRDefault="00945B88" w:rsidP="00945B88">
      <w:pPr>
        <w:spacing w:after="0" w:line="240" w:lineRule="auto"/>
        <w:ind w:left="400" w:hanging="220"/>
        <w:rPr>
          <w:rFonts w:ascii="Aptos" w:eastAsia="Times New Roman" w:hAnsi="Aptos" w:cs="Times New Roman"/>
          <w:color w:val="212121"/>
          <w:kern w:val="0"/>
          <w14:ligatures w14:val="none"/>
        </w:rPr>
      </w:pPr>
      <w:r w:rsidRPr="00945B88">
        <w:rPr>
          <w:rFonts w:ascii="Aptos" w:eastAsia="Times New Roman" w:hAnsi="Aptos" w:cs="Times New Roman"/>
          <w:color w:val="212121"/>
          <w:kern w:val="0"/>
          <w14:ligatures w14:val="none"/>
        </w:rPr>
        <w:t>•</w:t>
      </w:r>
      <w:r w:rsidRPr="00945B88">
        <w:rPr>
          <w:rFonts w:ascii="Times New Roman" w:eastAsia="Times New Roman" w:hAnsi="Times New Roman" w:cs="Times New Roman"/>
          <w:color w:val="212121"/>
          <w:kern w:val="0"/>
          <w:sz w:val="14"/>
          <w:szCs w:val="14"/>
          <w14:ligatures w14:val="none"/>
        </w:rPr>
        <w:t>    </w:t>
      </w:r>
      <w:r w:rsidRPr="00945B88">
        <w:rPr>
          <w:rFonts w:ascii="Aptos" w:eastAsia="Times New Roman" w:hAnsi="Aptos" w:cs="Times New Roman"/>
          <w:color w:val="212121"/>
          <w:kern w:val="0"/>
          <w14:ligatures w14:val="none"/>
        </w:rPr>
        <w:t>$319M rebase appropriation and $80M for the Dept. of Adult Correction operating shortfall</w:t>
      </w:r>
    </w:p>
    <w:p w14:paraId="1D7B369A" w14:textId="77777777" w:rsidR="00945B88" w:rsidRPr="00945B88" w:rsidRDefault="00945B88" w:rsidP="00945B88">
      <w:pPr>
        <w:spacing w:after="0" w:line="240" w:lineRule="auto"/>
        <w:ind w:left="400" w:hanging="220"/>
        <w:rPr>
          <w:rFonts w:ascii="Aptos" w:eastAsia="Times New Roman" w:hAnsi="Aptos" w:cs="Times New Roman"/>
          <w:color w:val="212121"/>
          <w:kern w:val="0"/>
          <w14:ligatures w14:val="none"/>
        </w:rPr>
      </w:pPr>
      <w:r w:rsidRPr="00945B88">
        <w:rPr>
          <w:rFonts w:ascii="Aptos" w:eastAsia="Times New Roman" w:hAnsi="Aptos" w:cs="Times New Roman"/>
          <w:color w:val="212121"/>
          <w:kern w:val="0"/>
          <w14:ligatures w14:val="none"/>
        </w:rPr>
        <w:t>•</w:t>
      </w:r>
      <w:r w:rsidRPr="00945B88">
        <w:rPr>
          <w:rFonts w:ascii="Times New Roman" w:eastAsia="Times New Roman" w:hAnsi="Times New Roman" w:cs="Times New Roman"/>
          <w:color w:val="212121"/>
          <w:kern w:val="0"/>
          <w:sz w:val="14"/>
          <w:szCs w:val="14"/>
          <w14:ligatures w14:val="none"/>
        </w:rPr>
        <w:t>    </w:t>
      </w:r>
      <w:r w:rsidRPr="00945B88">
        <w:rPr>
          <w:rFonts w:ascii="Aptos" w:eastAsia="Times New Roman" w:hAnsi="Aptos" w:cs="Times New Roman"/>
          <w:color w:val="212121"/>
          <w:kern w:val="0"/>
          <w14:ligatures w14:val="none"/>
        </w:rPr>
        <w:t>Monthly eligibility reviews (up from quarterly), stricter documentation, prohibition on self-attestation</w:t>
      </w:r>
    </w:p>
    <w:p w14:paraId="1AEA6174" w14:textId="77777777" w:rsidR="00945B88" w:rsidRPr="00945B88" w:rsidRDefault="00945B88" w:rsidP="00945B88">
      <w:pPr>
        <w:spacing w:after="0" w:line="240" w:lineRule="auto"/>
        <w:ind w:left="400" w:hanging="220"/>
        <w:rPr>
          <w:rFonts w:ascii="Aptos" w:eastAsia="Times New Roman" w:hAnsi="Aptos" w:cs="Times New Roman"/>
          <w:color w:val="212121"/>
          <w:kern w:val="0"/>
          <w14:ligatures w14:val="none"/>
        </w:rPr>
      </w:pPr>
      <w:r w:rsidRPr="00945B88">
        <w:rPr>
          <w:rFonts w:ascii="Aptos" w:eastAsia="Times New Roman" w:hAnsi="Aptos" w:cs="Times New Roman"/>
          <w:color w:val="212121"/>
          <w:kern w:val="0"/>
          <w14:ligatures w14:val="none"/>
        </w:rPr>
        <w:t>•</w:t>
      </w:r>
      <w:r w:rsidRPr="00945B88">
        <w:rPr>
          <w:rFonts w:ascii="Times New Roman" w:eastAsia="Times New Roman" w:hAnsi="Times New Roman" w:cs="Times New Roman"/>
          <w:color w:val="212121"/>
          <w:kern w:val="0"/>
          <w:sz w:val="14"/>
          <w:szCs w:val="14"/>
          <w14:ligatures w14:val="none"/>
        </w:rPr>
        <w:t>    </w:t>
      </w:r>
      <w:r w:rsidRPr="00945B88">
        <w:rPr>
          <w:rFonts w:ascii="Aptos" w:eastAsia="Times New Roman" w:hAnsi="Aptos" w:cs="Times New Roman"/>
          <w:color w:val="212121"/>
          <w:kern w:val="0"/>
          <w14:ligatures w14:val="none"/>
        </w:rPr>
        <w:t>DHS reporting requirement when citizenship or immigration status cannot be verified</w:t>
      </w:r>
    </w:p>
    <w:p w14:paraId="2CA958C3" w14:textId="77777777" w:rsidR="00945B88" w:rsidRPr="00945B88" w:rsidRDefault="00945B88" w:rsidP="00945B88">
      <w:pPr>
        <w:spacing w:after="0" w:line="240" w:lineRule="auto"/>
        <w:ind w:left="400" w:hanging="220"/>
        <w:rPr>
          <w:rFonts w:ascii="Aptos" w:eastAsia="Times New Roman" w:hAnsi="Aptos" w:cs="Times New Roman"/>
          <w:color w:val="212121"/>
          <w:kern w:val="0"/>
          <w14:ligatures w14:val="none"/>
        </w:rPr>
      </w:pPr>
      <w:r w:rsidRPr="00945B88">
        <w:rPr>
          <w:rFonts w:ascii="Aptos" w:eastAsia="Times New Roman" w:hAnsi="Aptos" w:cs="Times New Roman"/>
          <w:color w:val="212121"/>
          <w:kern w:val="0"/>
          <w14:ligatures w14:val="none"/>
        </w:rPr>
        <w:t>•</w:t>
      </w:r>
      <w:r w:rsidRPr="00945B88">
        <w:rPr>
          <w:rFonts w:ascii="Times New Roman" w:eastAsia="Times New Roman" w:hAnsi="Times New Roman" w:cs="Times New Roman"/>
          <w:color w:val="212121"/>
          <w:kern w:val="0"/>
          <w:sz w:val="14"/>
          <w:szCs w:val="14"/>
          <w14:ligatures w14:val="none"/>
        </w:rPr>
        <w:t>    </w:t>
      </w:r>
      <w:r w:rsidRPr="00945B88">
        <w:rPr>
          <w:rFonts w:ascii="Aptos" w:eastAsia="Times New Roman" w:hAnsi="Aptos" w:cs="Times New Roman"/>
          <w:color w:val="212121"/>
          <w:kern w:val="0"/>
          <w14:ligatures w14:val="none"/>
        </w:rPr>
        <w:t xml:space="preserve">$500K performance audit of Medicaid and </w:t>
      </w:r>
      <w:proofErr w:type="spellStart"/>
      <w:r w:rsidRPr="00945B88">
        <w:rPr>
          <w:rFonts w:ascii="Aptos" w:eastAsia="Times New Roman" w:hAnsi="Aptos" w:cs="Times New Roman"/>
          <w:color w:val="212121"/>
          <w:kern w:val="0"/>
          <w14:ligatures w14:val="none"/>
        </w:rPr>
        <w:t>NCWorks</w:t>
      </w:r>
      <w:proofErr w:type="spellEnd"/>
      <w:r w:rsidRPr="00945B88">
        <w:rPr>
          <w:rFonts w:ascii="Aptos" w:eastAsia="Times New Roman" w:hAnsi="Aptos" w:cs="Times New Roman"/>
          <w:color w:val="212121"/>
          <w:kern w:val="0"/>
          <w14:ligatures w14:val="none"/>
        </w:rPr>
        <w:t xml:space="preserve"> Career Centers by State Auditor Dave Boliek</w:t>
      </w:r>
    </w:p>
    <w:p w14:paraId="77BEFE76" w14:textId="77777777" w:rsidR="00945B88" w:rsidRPr="00945B88" w:rsidRDefault="00945B88" w:rsidP="00945B88">
      <w:pPr>
        <w:spacing w:after="0" w:line="240" w:lineRule="auto"/>
        <w:ind w:left="400" w:hanging="220"/>
        <w:rPr>
          <w:rFonts w:ascii="Aptos" w:eastAsia="Times New Roman" w:hAnsi="Aptos" w:cs="Times New Roman"/>
          <w:color w:val="212121"/>
          <w:kern w:val="0"/>
          <w14:ligatures w14:val="none"/>
        </w:rPr>
      </w:pPr>
      <w:r w:rsidRPr="00945B88">
        <w:rPr>
          <w:rFonts w:ascii="Aptos" w:eastAsia="Times New Roman" w:hAnsi="Aptos" w:cs="Times New Roman"/>
          <w:color w:val="212121"/>
          <w:kern w:val="0"/>
          <w14:ligatures w14:val="none"/>
        </w:rPr>
        <w:t>•</w:t>
      </w:r>
      <w:r w:rsidRPr="00945B88">
        <w:rPr>
          <w:rFonts w:ascii="Times New Roman" w:eastAsia="Times New Roman" w:hAnsi="Times New Roman" w:cs="Times New Roman"/>
          <w:color w:val="212121"/>
          <w:kern w:val="0"/>
          <w:sz w:val="14"/>
          <w:szCs w:val="14"/>
          <w14:ligatures w14:val="none"/>
        </w:rPr>
        <w:t>    </w:t>
      </w:r>
      <w:r w:rsidRPr="00945B88">
        <w:rPr>
          <w:rFonts w:ascii="Aptos" w:eastAsia="Times New Roman" w:hAnsi="Aptos" w:cs="Times New Roman"/>
          <w:color w:val="212121"/>
          <w:kern w:val="0"/>
          <w14:ligatures w14:val="none"/>
        </w:rPr>
        <w:t>Increased annual DHHS reporting on waste, fraud, and abuse; DMV payments for credit card transaction fee shortfalls</w:t>
      </w:r>
    </w:p>
    <w:p w14:paraId="7534FBF6" w14:textId="77777777" w:rsidR="00945B88" w:rsidRPr="00945B88" w:rsidRDefault="00945B88" w:rsidP="00945B88">
      <w:pPr>
        <w:spacing w:after="0" w:line="240" w:lineRule="auto"/>
        <w:rPr>
          <w:rFonts w:ascii="Aptos" w:eastAsia="Times New Roman" w:hAnsi="Aptos" w:cs="Times New Roman"/>
          <w:color w:val="212121"/>
          <w:kern w:val="0"/>
          <w14:ligatures w14:val="none"/>
        </w:rPr>
      </w:pPr>
      <w:r w:rsidRPr="00945B88">
        <w:rPr>
          <w:rFonts w:ascii="Aptos" w:eastAsia="Times New Roman" w:hAnsi="Aptos" w:cs="Times New Roman"/>
          <w:b/>
          <w:bCs/>
          <w:color w:val="212121"/>
          <w:kern w:val="0"/>
          <w14:ligatures w14:val="none"/>
        </w:rPr>
        <w:t> </w:t>
      </w:r>
    </w:p>
    <w:p w14:paraId="0CB2F964" w14:textId="77777777" w:rsidR="00945B88" w:rsidRPr="00945B88" w:rsidRDefault="00945B88" w:rsidP="00945B88">
      <w:pPr>
        <w:spacing w:after="0" w:line="240" w:lineRule="auto"/>
        <w:rPr>
          <w:rFonts w:ascii="Aptos" w:eastAsia="Times New Roman" w:hAnsi="Aptos" w:cs="Times New Roman"/>
          <w:color w:val="212121"/>
          <w:kern w:val="0"/>
          <w14:ligatures w14:val="none"/>
        </w:rPr>
      </w:pPr>
      <w:r w:rsidRPr="00945B88">
        <w:rPr>
          <w:rFonts w:ascii="Aptos" w:eastAsia="Times New Roman" w:hAnsi="Aptos" w:cs="Times New Roman"/>
          <w:b/>
          <w:bCs/>
          <w:color w:val="212121"/>
          <w:kern w:val="0"/>
          <w14:ligatures w14:val="none"/>
        </w:rPr>
        <w:t>Gov. Stein's Budget Priorities</w:t>
      </w:r>
    </w:p>
    <w:p w14:paraId="49162FE5" w14:textId="77777777" w:rsidR="00945B88" w:rsidRPr="00945B88" w:rsidRDefault="00945B88" w:rsidP="00945B88">
      <w:pPr>
        <w:spacing w:after="0" w:line="240" w:lineRule="auto"/>
        <w:rPr>
          <w:rFonts w:ascii="Aptos" w:eastAsia="Times New Roman" w:hAnsi="Aptos" w:cs="Times New Roman"/>
          <w:color w:val="212121"/>
          <w:kern w:val="0"/>
          <w14:ligatures w14:val="none"/>
        </w:rPr>
      </w:pPr>
      <w:r w:rsidRPr="00945B88">
        <w:rPr>
          <w:rFonts w:ascii="Aptos" w:eastAsia="Times New Roman" w:hAnsi="Aptos" w:cs="Times New Roman"/>
          <w:color w:val="212121"/>
          <w:kern w:val="0"/>
          <w14:ligatures w14:val="none"/>
        </w:rPr>
        <w:t xml:space="preserve">Governor Stein released a new spending proposal Tuesday as a negotiating entry point ahead of budget talks with Republican leaders. Among his priorities: an average 11% teacher pay raise over two fiscal years, with a 30% boost for starting teachers; a halt to further reductions in personal and corporate income tax rates; and redirecting all $500 million from </w:t>
      </w:r>
      <w:proofErr w:type="spellStart"/>
      <w:r w:rsidRPr="00945B88">
        <w:rPr>
          <w:rFonts w:ascii="Aptos" w:eastAsia="Times New Roman" w:hAnsi="Aptos" w:cs="Times New Roman"/>
          <w:color w:val="212121"/>
          <w:kern w:val="0"/>
          <w14:ligatures w14:val="none"/>
        </w:rPr>
        <w:t>NCInnovation</w:t>
      </w:r>
      <w:proofErr w:type="spellEnd"/>
      <w:r w:rsidRPr="00945B88">
        <w:rPr>
          <w:rFonts w:ascii="Aptos" w:eastAsia="Times New Roman" w:hAnsi="Aptos" w:cs="Times New Roman"/>
          <w:color w:val="212121"/>
          <w:kern w:val="0"/>
          <w14:ligatures w14:val="none"/>
        </w:rPr>
        <w:t xml:space="preserve"> — a nonprofit that supports university research commercialization — into the State Emergency Response and Disaster Relief Fund. Stein also called for rolling back the Opportunity Scholarship program, which is projected to redirect billions of dollars from public to private schools. He sidestepped a question on planned May 1 teacher strikes.</w:t>
      </w:r>
    </w:p>
    <w:p w14:paraId="7338315D" w14:textId="77777777" w:rsidR="00945B88" w:rsidRPr="00945B88" w:rsidRDefault="00945B88" w:rsidP="00945B88">
      <w:pPr>
        <w:spacing w:after="0" w:line="240" w:lineRule="auto"/>
        <w:rPr>
          <w:rFonts w:ascii="Aptos" w:eastAsia="Times New Roman" w:hAnsi="Aptos" w:cs="Times New Roman"/>
          <w:color w:val="212121"/>
          <w:kern w:val="0"/>
          <w14:ligatures w14:val="none"/>
        </w:rPr>
      </w:pPr>
      <w:r w:rsidRPr="00945B88">
        <w:rPr>
          <w:rFonts w:ascii="Aptos" w:eastAsia="Times New Roman" w:hAnsi="Aptos" w:cs="Times New Roman"/>
          <w:color w:val="212121"/>
          <w:kern w:val="0"/>
          <w14:ligatures w14:val="none"/>
        </w:rPr>
        <w:t> </w:t>
      </w:r>
    </w:p>
    <w:p w14:paraId="4DCAC06F" w14:textId="77777777" w:rsidR="00945B88" w:rsidRPr="00945B88" w:rsidRDefault="00945B88" w:rsidP="00945B88">
      <w:pPr>
        <w:spacing w:after="0" w:line="240" w:lineRule="auto"/>
        <w:rPr>
          <w:rFonts w:ascii="Aptos" w:eastAsia="Times New Roman" w:hAnsi="Aptos" w:cs="Times New Roman"/>
          <w:color w:val="212121"/>
          <w:kern w:val="0"/>
          <w14:ligatures w14:val="none"/>
        </w:rPr>
      </w:pPr>
      <w:r w:rsidRPr="00945B88">
        <w:rPr>
          <w:rFonts w:ascii="Aptos" w:eastAsia="Times New Roman" w:hAnsi="Aptos" w:cs="Times New Roman"/>
          <w:b/>
          <w:bCs/>
          <w:color w:val="212121"/>
          <w:kern w:val="0"/>
          <w14:ligatures w14:val="none"/>
        </w:rPr>
        <w:t>Parental Rights &amp; Education</w:t>
      </w:r>
    </w:p>
    <w:p w14:paraId="764541B4" w14:textId="77777777" w:rsidR="00945B88" w:rsidRPr="00945B88" w:rsidRDefault="00945B88" w:rsidP="00945B88">
      <w:pPr>
        <w:spacing w:after="0" w:line="240" w:lineRule="auto"/>
        <w:rPr>
          <w:rFonts w:ascii="Aptos" w:eastAsia="Times New Roman" w:hAnsi="Aptos" w:cs="Times New Roman"/>
          <w:color w:val="212121"/>
          <w:kern w:val="0"/>
          <w14:ligatures w14:val="none"/>
        </w:rPr>
      </w:pPr>
      <w:r w:rsidRPr="00945B88">
        <w:rPr>
          <w:rFonts w:ascii="Aptos" w:eastAsia="Times New Roman" w:hAnsi="Aptos" w:cs="Times New Roman"/>
          <w:color w:val="212121"/>
          <w:kern w:val="0"/>
          <w14:ligatures w14:val="none"/>
        </w:rPr>
        <w:t xml:space="preserve">Republican lawmakers devoted a Thursday hearing to scrutinizing library books on gender identity and sexual orientation in the Chapel Hill-Carrboro school district. Afterward, Rep. Brenden Jones (R-Columbus) filed the CHCCS ACT, which would withhold a superintendent's salary if the district </w:t>
      </w:r>
      <w:proofErr w:type="gramStart"/>
      <w:r w:rsidRPr="00945B88">
        <w:rPr>
          <w:rFonts w:ascii="Aptos" w:eastAsia="Times New Roman" w:hAnsi="Aptos" w:cs="Times New Roman"/>
          <w:color w:val="212121"/>
          <w:kern w:val="0"/>
          <w14:ligatures w14:val="none"/>
        </w:rPr>
        <w:t>is</w:t>
      </w:r>
      <w:proofErr w:type="gramEnd"/>
      <w:r w:rsidRPr="00945B88">
        <w:rPr>
          <w:rFonts w:ascii="Aptos" w:eastAsia="Times New Roman" w:hAnsi="Aptos" w:cs="Times New Roman"/>
          <w:color w:val="212121"/>
          <w:kern w:val="0"/>
          <w14:ligatures w14:val="none"/>
        </w:rPr>
        <w:t xml:space="preserve"> found in violation of the Parents' Bill of </w:t>
      </w:r>
      <w:proofErr w:type="gramStart"/>
      <w:r w:rsidRPr="00945B88">
        <w:rPr>
          <w:rFonts w:ascii="Aptos" w:eastAsia="Times New Roman" w:hAnsi="Aptos" w:cs="Times New Roman"/>
          <w:color w:val="212121"/>
          <w:kern w:val="0"/>
          <w14:ligatures w14:val="none"/>
        </w:rPr>
        <w:t>Rights, and</w:t>
      </w:r>
      <w:proofErr w:type="gramEnd"/>
      <w:r w:rsidRPr="00945B88">
        <w:rPr>
          <w:rFonts w:ascii="Aptos" w:eastAsia="Times New Roman" w:hAnsi="Aptos" w:cs="Times New Roman"/>
          <w:color w:val="212121"/>
          <w:kern w:val="0"/>
          <w14:ligatures w14:val="none"/>
        </w:rPr>
        <w:t xml:space="preserve"> authorize both DPI and the State Auditor to investigate noncompliance. Under a 2023 law, teachers are already prohibited from discussing sexuality or gender identity in grades K–4, and schools must notify parents when students change their pronouns. Separately, Rep. </w:t>
      </w:r>
      <w:r w:rsidRPr="00945B88">
        <w:rPr>
          <w:rFonts w:ascii="Aptos" w:eastAsia="Times New Roman" w:hAnsi="Aptos" w:cs="Times New Roman"/>
          <w:color w:val="212121"/>
          <w:kern w:val="0"/>
          <w14:ligatures w14:val="none"/>
        </w:rPr>
        <w:lastRenderedPageBreak/>
        <w:t>Brian Biggs (R-Randolph) filed a resolution calling on Congress to eliminate the U.S. Department of Education, arguing that state and local officials are better positioned to shape education policy.</w:t>
      </w:r>
    </w:p>
    <w:p w14:paraId="59F69F5C" w14:textId="77777777" w:rsidR="00945B88" w:rsidRPr="00945B88" w:rsidRDefault="00945B88" w:rsidP="00945B88">
      <w:pPr>
        <w:spacing w:after="0" w:line="240" w:lineRule="auto"/>
        <w:rPr>
          <w:rFonts w:ascii="Aptos" w:eastAsia="Times New Roman" w:hAnsi="Aptos" w:cs="Times New Roman"/>
          <w:color w:val="212121"/>
          <w:kern w:val="0"/>
          <w14:ligatures w14:val="none"/>
        </w:rPr>
      </w:pPr>
      <w:r w:rsidRPr="00945B88">
        <w:rPr>
          <w:rFonts w:ascii="Aptos" w:eastAsia="Times New Roman" w:hAnsi="Aptos" w:cs="Times New Roman"/>
          <w:color w:val="212121"/>
          <w:kern w:val="0"/>
          <w14:ligatures w14:val="none"/>
        </w:rPr>
        <w:t> </w:t>
      </w:r>
    </w:p>
    <w:p w14:paraId="654C67C2" w14:textId="77777777" w:rsidR="00945B88" w:rsidRPr="00945B88" w:rsidRDefault="00945B88" w:rsidP="00945B88">
      <w:pPr>
        <w:spacing w:after="0" w:line="240" w:lineRule="auto"/>
        <w:rPr>
          <w:rFonts w:ascii="Aptos" w:eastAsia="Times New Roman" w:hAnsi="Aptos" w:cs="Times New Roman"/>
          <w:color w:val="212121"/>
          <w:kern w:val="0"/>
          <w14:ligatures w14:val="none"/>
        </w:rPr>
      </w:pPr>
      <w:r w:rsidRPr="00945B88">
        <w:rPr>
          <w:rFonts w:ascii="Aptos" w:eastAsia="Times New Roman" w:hAnsi="Aptos" w:cs="Times New Roman"/>
          <w:b/>
          <w:bCs/>
          <w:color w:val="212121"/>
          <w:kern w:val="0"/>
          <w14:ligatures w14:val="none"/>
        </w:rPr>
        <w:t>Rep. Cunningham Leaves Democratic Party</w:t>
      </w:r>
    </w:p>
    <w:p w14:paraId="3F35676D" w14:textId="77777777" w:rsidR="00945B88" w:rsidRPr="00945B88" w:rsidRDefault="00945B88" w:rsidP="00945B88">
      <w:pPr>
        <w:spacing w:after="0" w:line="240" w:lineRule="auto"/>
        <w:rPr>
          <w:rFonts w:ascii="Aptos" w:eastAsia="Times New Roman" w:hAnsi="Aptos" w:cs="Times New Roman"/>
          <w:color w:val="212121"/>
          <w:kern w:val="0"/>
          <w14:ligatures w14:val="none"/>
        </w:rPr>
      </w:pPr>
      <w:r w:rsidRPr="00945B88">
        <w:rPr>
          <w:rFonts w:ascii="Aptos" w:eastAsia="Times New Roman" w:hAnsi="Aptos" w:cs="Times New Roman"/>
          <w:color w:val="212121"/>
          <w:kern w:val="0"/>
          <w14:ligatures w14:val="none"/>
        </w:rPr>
        <w:t>Rep. Carla Cunningham, a longtime Charlotte lawmaker who frustrated House Democrats with her willingness to join Republicans on veto override votes, re-registered as Unaffiliated on Friday. In a statement, Cunningham said she realized she wanted "to serve the people, not a party," and that being "an independent thinker does not align with party politics." The announcement came at the close of the first week of session and follows a decisive March primary loss, in which nearly 70% of voters backed challenger Rev. Dr. Rodney Sadler compared to roughly 22% for Cunningham — meaning she will not return to the House regardless of her new affiliation. The move does not shift the balance of power — Republicans hold 71 of 120 House seats — but carries real implications for veto politics. The Republicans are one vote short of the supermajority needed to override Stein's vetoes in the House, and Cunningham's past willingness to cross the aisle makes her a continued wild card through the end of her term. Republicans already hold a veto-proof supermajority in the Senate.</w:t>
      </w:r>
    </w:p>
    <w:p w14:paraId="7ECD944A" w14:textId="77777777" w:rsidR="00945B88" w:rsidRPr="00945B88" w:rsidRDefault="00945B88" w:rsidP="00945B88">
      <w:pPr>
        <w:spacing w:after="0" w:line="240" w:lineRule="auto"/>
        <w:rPr>
          <w:rFonts w:ascii="Aptos" w:eastAsia="Times New Roman" w:hAnsi="Aptos" w:cs="Times New Roman"/>
          <w:color w:val="212121"/>
          <w:kern w:val="0"/>
          <w14:ligatures w14:val="none"/>
        </w:rPr>
      </w:pPr>
      <w:r w:rsidRPr="00945B88">
        <w:rPr>
          <w:rFonts w:ascii="Aptos" w:eastAsia="Times New Roman" w:hAnsi="Aptos" w:cs="Times New Roman"/>
          <w:color w:val="212121"/>
          <w:kern w:val="0"/>
          <w14:ligatures w14:val="none"/>
        </w:rPr>
        <w:t> </w:t>
      </w:r>
    </w:p>
    <w:p w14:paraId="2FBED6F7" w14:textId="77777777" w:rsidR="00945B88" w:rsidRPr="00945B88" w:rsidRDefault="00945B88" w:rsidP="00945B88">
      <w:pPr>
        <w:spacing w:after="0" w:line="240" w:lineRule="auto"/>
        <w:rPr>
          <w:rFonts w:ascii="Aptos" w:eastAsia="Times New Roman" w:hAnsi="Aptos" w:cs="Times New Roman"/>
          <w:color w:val="212121"/>
          <w:kern w:val="0"/>
          <w14:ligatures w14:val="none"/>
        </w:rPr>
      </w:pPr>
      <w:r w:rsidRPr="00945B88">
        <w:rPr>
          <w:rFonts w:ascii="Aptos" w:eastAsia="Times New Roman" w:hAnsi="Aptos" w:cs="Times New Roman"/>
          <w:b/>
          <w:bCs/>
          <w:color w:val="212121"/>
          <w:kern w:val="0"/>
          <w14:ligatures w14:val="none"/>
        </w:rPr>
        <w:t>Other Legislative Action</w:t>
      </w:r>
    </w:p>
    <w:p w14:paraId="474993C7" w14:textId="77777777" w:rsidR="00945B88" w:rsidRPr="00945B88" w:rsidRDefault="00945B88" w:rsidP="00945B88">
      <w:pPr>
        <w:spacing w:after="0" w:line="240" w:lineRule="auto"/>
        <w:ind w:left="400" w:hanging="220"/>
        <w:rPr>
          <w:rFonts w:ascii="Aptos" w:eastAsia="Times New Roman" w:hAnsi="Aptos" w:cs="Times New Roman"/>
          <w:color w:val="212121"/>
          <w:kern w:val="0"/>
          <w14:ligatures w14:val="none"/>
        </w:rPr>
      </w:pPr>
      <w:r w:rsidRPr="00945B88">
        <w:rPr>
          <w:rFonts w:ascii="Aptos" w:eastAsia="Times New Roman" w:hAnsi="Aptos" w:cs="Times New Roman"/>
          <w:color w:val="212121"/>
          <w:kern w:val="0"/>
          <w14:ligatures w14:val="none"/>
        </w:rPr>
        <w:t>•</w:t>
      </w:r>
      <w:r w:rsidRPr="00945B88">
        <w:rPr>
          <w:rFonts w:ascii="Times New Roman" w:eastAsia="Times New Roman" w:hAnsi="Times New Roman" w:cs="Times New Roman"/>
          <w:color w:val="212121"/>
          <w:kern w:val="0"/>
          <w:sz w:val="14"/>
          <w:szCs w:val="14"/>
          <w14:ligatures w14:val="none"/>
        </w:rPr>
        <w:t>    </w:t>
      </w:r>
      <w:r w:rsidRPr="00945B88">
        <w:rPr>
          <w:rFonts w:ascii="Aptos" w:eastAsia="Times New Roman" w:hAnsi="Aptos" w:cs="Times New Roman"/>
          <w:color w:val="212121"/>
          <w:kern w:val="0"/>
          <w14:ligatures w14:val="none"/>
        </w:rPr>
        <w:t>Sen. Woodson Bradley (D-Mecklenburg) filed 16 of 55 Senate bills on opening day — 41% of the total.</w:t>
      </w:r>
    </w:p>
    <w:p w14:paraId="6CB70F29" w14:textId="77777777" w:rsidR="00945B88" w:rsidRPr="00945B88" w:rsidRDefault="00945B88" w:rsidP="00945B88">
      <w:pPr>
        <w:spacing w:after="0" w:line="240" w:lineRule="auto"/>
        <w:ind w:left="400" w:hanging="220"/>
        <w:rPr>
          <w:rFonts w:ascii="Aptos" w:eastAsia="Times New Roman" w:hAnsi="Aptos" w:cs="Times New Roman"/>
          <w:color w:val="212121"/>
          <w:kern w:val="0"/>
          <w14:ligatures w14:val="none"/>
        </w:rPr>
      </w:pPr>
      <w:r w:rsidRPr="00945B88">
        <w:rPr>
          <w:rFonts w:ascii="Aptos" w:eastAsia="Times New Roman" w:hAnsi="Aptos" w:cs="Times New Roman"/>
          <w:color w:val="212121"/>
          <w:kern w:val="0"/>
          <w14:ligatures w14:val="none"/>
        </w:rPr>
        <w:t>•</w:t>
      </w:r>
      <w:r w:rsidRPr="00945B88">
        <w:rPr>
          <w:rFonts w:ascii="Times New Roman" w:eastAsia="Times New Roman" w:hAnsi="Times New Roman" w:cs="Times New Roman"/>
          <w:color w:val="212121"/>
          <w:kern w:val="0"/>
          <w:sz w:val="14"/>
          <w:szCs w:val="14"/>
          <w14:ligatures w14:val="none"/>
        </w:rPr>
        <w:t>    </w:t>
      </w:r>
      <w:r w:rsidRPr="00945B88">
        <w:rPr>
          <w:rFonts w:ascii="Aptos" w:eastAsia="Times New Roman" w:hAnsi="Aptos" w:cs="Times New Roman"/>
          <w:color w:val="212121"/>
          <w:kern w:val="0"/>
          <w14:ligatures w14:val="none"/>
        </w:rPr>
        <w:t>Rep. Ben Moss (R-Richmond) was elected the new House Freedom Caucus chair after Rep. Keith Kidwell (R-Beaufort) resigned following his primary loss</w:t>
      </w:r>
    </w:p>
    <w:p w14:paraId="45CD77E1" w14:textId="77777777" w:rsidR="00945B88" w:rsidRPr="00945B88" w:rsidRDefault="00945B88" w:rsidP="00945B88">
      <w:pPr>
        <w:spacing w:after="0" w:line="240" w:lineRule="auto"/>
        <w:ind w:left="400" w:hanging="220"/>
        <w:rPr>
          <w:rFonts w:ascii="Aptos" w:eastAsia="Times New Roman" w:hAnsi="Aptos" w:cs="Times New Roman"/>
          <w:color w:val="212121"/>
          <w:kern w:val="0"/>
          <w14:ligatures w14:val="none"/>
        </w:rPr>
      </w:pPr>
      <w:r w:rsidRPr="00945B88">
        <w:rPr>
          <w:rFonts w:ascii="Aptos" w:eastAsia="Times New Roman" w:hAnsi="Aptos" w:cs="Times New Roman"/>
          <w:color w:val="212121"/>
          <w:kern w:val="0"/>
          <w14:ligatures w14:val="none"/>
        </w:rPr>
        <w:t>•</w:t>
      </w:r>
      <w:r w:rsidRPr="00945B88">
        <w:rPr>
          <w:rFonts w:ascii="Times New Roman" w:eastAsia="Times New Roman" w:hAnsi="Times New Roman" w:cs="Times New Roman"/>
          <w:color w:val="212121"/>
          <w:kern w:val="0"/>
          <w:sz w:val="14"/>
          <w:szCs w:val="14"/>
          <w14:ligatures w14:val="none"/>
        </w:rPr>
        <w:t>    </w:t>
      </w:r>
      <w:r w:rsidRPr="00945B88">
        <w:rPr>
          <w:rFonts w:ascii="Aptos" w:eastAsia="Times New Roman" w:hAnsi="Aptos" w:cs="Times New Roman"/>
          <w:color w:val="212121"/>
          <w:kern w:val="0"/>
          <w14:ligatures w14:val="none"/>
        </w:rPr>
        <w:t>Other Senate bills include zero-based budgeting for state agencies (Burgin/McInnis), increased Medicaid dental reimbursements (Adcock/Corbin/Burgin), and the NC Economic Forecasting Initiative for county-level economic data (Hise)</w:t>
      </w:r>
    </w:p>
    <w:p w14:paraId="767CC070" w14:textId="77777777" w:rsidR="00945B88" w:rsidRPr="00945B88" w:rsidRDefault="00945B88" w:rsidP="00945B88">
      <w:pPr>
        <w:spacing w:after="0" w:line="240" w:lineRule="auto"/>
        <w:rPr>
          <w:rFonts w:ascii="Aptos" w:eastAsia="Times New Roman" w:hAnsi="Aptos" w:cs="Times New Roman"/>
          <w:color w:val="212121"/>
          <w:kern w:val="0"/>
          <w14:ligatures w14:val="none"/>
        </w:rPr>
      </w:pPr>
      <w:r w:rsidRPr="00945B88">
        <w:rPr>
          <w:rFonts w:ascii="Aptos" w:eastAsia="Times New Roman" w:hAnsi="Aptos" w:cs="Times New Roman"/>
          <w:color w:val="212121"/>
          <w:kern w:val="0"/>
          <w14:ligatures w14:val="none"/>
        </w:rPr>
        <w:t> </w:t>
      </w:r>
    </w:p>
    <w:p w14:paraId="2AEF7064" w14:textId="77777777" w:rsidR="00945B88" w:rsidRPr="00945B88" w:rsidRDefault="00945B88" w:rsidP="00945B88">
      <w:pPr>
        <w:spacing w:after="0" w:line="240" w:lineRule="auto"/>
        <w:rPr>
          <w:rFonts w:ascii="Aptos" w:eastAsia="Times New Roman" w:hAnsi="Aptos" w:cs="Times New Roman"/>
          <w:color w:val="212121"/>
          <w:kern w:val="0"/>
          <w14:ligatures w14:val="none"/>
        </w:rPr>
      </w:pPr>
      <w:r w:rsidRPr="00945B88">
        <w:rPr>
          <w:rFonts w:ascii="Aptos" w:eastAsia="Times New Roman" w:hAnsi="Aptos" w:cs="Times New Roman"/>
          <w:color w:val="212121"/>
          <w:kern w:val="0"/>
          <w14:ligatures w14:val="none"/>
        </w:rPr>
        <w:t>The House and Senate adjourned on Thursday and will reconvene on Monday, April 27, 2026.</w:t>
      </w:r>
    </w:p>
    <w:p w14:paraId="3EB76ECA" w14:textId="77777777" w:rsidR="00945B88" w:rsidRPr="00945B88" w:rsidRDefault="00945B88" w:rsidP="00945B88">
      <w:pPr>
        <w:spacing w:after="0" w:line="240" w:lineRule="auto"/>
        <w:rPr>
          <w:rFonts w:ascii="Aptos" w:eastAsia="Times New Roman" w:hAnsi="Aptos" w:cs="Times New Roman"/>
          <w:color w:val="212121"/>
          <w:kern w:val="0"/>
          <w14:ligatures w14:val="none"/>
        </w:rPr>
      </w:pPr>
      <w:r w:rsidRPr="00945B88">
        <w:rPr>
          <w:rFonts w:ascii="Aptos" w:eastAsia="Times New Roman" w:hAnsi="Aptos" w:cs="Times New Roman"/>
          <w:color w:val="212121"/>
          <w:kern w:val="0"/>
          <w14:ligatures w14:val="none"/>
        </w:rPr>
        <w:t> </w:t>
      </w:r>
    </w:p>
    <w:p w14:paraId="1E2219A5" w14:textId="77777777" w:rsidR="00945B88" w:rsidRPr="00945B88" w:rsidRDefault="00945B88" w:rsidP="00945B88">
      <w:pPr>
        <w:spacing w:after="0" w:line="240" w:lineRule="auto"/>
        <w:rPr>
          <w:rFonts w:ascii="Aptos" w:eastAsia="Times New Roman" w:hAnsi="Aptos" w:cs="Times New Roman"/>
          <w:color w:val="212121"/>
          <w:kern w:val="0"/>
          <w14:ligatures w14:val="none"/>
        </w:rPr>
      </w:pPr>
      <w:r w:rsidRPr="00945B88">
        <w:rPr>
          <w:rFonts w:ascii="Aptos" w:eastAsia="Times New Roman" w:hAnsi="Aptos" w:cs="Times New Roman"/>
          <w:color w:val="212121"/>
          <w:kern w:val="0"/>
          <w14:ligatures w14:val="none"/>
        </w:rPr>
        <w:t> </w:t>
      </w:r>
    </w:p>
    <w:tbl>
      <w:tblPr>
        <w:tblW w:w="5000" w:type="pct"/>
        <w:tblCellMar>
          <w:left w:w="0" w:type="dxa"/>
          <w:right w:w="0" w:type="dxa"/>
        </w:tblCellMar>
        <w:tblLook w:val="04A0" w:firstRow="1" w:lastRow="0" w:firstColumn="1" w:lastColumn="0" w:noHBand="0" w:noVBand="1"/>
      </w:tblPr>
      <w:tblGrid>
        <w:gridCol w:w="9360"/>
      </w:tblGrid>
      <w:tr w:rsidR="00945B88" w:rsidRPr="00945B88" w14:paraId="2675718E" w14:textId="77777777">
        <w:tc>
          <w:tcPr>
            <w:tcW w:w="0" w:type="auto"/>
            <w:hideMark/>
          </w:tcPr>
          <w:tbl>
            <w:tblPr>
              <w:tblW w:w="0" w:type="auto"/>
              <w:tblCellMar>
                <w:left w:w="0" w:type="dxa"/>
                <w:right w:w="0" w:type="dxa"/>
              </w:tblCellMar>
              <w:tblLook w:val="04A0" w:firstRow="1" w:lastRow="0" w:firstColumn="1" w:lastColumn="0" w:noHBand="0" w:noVBand="1"/>
            </w:tblPr>
            <w:tblGrid>
              <w:gridCol w:w="3960"/>
            </w:tblGrid>
            <w:tr w:rsidR="00945B88" w:rsidRPr="00945B88" w14:paraId="6C5666A8" w14:textId="77777777">
              <w:tc>
                <w:tcPr>
                  <w:tcW w:w="0" w:type="auto"/>
                  <w:hideMark/>
                </w:tcPr>
                <w:tbl>
                  <w:tblPr>
                    <w:tblW w:w="0" w:type="auto"/>
                    <w:tblCellMar>
                      <w:left w:w="0" w:type="dxa"/>
                      <w:right w:w="0" w:type="dxa"/>
                    </w:tblCellMar>
                    <w:tblLook w:val="04A0" w:firstRow="1" w:lastRow="0" w:firstColumn="1" w:lastColumn="0" w:noHBand="0" w:noVBand="1"/>
                  </w:tblPr>
                  <w:tblGrid>
                    <w:gridCol w:w="2909"/>
                  </w:tblGrid>
                  <w:tr w:rsidR="00945B88" w:rsidRPr="00945B88" w14:paraId="0503B32E" w14:textId="77777777">
                    <w:tc>
                      <w:tcPr>
                        <w:tcW w:w="0" w:type="auto"/>
                        <w:hideMark/>
                      </w:tcPr>
                      <w:p w14:paraId="1D3E95C0" w14:textId="77777777" w:rsidR="00945B88" w:rsidRPr="00945B88" w:rsidRDefault="00945B88" w:rsidP="00945B88">
                        <w:pPr>
                          <w:spacing w:after="0" w:line="240" w:lineRule="auto"/>
                          <w:rPr>
                            <w:rFonts w:ascii="Aptos" w:eastAsia="Times New Roman" w:hAnsi="Aptos" w:cs="Times New Roman"/>
                            <w:kern w:val="0"/>
                            <w14:ligatures w14:val="none"/>
                          </w:rPr>
                        </w:pPr>
                        <w:r w:rsidRPr="00945B88">
                          <w:rPr>
                            <w:rFonts w:ascii="Arial" w:eastAsia="Times New Roman" w:hAnsi="Arial" w:cs="Arial"/>
                            <w:b/>
                            <w:bCs/>
                            <w:color w:val="58878F"/>
                            <w:kern w:val="0"/>
                            <w:sz w:val="20"/>
                            <w:szCs w:val="20"/>
                            <w14:ligatures w14:val="none"/>
                          </w:rPr>
                          <w:t>David P. Ferrell</w:t>
                        </w:r>
                      </w:p>
                    </w:tc>
                  </w:tr>
                  <w:tr w:rsidR="00945B88" w:rsidRPr="00945B88" w14:paraId="089C2B59" w14:textId="77777777">
                    <w:tc>
                      <w:tcPr>
                        <w:tcW w:w="0" w:type="auto"/>
                        <w:hideMark/>
                      </w:tcPr>
                      <w:tbl>
                        <w:tblPr>
                          <w:tblW w:w="0" w:type="auto"/>
                          <w:tblCellMar>
                            <w:left w:w="0" w:type="dxa"/>
                            <w:right w:w="0" w:type="dxa"/>
                          </w:tblCellMar>
                          <w:tblLook w:val="04A0" w:firstRow="1" w:lastRow="0" w:firstColumn="1" w:lastColumn="0" w:noHBand="0" w:noVBand="1"/>
                        </w:tblPr>
                        <w:tblGrid>
                          <w:gridCol w:w="981"/>
                          <w:gridCol w:w="147"/>
                          <w:gridCol w:w="1781"/>
                        </w:tblGrid>
                        <w:tr w:rsidR="00945B88" w:rsidRPr="00945B88" w14:paraId="1ECAB3ED" w14:textId="77777777">
                          <w:tc>
                            <w:tcPr>
                              <w:tcW w:w="0" w:type="auto"/>
                              <w:hideMark/>
                            </w:tcPr>
                            <w:p w14:paraId="79FDA9AC" w14:textId="77777777" w:rsidR="00945B88" w:rsidRPr="00945B88" w:rsidRDefault="00945B88" w:rsidP="00945B88">
                              <w:pPr>
                                <w:spacing w:after="0" w:line="240" w:lineRule="auto"/>
                                <w:rPr>
                                  <w:rFonts w:ascii="Aptos" w:eastAsia="Times New Roman" w:hAnsi="Aptos" w:cs="Times New Roman"/>
                                  <w:kern w:val="0"/>
                                  <w14:ligatures w14:val="none"/>
                                </w:rPr>
                              </w:pPr>
                              <w:r w:rsidRPr="00945B88">
                                <w:rPr>
                                  <w:rFonts w:ascii="Arial" w:eastAsia="Times New Roman" w:hAnsi="Arial" w:cs="Arial"/>
                                  <w:color w:val="A7A9AC"/>
                                  <w:kern w:val="0"/>
                                  <w:sz w:val="18"/>
                                  <w:szCs w:val="18"/>
                                  <w14:ligatures w14:val="none"/>
                                </w:rPr>
                                <w:t>Shareholder</w:t>
                              </w:r>
                            </w:p>
                          </w:tc>
                          <w:tc>
                            <w:tcPr>
                              <w:tcW w:w="0" w:type="auto"/>
                              <w:hideMark/>
                            </w:tcPr>
                            <w:p w14:paraId="13633402" w14:textId="77777777" w:rsidR="00945B88" w:rsidRPr="00945B88" w:rsidRDefault="00945B88" w:rsidP="00945B88">
                              <w:pPr>
                                <w:spacing w:after="0" w:line="240" w:lineRule="auto"/>
                                <w:rPr>
                                  <w:rFonts w:ascii="Aptos" w:eastAsia="Times New Roman" w:hAnsi="Aptos" w:cs="Times New Roman"/>
                                  <w:kern w:val="0"/>
                                  <w14:ligatures w14:val="none"/>
                                </w:rPr>
                              </w:pPr>
                              <w:r w:rsidRPr="00945B88">
                                <w:rPr>
                                  <w:rFonts w:ascii="Arial" w:eastAsia="Times New Roman" w:hAnsi="Arial" w:cs="Arial"/>
                                  <w:color w:val="A7A9AC"/>
                                  <w:kern w:val="0"/>
                                  <w:sz w:val="18"/>
                                  <w:szCs w:val="18"/>
                                  <w14:ligatures w14:val="none"/>
                                </w:rPr>
                                <w:t> | </w:t>
                              </w:r>
                            </w:p>
                          </w:tc>
                          <w:tc>
                            <w:tcPr>
                              <w:tcW w:w="0" w:type="auto"/>
                              <w:hideMark/>
                            </w:tcPr>
                            <w:p w14:paraId="5FCEE241" w14:textId="77777777" w:rsidR="00945B88" w:rsidRPr="00945B88" w:rsidRDefault="00945B88" w:rsidP="00945B88">
                              <w:pPr>
                                <w:spacing w:after="0" w:line="240" w:lineRule="auto"/>
                                <w:rPr>
                                  <w:rFonts w:ascii="Aptos" w:eastAsia="Times New Roman" w:hAnsi="Aptos" w:cs="Times New Roman"/>
                                  <w:kern w:val="0"/>
                                  <w14:ligatures w14:val="none"/>
                                </w:rPr>
                              </w:pPr>
                              <w:r w:rsidRPr="00945B88">
                                <w:rPr>
                                  <w:rFonts w:ascii="Arial" w:eastAsia="Times New Roman" w:hAnsi="Arial" w:cs="Arial"/>
                                  <w:color w:val="A7A9AC"/>
                                  <w:kern w:val="0"/>
                                  <w:sz w:val="18"/>
                                  <w:szCs w:val="18"/>
                                  <w14:ligatures w14:val="none"/>
                                </w:rPr>
                                <w:t>Government Solutions</w:t>
                              </w:r>
                            </w:p>
                          </w:tc>
                        </w:tr>
                      </w:tbl>
                      <w:p w14:paraId="61655C8B" w14:textId="77777777" w:rsidR="00945B88" w:rsidRPr="00945B88" w:rsidRDefault="00945B88" w:rsidP="00945B88">
                        <w:pPr>
                          <w:spacing w:after="0" w:line="240" w:lineRule="auto"/>
                          <w:rPr>
                            <w:rFonts w:ascii="Times New Roman" w:eastAsia="Times New Roman" w:hAnsi="Times New Roman" w:cs="Times New Roman"/>
                            <w:kern w:val="0"/>
                            <w14:ligatures w14:val="none"/>
                          </w:rPr>
                        </w:pPr>
                      </w:p>
                    </w:tc>
                  </w:tr>
                  <w:tr w:rsidR="00945B88" w:rsidRPr="00945B88" w14:paraId="5CBD61BF" w14:textId="77777777">
                    <w:tc>
                      <w:tcPr>
                        <w:tcW w:w="0" w:type="auto"/>
                        <w:hideMark/>
                      </w:tcPr>
                      <w:tbl>
                        <w:tblPr>
                          <w:tblW w:w="0" w:type="auto"/>
                          <w:tblCellMar>
                            <w:left w:w="0" w:type="dxa"/>
                            <w:right w:w="0" w:type="dxa"/>
                          </w:tblCellMar>
                          <w:tblLook w:val="04A0" w:firstRow="1" w:lastRow="0" w:firstColumn="1" w:lastColumn="0" w:noHBand="0" w:noVBand="1"/>
                        </w:tblPr>
                        <w:tblGrid>
                          <w:gridCol w:w="1501"/>
                        </w:tblGrid>
                        <w:tr w:rsidR="00945B88" w:rsidRPr="00945B88" w14:paraId="74709D93" w14:textId="77777777">
                          <w:tc>
                            <w:tcPr>
                              <w:tcW w:w="0" w:type="auto"/>
                              <w:hideMark/>
                            </w:tcPr>
                            <w:p w14:paraId="6A37A98E" w14:textId="77777777" w:rsidR="00945B88" w:rsidRPr="00945B88" w:rsidRDefault="00945B88" w:rsidP="00945B88">
                              <w:pPr>
                                <w:spacing w:after="0" w:line="240" w:lineRule="auto"/>
                                <w:rPr>
                                  <w:rFonts w:ascii="Aptos" w:eastAsia="Times New Roman" w:hAnsi="Aptos" w:cs="Times New Roman"/>
                                  <w:kern w:val="0"/>
                                  <w14:ligatures w14:val="none"/>
                                </w:rPr>
                              </w:pPr>
                              <w:r w:rsidRPr="00945B88">
                                <w:rPr>
                                  <w:rFonts w:ascii="Arial" w:eastAsia="Times New Roman" w:hAnsi="Arial" w:cs="Arial"/>
                                  <w:color w:val="58878F"/>
                                  <w:kern w:val="0"/>
                                  <w:sz w:val="18"/>
                                  <w:szCs w:val="18"/>
                                  <w14:ligatures w14:val="none"/>
                                </w:rPr>
                                <w:t>P: (919) 573</w:t>
                              </w:r>
                              <w:r w:rsidRPr="00945B88">
                                <w:rPr>
                                  <w:rFonts w:ascii="Arial" w:eastAsia="Times New Roman" w:hAnsi="Arial" w:cs="Arial"/>
                                  <w:color w:val="58878F"/>
                                  <w:kern w:val="0"/>
                                  <w:sz w:val="18"/>
                                  <w:szCs w:val="18"/>
                                  <w14:ligatures w14:val="none"/>
                                </w:rPr>
                                <w:noBreakHyphen/>
                                <w:t>7421 </w:t>
                              </w:r>
                            </w:p>
                          </w:tc>
                        </w:tr>
                      </w:tbl>
                      <w:p w14:paraId="1F5A0D4F" w14:textId="77777777" w:rsidR="00945B88" w:rsidRPr="00945B88" w:rsidRDefault="00945B88" w:rsidP="00945B88">
                        <w:pPr>
                          <w:spacing w:after="0" w:line="240" w:lineRule="auto"/>
                          <w:rPr>
                            <w:rFonts w:ascii="Times New Roman" w:eastAsia="Times New Roman" w:hAnsi="Times New Roman" w:cs="Times New Roman"/>
                            <w:kern w:val="0"/>
                            <w14:ligatures w14:val="none"/>
                          </w:rPr>
                        </w:pPr>
                      </w:p>
                    </w:tc>
                  </w:tr>
                  <w:tr w:rsidR="00945B88" w:rsidRPr="00945B88" w14:paraId="41567FFD" w14:textId="77777777">
                    <w:tc>
                      <w:tcPr>
                        <w:tcW w:w="0" w:type="auto"/>
                        <w:hideMark/>
                      </w:tcPr>
                      <w:tbl>
                        <w:tblPr>
                          <w:tblW w:w="0" w:type="auto"/>
                          <w:tblCellMar>
                            <w:left w:w="0" w:type="dxa"/>
                            <w:right w:w="0" w:type="dxa"/>
                          </w:tblCellMar>
                          <w:tblLook w:val="04A0" w:firstRow="1" w:lastRow="0" w:firstColumn="1" w:lastColumn="0" w:noHBand="0" w:noVBand="1"/>
                        </w:tblPr>
                        <w:tblGrid>
                          <w:gridCol w:w="2494"/>
                        </w:tblGrid>
                        <w:tr w:rsidR="00945B88" w:rsidRPr="00945B88" w14:paraId="20D24799" w14:textId="77777777">
                          <w:tc>
                            <w:tcPr>
                              <w:tcW w:w="0" w:type="auto"/>
                              <w:hideMark/>
                            </w:tcPr>
                            <w:p w14:paraId="685BB241" w14:textId="77777777" w:rsidR="00945B88" w:rsidRPr="00945B88" w:rsidRDefault="00945B88" w:rsidP="00945B88">
                              <w:pPr>
                                <w:spacing w:after="0" w:line="240" w:lineRule="auto"/>
                                <w:rPr>
                                  <w:rFonts w:ascii="Aptos" w:eastAsia="Times New Roman" w:hAnsi="Aptos" w:cs="Times New Roman"/>
                                  <w:kern w:val="0"/>
                                  <w14:ligatures w14:val="none"/>
                                </w:rPr>
                              </w:pPr>
                              <w:hyperlink r:id="rId4" w:tgtFrame="_blank" w:tooltip="mailto:DFerrell@maynardnexsen.com" w:history="1">
                                <w:r w:rsidRPr="00945B88">
                                  <w:rPr>
                                    <w:rFonts w:ascii="Arial" w:eastAsia="Times New Roman" w:hAnsi="Arial" w:cs="Arial"/>
                                    <w:color w:val="A7A9AC"/>
                                    <w:kern w:val="0"/>
                                    <w:sz w:val="18"/>
                                    <w:szCs w:val="18"/>
                                    <w14:ligatures w14:val="none"/>
                                  </w:rPr>
                                  <w:t>DFerrell@maynardnexsen.com</w:t>
                                </w:r>
                              </w:hyperlink>
                            </w:p>
                          </w:tc>
                        </w:tr>
                      </w:tbl>
                      <w:p w14:paraId="3E118635" w14:textId="77777777" w:rsidR="00945B88" w:rsidRPr="00945B88" w:rsidRDefault="00945B88" w:rsidP="00945B88">
                        <w:pPr>
                          <w:spacing w:after="0" w:line="240" w:lineRule="auto"/>
                          <w:rPr>
                            <w:rFonts w:ascii="Times New Roman" w:eastAsia="Times New Roman" w:hAnsi="Times New Roman" w:cs="Times New Roman"/>
                            <w:kern w:val="0"/>
                            <w14:ligatures w14:val="none"/>
                          </w:rPr>
                        </w:pPr>
                      </w:p>
                    </w:tc>
                  </w:tr>
                </w:tbl>
                <w:p w14:paraId="2E78D37E" w14:textId="77777777" w:rsidR="00945B88" w:rsidRPr="00945B88" w:rsidRDefault="00945B88" w:rsidP="00945B88">
                  <w:pPr>
                    <w:spacing w:after="0" w:line="240" w:lineRule="auto"/>
                    <w:rPr>
                      <w:rFonts w:ascii="Times New Roman" w:eastAsia="Times New Roman" w:hAnsi="Times New Roman" w:cs="Times New Roman"/>
                      <w:kern w:val="0"/>
                      <w14:ligatures w14:val="none"/>
                    </w:rPr>
                  </w:pPr>
                </w:p>
              </w:tc>
            </w:tr>
            <w:tr w:rsidR="00945B88" w:rsidRPr="00945B88" w14:paraId="1373393E" w14:textId="77777777">
              <w:tc>
                <w:tcPr>
                  <w:tcW w:w="0" w:type="auto"/>
                  <w:hideMark/>
                </w:tcPr>
                <w:p w14:paraId="49AD2BB9" w14:textId="77777777" w:rsidR="00945B88" w:rsidRPr="00945B88" w:rsidRDefault="00945B88" w:rsidP="00945B88">
                  <w:pPr>
                    <w:spacing w:after="0" w:line="240" w:lineRule="auto"/>
                    <w:rPr>
                      <w:rFonts w:ascii="Times New Roman" w:eastAsia="Times New Roman" w:hAnsi="Times New Roman" w:cs="Times New Roman"/>
                      <w:kern w:val="0"/>
                      <w:sz w:val="20"/>
                      <w:szCs w:val="20"/>
                      <w14:ligatures w14:val="none"/>
                    </w:rPr>
                  </w:pPr>
                </w:p>
              </w:tc>
            </w:tr>
            <w:tr w:rsidR="00945B88" w:rsidRPr="00945B88" w14:paraId="1118F9D7" w14:textId="77777777">
              <w:tc>
                <w:tcPr>
                  <w:tcW w:w="0" w:type="auto"/>
                  <w:tcMar>
                    <w:top w:w="165" w:type="dxa"/>
                    <w:left w:w="0" w:type="dxa"/>
                    <w:bottom w:w="0" w:type="dxa"/>
                    <w:right w:w="0" w:type="dxa"/>
                  </w:tcMar>
                  <w:hideMark/>
                </w:tcPr>
                <w:tbl>
                  <w:tblPr>
                    <w:tblW w:w="0" w:type="auto"/>
                    <w:tblCellMar>
                      <w:left w:w="0" w:type="dxa"/>
                      <w:right w:w="0" w:type="dxa"/>
                    </w:tblCellMar>
                    <w:tblLook w:val="04A0" w:firstRow="1" w:lastRow="0" w:firstColumn="1" w:lastColumn="0" w:noHBand="0" w:noVBand="1"/>
                  </w:tblPr>
                  <w:tblGrid>
                    <w:gridCol w:w="2425"/>
                  </w:tblGrid>
                  <w:tr w:rsidR="00945B88" w:rsidRPr="00945B88" w14:paraId="149569CD" w14:textId="77777777">
                    <w:tc>
                      <w:tcPr>
                        <w:tcW w:w="0" w:type="auto"/>
                        <w:hideMark/>
                      </w:tcPr>
                      <w:p w14:paraId="4667BB9E" w14:textId="77777777" w:rsidR="00945B88" w:rsidRPr="00945B88" w:rsidRDefault="00945B88" w:rsidP="00945B88">
                        <w:pPr>
                          <w:spacing w:after="0" w:line="240" w:lineRule="auto"/>
                          <w:rPr>
                            <w:rFonts w:ascii="Aptos" w:eastAsia="Times New Roman" w:hAnsi="Aptos" w:cs="Times New Roman"/>
                            <w:kern w:val="0"/>
                            <w14:ligatures w14:val="none"/>
                          </w:rPr>
                        </w:pPr>
                        <w:r w:rsidRPr="00945B88">
                          <w:rPr>
                            <w:rFonts w:ascii="Arial" w:eastAsia="Times New Roman" w:hAnsi="Arial" w:cs="Arial"/>
                            <w:color w:val="A7A9AC"/>
                            <w:kern w:val="0"/>
                            <w:sz w:val="18"/>
                            <w:szCs w:val="18"/>
                            <w14:ligatures w14:val="none"/>
                          </w:rPr>
                          <w:t>4141 </w:t>
                        </w:r>
                        <w:proofErr w:type="spellStart"/>
                        <w:r w:rsidRPr="00945B88">
                          <w:rPr>
                            <w:rFonts w:ascii="Arial" w:eastAsia="Times New Roman" w:hAnsi="Arial" w:cs="Arial"/>
                            <w:color w:val="A7A9AC"/>
                            <w:kern w:val="0"/>
                            <w:sz w:val="18"/>
                            <w:szCs w:val="18"/>
                            <w14:ligatures w14:val="none"/>
                          </w:rPr>
                          <w:t>Parklake</w:t>
                        </w:r>
                        <w:proofErr w:type="spellEnd"/>
                        <w:r w:rsidRPr="00945B88">
                          <w:rPr>
                            <w:rFonts w:ascii="Arial" w:eastAsia="Times New Roman" w:hAnsi="Arial" w:cs="Arial"/>
                            <w:color w:val="A7A9AC"/>
                            <w:kern w:val="0"/>
                            <w:sz w:val="18"/>
                            <w:szCs w:val="18"/>
                            <w14:ligatures w14:val="none"/>
                          </w:rPr>
                          <w:t> Avenue </w:t>
                        </w:r>
                        <w:r w:rsidRPr="00945B88">
                          <w:rPr>
                            <w:rFonts w:ascii="Arial" w:eastAsia="Times New Roman" w:hAnsi="Arial" w:cs="Arial"/>
                            <w:color w:val="A7A9AC"/>
                            <w:kern w:val="0"/>
                            <w:sz w:val="18"/>
                            <w:szCs w:val="18"/>
                            <w14:ligatures w14:val="none"/>
                          </w:rPr>
                          <w:br/>
                          <w:t>Suite 200</w:t>
                        </w:r>
                      </w:p>
                    </w:tc>
                  </w:tr>
                  <w:tr w:rsidR="00945B88" w:rsidRPr="00945B88" w14:paraId="2DC59659" w14:textId="77777777">
                    <w:tc>
                      <w:tcPr>
                        <w:tcW w:w="0" w:type="auto"/>
                        <w:hideMark/>
                      </w:tcPr>
                      <w:tbl>
                        <w:tblPr>
                          <w:tblW w:w="0" w:type="auto"/>
                          <w:tblCellMar>
                            <w:left w:w="0" w:type="dxa"/>
                            <w:right w:w="0" w:type="dxa"/>
                          </w:tblCellMar>
                          <w:tblLook w:val="04A0" w:firstRow="1" w:lastRow="0" w:firstColumn="1" w:lastColumn="0" w:noHBand="0" w:noVBand="1"/>
                        </w:tblPr>
                        <w:tblGrid>
                          <w:gridCol w:w="611"/>
                          <w:gridCol w:w="101"/>
                          <w:gridCol w:w="1161"/>
                          <w:gridCol w:w="51"/>
                          <w:gridCol w:w="501"/>
                        </w:tblGrid>
                        <w:tr w:rsidR="00945B88" w:rsidRPr="00945B88" w14:paraId="58B98A90" w14:textId="77777777">
                          <w:tc>
                            <w:tcPr>
                              <w:tcW w:w="0" w:type="auto"/>
                              <w:hideMark/>
                            </w:tcPr>
                            <w:p w14:paraId="4308A94D" w14:textId="77777777" w:rsidR="00945B88" w:rsidRPr="00945B88" w:rsidRDefault="00945B88" w:rsidP="00945B88">
                              <w:pPr>
                                <w:spacing w:after="0" w:line="240" w:lineRule="auto"/>
                                <w:rPr>
                                  <w:rFonts w:ascii="Aptos" w:eastAsia="Times New Roman" w:hAnsi="Aptos" w:cs="Times New Roman"/>
                                  <w:kern w:val="0"/>
                                  <w14:ligatures w14:val="none"/>
                                </w:rPr>
                              </w:pPr>
                              <w:r w:rsidRPr="00945B88">
                                <w:rPr>
                                  <w:rFonts w:ascii="Arial" w:eastAsia="Times New Roman" w:hAnsi="Arial" w:cs="Arial"/>
                                  <w:color w:val="A7A9AC"/>
                                  <w:kern w:val="0"/>
                                  <w:sz w:val="18"/>
                                  <w:szCs w:val="18"/>
                                  <w14:ligatures w14:val="none"/>
                                </w:rPr>
                                <w:t>Raleigh</w:t>
                              </w:r>
                            </w:p>
                          </w:tc>
                          <w:tc>
                            <w:tcPr>
                              <w:tcW w:w="0" w:type="auto"/>
                              <w:hideMark/>
                            </w:tcPr>
                            <w:p w14:paraId="3E53C1EB" w14:textId="77777777" w:rsidR="00945B88" w:rsidRPr="00945B88" w:rsidRDefault="00945B88" w:rsidP="00945B88">
                              <w:pPr>
                                <w:spacing w:after="0" w:line="240" w:lineRule="auto"/>
                                <w:rPr>
                                  <w:rFonts w:ascii="Aptos" w:eastAsia="Times New Roman" w:hAnsi="Aptos" w:cs="Times New Roman"/>
                                  <w:kern w:val="0"/>
                                  <w14:ligatures w14:val="none"/>
                                </w:rPr>
                              </w:pPr>
                              <w:r w:rsidRPr="00945B88">
                                <w:rPr>
                                  <w:rFonts w:ascii="Arial" w:eastAsia="Times New Roman" w:hAnsi="Arial" w:cs="Arial"/>
                                  <w:color w:val="A7A9AC"/>
                                  <w:kern w:val="0"/>
                                  <w:sz w:val="18"/>
                                  <w:szCs w:val="18"/>
                                  <w14:ligatures w14:val="none"/>
                                </w:rPr>
                                <w:t>, </w:t>
                              </w:r>
                            </w:p>
                          </w:tc>
                          <w:tc>
                            <w:tcPr>
                              <w:tcW w:w="0" w:type="auto"/>
                              <w:hideMark/>
                            </w:tcPr>
                            <w:p w14:paraId="2E433122" w14:textId="77777777" w:rsidR="00945B88" w:rsidRPr="00945B88" w:rsidRDefault="00945B88" w:rsidP="00945B88">
                              <w:pPr>
                                <w:spacing w:after="0" w:line="240" w:lineRule="auto"/>
                                <w:rPr>
                                  <w:rFonts w:ascii="Aptos" w:eastAsia="Times New Roman" w:hAnsi="Aptos" w:cs="Times New Roman"/>
                                  <w:kern w:val="0"/>
                                  <w14:ligatures w14:val="none"/>
                                </w:rPr>
                              </w:pPr>
                              <w:r w:rsidRPr="00945B88">
                                <w:rPr>
                                  <w:rFonts w:ascii="Arial" w:eastAsia="Times New Roman" w:hAnsi="Arial" w:cs="Arial"/>
                                  <w:color w:val="A7A9AC"/>
                                  <w:kern w:val="0"/>
                                  <w:sz w:val="18"/>
                                  <w:szCs w:val="18"/>
                                  <w14:ligatures w14:val="none"/>
                                </w:rPr>
                                <w:t>North Carolina</w:t>
                              </w:r>
                            </w:p>
                          </w:tc>
                          <w:tc>
                            <w:tcPr>
                              <w:tcW w:w="0" w:type="auto"/>
                              <w:hideMark/>
                            </w:tcPr>
                            <w:p w14:paraId="62C0BA3E" w14:textId="77777777" w:rsidR="00945B88" w:rsidRPr="00945B88" w:rsidRDefault="00945B88" w:rsidP="00945B88">
                              <w:pPr>
                                <w:spacing w:after="0" w:line="240" w:lineRule="auto"/>
                                <w:rPr>
                                  <w:rFonts w:ascii="Aptos" w:eastAsia="Times New Roman" w:hAnsi="Aptos" w:cs="Times New Roman"/>
                                  <w:kern w:val="0"/>
                                  <w14:ligatures w14:val="none"/>
                                </w:rPr>
                              </w:pPr>
                              <w:r w:rsidRPr="00945B88">
                                <w:rPr>
                                  <w:rFonts w:ascii="Arial" w:eastAsia="Times New Roman" w:hAnsi="Arial" w:cs="Arial"/>
                                  <w:color w:val="A7A9AC"/>
                                  <w:kern w:val="0"/>
                                  <w:sz w:val="18"/>
                                  <w:szCs w:val="18"/>
                                  <w14:ligatures w14:val="none"/>
                                </w:rPr>
                                <w:t> </w:t>
                              </w:r>
                            </w:p>
                          </w:tc>
                          <w:tc>
                            <w:tcPr>
                              <w:tcW w:w="0" w:type="auto"/>
                              <w:hideMark/>
                            </w:tcPr>
                            <w:p w14:paraId="16B5D503" w14:textId="77777777" w:rsidR="00945B88" w:rsidRPr="00945B88" w:rsidRDefault="00945B88" w:rsidP="00945B88">
                              <w:pPr>
                                <w:spacing w:after="0" w:line="240" w:lineRule="auto"/>
                                <w:rPr>
                                  <w:rFonts w:ascii="Aptos" w:eastAsia="Times New Roman" w:hAnsi="Aptos" w:cs="Times New Roman"/>
                                  <w:kern w:val="0"/>
                                  <w14:ligatures w14:val="none"/>
                                </w:rPr>
                              </w:pPr>
                              <w:r w:rsidRPr="00945B88">
                                <w:rPr>
                                  <w:rFonts w:ascii="Arial" w:eastAsia="Times New Roman" w:hAnsi="Arial" w:cs="Arial"/>
                                  <w:color w:val="A7A9AC"/>
                                  <w:kern w:val="0"/>
                                  <w:sz w:val="18"/>
                                  <w:szCs w:val="18"/>
                                  <w14:ligatures w14:val="none"/>
                                </w:rPr>
                                <w:t>27612</w:t>
                              </w:r>
                            </w:p>
                          </w:tc>
                        </w:tr>
                      </w:tbl>
                      <w:p w14:paraId="6105922C" w14:textId="77777777" w:rsidR="00945B88" w:rsidRPr="00945B88" w:rsidRDefault="00945B88" w:rsidP="00945B88">
                        <w:pPr>
                          <w:spacing w:after="0" w:line="240" w:lineRule="auto"/>
                          <w:rPr>
                            <w:rFonts w:ascii="Times New Roman" w:eastAsia="Times New Roman" w:hAnsi="Times New Roman" w:cs="Times New Roman"/>
                            <w:kern w:val="0"/>
                            <w14:ligatures w14:val="none"/>
                          </w:rPr>
                        </w:pPr>
                      </w:p>
                    </w:tc>
                  </w:tr>
                </w:tbl>
                <w:p w14:paraId="1025B18C" w14:textId="77777777" w:rsidR="00945B88" w:rsidRPr="00945B88" w:rsidRDefault="00945B88" w:rsidP="00945B88">
                  <w:pPr>
                    <w:spacing w:after="0" w:line="240" w:lineRule="auto"/>
                    <w:rPr>
                      <w:rFonts w:ascii="Times New Roman" w:eastAsia="Times New Roman" w:hAnsi="Times New Roman" w:cs="Times New Roman"/>
                      <w:kern w:val="0"/>
                      <w14:ligatures w14:val="none"/>
                    </w:rPr>
                  </w:pPr>
                </w:p>
              </w:tc>
            </w:tr>
            <w:tr w:rsidR="00945B88" w:rsidRPr="00945B88" w14:paraId="49AA1B95" w14:textId="77777777">
              <w:tc>
                <w:tcPr>
                  <w:tcW w:w="0" w:type="auto"/>
                  <w:tcMar>
                    <w:top w:w="195" w:type="dxa"/>
                    <w:left w:w="0" w:type="dxa"/>
                    <w:bottom w:w="0" w:type="dxa"/>
                    <w:right w:w="0" w:type="dxa"/>
                  </w:tcMar>
                  <w:hideMark/>
                </w:tcPr>
                <w:p w14:paraId="06356681" w14:textId="3DD9476E" w:rsidR="00945B88" w:rsidRPr="00945B88" w:rsidRDefault="00945B88" w:rsidP="00945B88">
                  <w:pPr>
                    <w:spacing w:after="0" w:line="240" w:lineRule="auto"/>
                    <w:rPr>
                      <w:rFonts w:ascii="Aptos" w:eastAsia="Times New Roman" w:hAnsi="Aptos" w:cs="Times New Roman"/>
                      <w:kern w:val="0"/>
                      <w14:ligatures w14:val="none"/>
                    </w:rPr>
                  </w:pPr>
                  <w:r w:rsidRPr="00945B88">
                    <w:rPr>
                      <w:rFonts w:ascii="Aptos" w:eastAsia="Times New Roman" w:hAnsi="Aptos" w:cs="Times New Roman"/>
                      <w:noProof/>
                      <w:color w:val="0000FF"/>
                      <w:kern w:val="0"/>
                      <w:sz w:val="2"/>
                      <w:szCs w:val="2"/>
                      <w14:ligatures w14:val="none"/>
                    </w:rPr>
                    <w:drawing>
                      <wp:inline distT="0" distB="0" distL="0" distR="0" wp14:anchorId="10126FB5" wp14:editId="334D76F4">
                        <wp:extent cx="2514600" cy="838200"/>
                        <wp:effectExtent l="0" t="0" r="0" b="0"/>
                        <wp:docPr id="1984122710" name="Picture 1" descr="Image">
                          <a:hlinkClick xmlns:a="http://schemas.openxmlformats.org/drawingml/2006/main" r:id="rId5" tgtFrame="_blank" tooltip="https://www.maynardnexsen.co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38200"/>
                                </a:xfrm>
                                <a:prstGeom prst="rect">
                                  <a:avLst/>
                                </a:prstGeom>
                                <a:noFill/>
                                <a:ln>
                                  <a:noFill/>
                                </a:ln>
                              </pic:spPr>
                            </pic:pic>
                          </a:graphicData>
                        </a:graphic>
                      </wp:inline>
                    </w:drawing>
                  </w:r>
                </w:p>
              </w:tc>
            </w:tr>
            <w:tr w:rsidR="00945B88" w:rsidRPr="00945B88" w14:paraId="44084687" w14:textId="77777777">
              <w:tc>
                <w:tcPr>
                  <w:tcW w:w="0" w:type="auto"/>
                  <w:tcMar>
                    <w:top w:w="120" w:type="dxa"/>
                    <w:left w:w="0" w:type="dxa"/>
                    <w:bottom w:w="0" w:type="dxa"/>
                    <w:right w:w="0" w:type="dxa"/>
                  </w:tcMar>
                  <w:hideMark/>
                </w:tcPr>
                <w:p w14:paraId="1DF1103A" w14:textId="77777777" w:rsidR="00945B88" w:rsidRPr="00945B88" w:rsidRDefault="00945B88" w:rsidP="00945B88">
                  <w:pPr>
                    <w:spacing w:after="0" w:line="240" w:lineRule="auto"/>
                    <w:rPr>
                      <w:rFonts w:ascii="Aptos" w:eastAsia="Times New Roman" w:hAnsi="Aptos" w:cs="Times New Roman"/>
                      <w:kern w:val="0"/>
                      <w14:ligatures w14:val="none"/>
                    </w:rPr>
                  </w:pPr>
                  <w:r w:rsidRPr="00945B88">
                    <w:rPr>
                      <w:rFonts w:ascii="Arial" w:eastAsia="Times New Roman" w:hAnsi="Arial" w:cs="Arial"/>
                      <w:color w:val="A7A9AC"/>
                      <w:kern w:val="0"/>
                      <w:sz w:val="2"/>
                      <w:szCs w:val="2"/>
                      <w14:ligatures w14:val="none"/>
                    </w:rPr>
                    <w:br/>
                    <w:t> </w:t>
                  </w:r>
                </w:p>
              </w:tc>
            </w:tr>
            <w:tr w:rsidR="00945B88" w:rsidRPr="00945B88" w14:paraId="2188708F" w14:textId="77777777">
              <w:tc>
                <w:tcPr>
                  <w:tcW w:w="0" w:type="auto"/>
                  <w:vAlign w:val="center"/>
                  <w:hideMark/>
                </w:tcPr>
                <w:p w14:paraId="0C86917F" w14:textId="77777777" w:rsidR="00945B88" w:rsidRPr="00945B88" w:rsidRDefault="00945B88" w:rsidP="00945B88">
                  <w:pPr>
                    <w:spacing w:after="0" w:line="240" w:lineRule="auto"/>
                    <w:rPr>
                      <w:rFonts w:ascii="Aptos" w:eastAsia="Times New Roman" w:hAnsi="Aptos" w:cs="Times New Roman"/>
                      <w:kern w:val="0"/>
                      <w14:ligatures w14:val="none"/>
                    </w:rPr>
                  </w:pPr>
                  <w:r w:rsidRPr="00945B88">
                    <w:rPr>
                      <w:rFonts w:ascii="Aptos" w:eastAsia="Times New Roman" w:hAnsi="Aptos" w:cs="Times New Roman"/>
                      <w:kern w:val="0"/>
                      <w:sz w:val="2"/>
                      <w:szCs w:val="2"/>
                      <w14:ligatures w14:val="none"/>
                    </w:rPr>
                    <w:t> </w:t>
                  </w:r>
                </w:p>
              </w:tc>
            </w:tr>
          </w:tbl>
          <w:p w14:paraId="0A52D301" w14:textId="77777777" w:rsidR="00945B88" w:rsidRPr="00945B88" w:rsidRDefault="00945B88" w:rsidP="00945B88">
            <w:pPr>
              <w:spacing w:after="0" w:line="240" w:lineRule="auto"/>
              <w:rPr>
                <w:rFonts w:ascii="Times New Roman" w:eastAsia="Times New Roman" w:hAnsi="Times New Roman" w:cs="Times New Roman"/>
                <w:kern w:val="0"/>
                <w14:ligatures w14:val="none"/>
              </w:rPr>
            </w:pPr>
          </w:p>
        </w:tc>
      </w:tr>
    </w:tbl>
    <w:p w14:paraId="76B7A20A" w14:textId="77777777" w:rsidR="00945B88" w:rsidRDefault="00945B88"/>
    <w:sectPr w:rsidR="00945B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B88"/>
    <w:rsid w:val="002B1CD7"/>
    <w:rsid w:val="00945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F264EE"/>
  <w15:chartTrackingRefBased/>
  <w15:docId w15:val="{CA58BA1A-55AD-2C4F-89DB-287D4F688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5B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5B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5B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5B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5B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5B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B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B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B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B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5B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5B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5B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5B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5B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B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B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B88"/>
    <w:rPr>
      <w:rFonts w:eastAsiaTheme="majorEastAsia" w:cstheme="majorBidi"/>
      <w:color w:val="272727" w:themeColor="text1" w:themeTint="D8"/>
    </w:rPr>
  </w:style>
  <w:style w:type="paragraph" w:styleId="Title">
    <w:name w:val="Title"/>
    <w:basedOn w:val="Normal"/>
    <w:next w:val="Normal"/>
    <w:link w:val="TitleChar"/>
    <w:uiPriority w:val="10"/>
    <w:qFormat/>
    <w:rsid w:val="00945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B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B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B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B88"/>
    <w:pPr>
      <w:spacing w:before="160"/>
      <w:jc w:val="center"/>
    </w:pPr>
    <w:rPr>
      <w:i/>
      <w:iCs/>
      <w:color w:val="404040" w:themeColor="text1" w:themeTint="BF"/>
    </w:rPr>
  </w:style>
  <w:style w:type="character" w:customStyle="1" w:styleId="QuoteChar">
    <w:name w:val="Quote Char"/>
    <w:basedOn w:val="DefaultParagraphFont"/>
    <w:link w:val="Quote"/>
    <w:uiPriority w:val="29"/>
    <w:rsid w:val="00945B88"/>
    <w:rPr>
      <w:i/>
      <w:iCs/>
      <w:color w:val="404040" w:themeColor="text1" w:themeTint="BF"/>
    </w:rPr>
  </w:style>
  <w:style w:type="paragraph" w:styleId="ListParagraph">
    <w:name w:val="List Paragraph"/>
    <w:basedOn w:val="Normal"/>
    <w:uiPriority w:val="34"/>
    <w:qFormat/>
    <w:rsid w:val="00945B88"/>
    <w:pPr>
      <w:ind w:left="720"/>
      <w:contextualSpacing/>
    </w:pPr>
  </w:style>
  <w:style w:type="character" w:styleId="IntenseEmphasis">
    <w:name w:val="Intense Emphasis"/>
    <w:basedOn w:val="DefaultParagraphFont"/>
    <w:uiPriority w:val="21"/>
    <w:qFormat/>
    <w:rsid w:val="00945B88"/>
    <w:rPr>
      <w:i/>
      <w:iCs/>
      <w:color w:val="0F4761" w:themeColor="accent1" w:themeShade="BF"/>
    </w:rPr>
  </w:style>
  <w:style w:type="paragraph" w:styleId="IntenseQuote">
    <w:name w:val="Intense Quote"/>
    <w:basedOn w:val="Normal"/>
    <w:next w:val="Normal"/>
    <w:link w:val="IntenseQuoteChar"/>
    <w:uiPriority w:val="30"/>
    <w:qFormat/>
    <w:rsid w:val="00945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5B88"/>
    <w:rPr>
      <w:i/>
      <w:iCs/>
      <w:color w:val="0F4761" w:themeColor="accent1" w:themeShade="BF"/>
    </w:rPr>
  </w:style>
  <w:style w:type="character" w:styleId="IntenseReference">
    <w:name w:val="Intense Reference"/>
    <w:basedOn w:val="DefaultParagraphFont"/>
    <w:uiPriority w:val="32"/>
    <w:qFormat/>
    <w:rsid w:val="00945B88"/>
    <w:rPr>
      <w:b/>
      <w:bCs/>
      <w:smallCaps/>
      <w:color w:val="0F4761" w:themeColor="accent1" w:themeShade="BF"/>
      <w:spacing w:val="5"/>
    </w:rPr>
  </w:style>
  <w:style w:type="character" w:customStyle="1" w:styleId="apple-converted-space">
    <w:name w:val="apple-converted-space"/>
    <w:basedOn w:val="DefaultParagraphFont"/>
    <w:rsid w:val="00945B88"/>
  </w:style>
  <w:style w:type="character" w:styleId="Hyperlink">
    <w:name w:val="Hyperlink"/>
    <w:basedOn w:val="DefaultParagraphFont"/>
    <w:uiPriority w:val="99"/>
    <w:semiHidden/>
    <w:unhideWhenUsed/>
    <w:rsid w:val="00945B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maynardnexsen.com/" TargetMode="External"/><Relationship Id="rId4" Type="http://schemas.openxmlformats.org/officeDocument/2006/relationships/hyperlink" Target="mailto:DFerrell@maynardnexs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743</Words>
  <Characters>4202</Characters>
  <Application>Microsoft Office Word</Application>
  <DocSecurity>0</DocSecurity>
  <Lines>101</Lines>
  <Paragraphs>30</Paragraphs>
  <ScaleCrop>false</ScaleCrop>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Craft</dc:creator>
  <cp:keywords/>
  <dc:description/>
  <cp:lastModifiedBy>Gail Craft</cp:lastModifiedBy>
  <cp:revision>1</cp:revision>
  <dcterms:created xsi:type="dcterms:W3CDTF">2026-04-28T15:08:00Z</dcterms:created>
  <dcterms:modified xsi:type="dcterms:W3CDTF">2026-04-28T15:09:00Z</dcterms:modified>
</cp:coreProperties>
</file>