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E3BE9F" w14:textId="21708BFD" w:rsidR="00567A81" w:rsidRDefault="00567A81" w:rsidP="00567A81">
      <w:r w:rsidRPr="00567A81">
        <w:t>Legislative Update December 11 2024</w:t>
      </w:r>
    </w:p>
    <w:p w14:paraId="6623EDA6" w14:textId="77777777" w:rsidR="00567A81" w:rsidRDefault="00567A81" w:rsidP="00567A81"/>
    <w:p w14:paraId="4116D8A7" w14:textId="6514B300" w:rsidR="00567A81" w:rsidRPr="00567A81" w:rsidRDefault="00567A81" w:rsidP="00567A81">
      <w:r w:rsidRPr="00567A81">
        <w:t>The North Carolina House reconvened today (December 11) for its final session of the year, focusing primarily on overriding Governor Roy Cooper's veto of </w:t>
      </w:r>
      <w:r w:rsidRPr="00567A81">
        <w:rPr>
          <w:u w:val="single"/>
        </w:rPr>
        <w:t>Senate Bill 382, Disaster Relief-3/Budget/Various Law Changes</w:t>
      </w:r>
      <w:r w:rsidRPr="00567A81">
        <w:t>. The Senate met on December 2 and voted to override the Governor’s veto along party lines. Senate Bill 382 contained some disaster relief provisions, but also restructured elements of state government and included various other provisions. A more detailed summary of Senate Bill 382 is below. </w:t>
      </w:r>
    </w:p>
    <w:p w14:paraId="248268B2" w14:textId="77777777" w:rsidR="00567A81" w:rsidRPr="00567A81" w:rsidRDefault="00567A81" w:rsidP="00567A81">
      <w:r w:rsidRPr="00567A81">
        <w:t> </w:t>
      </w:r>
    </w:p>
    <w:p w14:paraId="39F728F7" w14:textId="77777777" w:rsidR="00567A81" w:rsidRPr="00567A81" w:rsidRDefault="00567A81" w:rsidP="00567A81">
      <w:r w:rsidRPr="00567A81">
        <w:t>During the initial vote on the bill, three Republicans from Western North Carolina opposed the bill. There was much speculation about whether these three Republicans would vote to override – for without all three votes, the Republicans may not have the 72 votes they need to override the veto. Ultimately the three House Republicans voted to override the veto, and the veto was overridden by a vote of 72-46, along party lines. Senate Bill 382 is now law. </w:t>
      </w:r>
    </w:p>
    <w:p w14:paraId="59EB5D53" w14:textId="77777777" w:rsidR="00567A81" w:rsidRPr="00567A81" w:rsidRDefault="00567A81" w:rsidP="00567A81">
      <w:r w:rsidRPr="00567A81">
        <w:t> </w:t>
      </w:r>
    </w:p>
    <w:p w14:paraId="356831F0" w14:textId="77777777" w:rsidR="00567A81" w:rsidRPr="00567A81" w:rsidRDefault="00567A81" w:rsidP="00567A81">
      <w:r w:rsidRPr="00567A81">
        <w:t>In addition to the veto override, the House passed a constitutional amendment to require voter ID for in-person voting and for absentee ballots submitted by mail.  This constitutional amendment will appear on the November 2026 ballot. </w:t>
      </w:r>
    </w:p>
    <w:p w14:paraId="79509688" w14:textId="77777777" w:rsidR="00567A81" w:rsidRPr="00567A81" w:rsidRDefault="00567A81" w:rsidP="00567A81">
      <w:r w:rsidRPr="00567A81">
        <w:t> </w:t>
      </w:r>
    </w:p>
    <w:p w14:paraId="23ABD126" w14:textId="77777777" w:rsidR="00567A81" w:rsidRPr="00567A81" w:rsidRDefault="00567A81" w:rsidP="00567A81">
      <w:r w:rsidRPr="00567A81">
        <w:t>With the close of today’s legislative session, the House and Senate are officially adjourned for 2024. The General Assembly will reconvene on January 8 to swear in new legislators for the new biennium; and will be back in late January to start the long session. Without a Republican veto-proof supermajority in 2025, the dynamics between the General Assembly and incoming Governor-Elect Josh Stein could shift significantly, influencing the legislative agenda and the state's political landscape moving forward.</w:t>
      </w:r>
    </w:p>
    <w:p w14:paraId="11836E4F" w14:textId="77777777" w:rsidR="00567A81" w:rsidRPr="00567A81" w:rsidRDefault="00567A81" w:rsidP="00567A81">
      <w:r w:rsidRPr="00567A81">
        <w:t> </w:t>
      </w:r>
    </w:p>
    <w:p w14:paraId="7A2B7575" w14:textId="77777777" w:rsidR="00567A81" w:rsidRPr="00567A81" w:rsidRDefault="00567A81" w:rsidP="00567A81">
      <w:r w:rsidRPr="00567A81">
        <w:t>++++++++++++++++</w:t>
      </w:r>
    </w:p>
    <w:p w14:paraId="70460283" w14:textId="77777777" w:rsidR="00567A81" w:rsidRPr="00567A81" w:rsidRDefault="00567A81" w:rsidP="00567A81">
      <w:r w:rsidRPr="00567A81">
        <w:rPr>
          <w:u w:val="single"/>
        </w:rPr>
        <w:t>Senate Bill 382, Disaster Relief-3/Budget/Various Law Changes</w:t>
      </w:r>
      <w:r w:rsidRPr="00567A81">
        <w:t>, addressing disaster relief for Western North Carolina, technical budget adjustments, modifications to appointment powers and other powers of the executive branch, and various other technical and substantive law changes. The bill contains the following provisions: </w:t>
      </w:r>
    </w:p>
    <w:p w14:paraId="48DB42EA" w14:textId="77777777" w:rsidR="00567A81" w:rsidRPr="00567A81" w:rsidRDefault="00567A81" w:rsidP="00567A81">
      <w:r w:rsidRPr="00567A81">
        <w:lastRenderedPageBreak/>
        <w:t>·         Transfers $227 million from the Savings Reserve to the Helene Fund for hurricane relief efforts.</w:t>
      </w:r>
    </w:p>
    <w:p w14:paraId="1EA2F76E" w14:textId="77777777" w:rsidR="00567A81" w:rsidRPr="00567A81" w:rsidRDefault="00567A81" w:rsidP="00567A81">
      <w:r w:rsidRPr="00567A81">
        <w:t>·         Allocates $33.75 million to continue the compensation grants portion of the Child Care Stabilization Grants, providing a third quarter of reduced funding.</w:t>
      </w:r>
    </w:p>
    <w:p w14:paraId="6CFB0A6E" w14:textId="77777777" w:rsidR="00567A81" w:rsidRPr="00567A81" w:rsidRDefault="00567A81" w:rsidP="00567A81">
      <w:r w:rsidRPr="00567A81">
        <w:t>·         Transfer the State Board of Elections from an independent agency under the Governor to the Department of the State Auditor. While the State Auditor will oversee the Board’s budget, they will not direct its management functions. The Auditor will assume responsibility for appointing members of the State Board and county board chairs. Key implementation milestones include:</w:t>
      </w:r>
    </w:p>
    <w:p w14:paraId="75CC0522" w14:textId="77777777" w:rsidR="00567A81" w:rsidRPr="00567A81" w:rsidRDefault="00567A81" w:rsidP="00567A81">
      <w:pPr>
        <w:numPr>
          <w:ilvl w:val="1"/>
          <w:numId w:val="1"/>
        </w:numPr>
      </w:pPr>
      <w:r w:rsidRPr="00567A81">
        <w:t>New State Board appointed in May 2025</w:t>
      </w:r>
      <w:r w:rsidRPr="00567A81">
        <w:rPr>
          <w:b/>
          <w:bCs/>
        </w:rPr>
        <w:t>.</w:t>
      </w:r>
    </w:p>
    <w:p w14:paraId="2EEDEE33" w14:textId="77777777" w:rsidR="00567A81" w:rsidRPr="00567A81" w:rsidRDefault="00567A81" w:rsidP="00567A81">
      <w:pPr>
        <w:numPr>
          <w:ilvl w:val="1"/>
          <w:numId w:val="1"/>
        </w:numPr>
      </w:pPr>
      <w:r w:rsidRPr="00567A81">
        <w:t>New county boards and chairs appointed in June 2025.</w:t>
      </w:r>
    </w:p>
    <w:p w14:paraId="78D7F650" w14:textId="77777777" w:rsidR="00567A81" w:rsidRPr="00567A81" w:rsidRDefault="00567A81" w:rsidP="00567A81">
      <w:pPr>
        <w:numPr>
          <w:ilvl w:val="1"/>
          <w:numId w:val="1"/>
        </w:numPr>
      </w:pPr>
      <w:r w:rsidRPr="00567A81">
        <w:t>Budget oversight transferred to the Auditor starting with the 2025-26 fiscal year</w:t>
      </w:r>
      <w:r w:rsidRPr="00567A81">
        <w:rPr>
          <w:b/>
          <w:bCs/>
        </w:rPr>
        <w:t>.</w:t>
      </w:r>
    </w:p>
    <w:p w14:paraId="10114876" w14:textId="77777777" w:rsidR="00567A81" w:rsidRPr="00567A81" w:rsidRDefault="00567A81" w:rsidP="00567A81">
      <w:r w:rsidRPr="00567A81">
        <w:t>·         Modifies the Governor’s appointment process and clarifies the Senate’s authority of advice and consent regarding appointments</w:t>
      </w:r>
    </w:p>
    <w:p w14:paraId="021591D7" w14:textId="77777777" w:rsidR="00567A81" w:rsidRPr="00567A81" w:rsidRDefault="00567A81" w:rsidP="00567A81">
      <w:r w:rsidRPr="00567A81">
        <w:t>·         Requires the Governor to fill Supreme Court and Court of Appeals vacancies from a list of three recommendations provided by the political party of the vacating judge or justice at the time of their election.</w:t>
      </w:r>
    </w:p>
    <w:p w14:paraId="108896B6" w14:textId="77777777" w:rsidR="00567A81" w:rsidRPr="00567A81" w:rsidRDefault="00567A81" w:rsidP="00567A81">
      <w:r w:rsidRPr="00567A81">
        <w:t>·         Removes the Attorney General's authority to intervene in matters before the NC Utilities Commission</w:t>
      </w:r>
      <w:r w:rsidRPr="00567A81">
        <w:rPr>
          <w:b/>
          <w:bCs/>
        </w:rPr>
        <w:t> </w:t>
      </w:r>
      <w:r w:rsidRPr="00567A81">
        <w:t xml:space="preserve">and clarifies that the Judicial </w:t>
      </w:r>
      <w:proofErr w:type="spellStart"/>
      <w:r w:rsidRPr="00567A81">
        <w:t>Departmentand</w:t>
      </w:r>
      <w:proofErr w:type="spellEnd"/>
      <w:r w:rsidRPr="00567A81">
        <w:t> Council of State agencies are not required to seek approval from the Attorney General or the Governor to retain private counsel.</w:t>
      </w:r>
    </w:p>
    <w:p w14:paraId="630A8109" w14:textId="77777777" w:rsidR="00567A81" w:rsidRPr="00567A81" w:rsidRDefault="00567A81" w:rsidP="00567A81">
      <w:r w:rsidRPr="00567A81">
        <w:t>·         Establishes the State Highway Patrol (SHP) as an independent, cabinet-level department, and transfers the State Capital Police and the License and Theft Bureau within the Division of Motor Vehicles to this new department. ALE is </w:t>
      </w:r>
      <w:r w:rsidRPr="00567A81">
        <w:rPr>
          <w:u w:val="single"/>
        </w:rPr>
        <w:t>not </w:t>
      </w:r>
      <w:r w:rsidRPr="00567A81">
        <w:t>transferred to this new agency. </w:t>
      </w:r>
    </w:p>
    <w:p w14:paraId="25051A9A" w14:textId="77777777" w:rsidR="00567A81" w:rsidRPr="00567A81" w:rsidRDefault="00567A81" w:rsidP="00567A81">
      <w:pPr>
        <w:numPr>
          <w:ilvl w:val="0"/>
          <w:numId w:val="2"/>
        </w:numPr>
      </w:pPr>
      <w:r w:rsidRPr="00567A81">
        <w:t>Eliminates one Governor-appointed seat on the NC Utilities Commission and assigns this appointment to the State Treasurer; and requires the Chair of the Utilities Commission to be elected by a vote of the Commission members (was, designated by the Governor)</w:t>
      </w:r>
    </w:p>
    <w:p w14:paraId="4FDA41BD" w14:textId="77777777" w:rsidR="00567A81" w:rsidRPr="00567A81" w:rsidRDefault="00567A81" w:rsidP="00567A81">
      <w:r w:rsidRPr="00567A81">
        <w:t> </w:t>
      </w:r>
    </w:p>
    <w:p w14:paraId="0318C78E" w14:textId="77777777" w:rsidR="00567A81" w:rsidRPr="00567A81" w:rsidRDefault="00567A81" w:rsidP="00567A81">
      <w:r w:rsidRPr="00567A81">
        <w:t> </w:t>
      </w:r>
    </w:p>
    <w:tbl>
      <w:tblPr>
        <w:tblW w:w="5000" w:type="pct"/>
        <w:tblCellMar>
          <w:left w:w="0" w:type="dxa"/>
          <w:right w:w="0" w:type="dxa"/>
        </w:tblCellMar>
        <w:tblLook w:val="04A0" w:firstRow="1" w:lastRow="0" w:firstColumn="1" w:lastColumn="0" w:noHBand="0" w:noVBand="1"/>
      </w:tblPr>
      <w:tblGrid>
        <w:gridCol w:w="9360"/>
      </w:tblGrid>
      <w:tr w:rsidR="00567A81" w:rsidRPr="00567A81" w14:paraId="23402566" w14:textId="77777777" w:rsidTr="00567A81">
        <w:tc>
          <w:tcPr>
            <w:tcW w:w="0" w:type="auto"/>
            <w:hideMark/>
          </w:tcPr>
          <w:tbl>
            <w:tblPr>
              <w:tblW w:w="0" w:type="auto"/>
              <w:tblCellMar>
                <w:left w:w="0" w:type="dxa"/>
                <w:right w:w="0" w:type="dxa"/>
              </w:tblCellMar>
              <w:tblLook w:val="04A0" w:firstRow="1" w:lastRow="0" w:firstColumn="1" w:lastColumn="0" w:noHBand="0" w:noVBand="1"/>
            </w:tblPr>
            <w:tblGrid>
              <w:gridCol w:w="3960"/>
            </w:tblGrid>
            <w:tr w:rsidR="00567A81" w:rsidRPr="00567A81" w14:paraId="43786CE1" w14:textId="77777777">
              <w:tc>
                <w:tcPr>
                  <w:tcW w:w="0" w:type="auto"/>
                  <w:hideMark/>
                </w:tcPr>
                <w:tbl>
                  <w:tblPr>
                    <w:tblW w:w="0" w:type="auto"/>
                    <w:tblCellMar>
                      <w:left w:w="0" w:type="dxa"/>
                      <w:right w:w="0" w:type="dxa"/>
                    </w:tblCellMar>
                    <w:tblLook w:val="04A0" w:firstRow="1" w:lastRow="0" w:firstColumn="1" w:lastColumn="0" w:noHBand="0" w:noVBand="1"/>
                  </w:tblPr>
                  <w:tblGrid>
                    <w:gridCol w:w="3750"/>
                  </w:tblGrid>
                  <w:tr w:rsidR="00567A81" w:rsidRPr="00567A81" w14:paraId="34678138" w14:textId="77777777">
                    <w:tc>
                      <w:tcPr>
                        <w:tcW w:w="0" w:type="auto"/>
                        <w:hideMark/>
                      </w:tcPr>
                      <w:p w14:paraId="68AC4888" w14:textId="77777777" w:rsidR="00567A81" w:rsidRPr="00567A81" w:rsidRDefault="00567A81" w:rsidP="00567A81">
                        <w:r w:rsidRPr="00567A81">
                          <w:rPr>
                            <w:b/>
                            <w:bCs/>
                          </w:rPr>
                          <w:lastRenderedPageBreak/>
                          <w:t>David P. Ferrell</w:t>
                        </w:r>
                        <w:r w:rsidRPr="00567A81">
                          <w:rPr>
                            <w:rFonts w:ascii="Arial" w:hAnsi="Arial" w:cs="Arial"/>
                            <w:b/>
                            <w:bCs/>
                          </w:rPr>
                          <w:t>​​​​</w:t>
                        </w:r>
                      </w:p>
                    </w:tc>
                  </w:tr>
                  <w:tr w:rsidR="00567A81" w:rsidRPr="00567A81" w14:paraId="6FC95FE4" w14:textId="77777777">
                    <w:tc>
                      <w:tcPr>
                        <w:tcW w:w="0" w:type="auto"/>
                        <w:hideMark/>
                      </w:tcPr>
                      <w:tbl>
                        <w:tblPr>
                          <w:tblW w:w="0" w:type="auto"/>
                          <w:tblCellMar>
                            <w:left w:w="0" w:type="dxa"/>
                            <w:right w:w="0" w:type="dxa"/>
                          </w:tblCellMar>
                          <w:tblLook w:val="04A0" w:firstRow="1" w:lastRow="0" w:firstColumn="1" w:lastColumn="0" w:noHBand="0" w:noVBand="1"/>
                        </w:tblPr>
                        <w:tblGrid>
                          <w:gridCol w:w="1268"/>
                          <w:gridCol w:w="163"/>
                          <w:gridCol w:w="2319"/>
                        </w:tblGrid>
                        <w:tr w:rsidR="00567A81" w:rsidRPr="00567A81" w14:paraId="40DF76FB" w14:textId="77777777">
                          <w:tc>
                            <w:tcPr>
                              <w:tcW w:w="0" w:type="auto"/>
                              <w:hideMark/>
                            </w:tcPr>
                            <w:p w14:paraId="01D51CD6" w14:textId="77777777" w:rsidR="00567A81" w:rsidRPr="00567A81" w:rsidRDefault="00567A81" w:rsidP="00567A81">
                              <w:r w:rsidRPr="00567A81">
                                <w:t>Shareholder</w:t>
                              </w:r>
                            </w:p>
                          </w:tc>
                          <w:tc>
                            <w:tcPr>
                              <w:tcW w:w="0" w:type="auto"/>
                              <w:hideMark/>
                            </w:tcPr>
                            <w:p w14:paraId="67BFE8E6" w14:textId="77777777" w:rsidR="00567A81" w:rsidRPr="00567A81" w:rsidRDefault="00567A81" w:rsidP="00567A81">
                              <w:r w:rsidRPr="00567A81">
                                <w:t> | </w:t>
                              </w:r>
                            </w:p>
                          </w:tc>
                          <w:tc>
                            <w:tcPr>
                              <w:tcW w:w="0" w:type="auto"/>
                              <w:hideMark/>
                            </w:tcPr>
                            <w:p w14:paraId="4856B15F" w14:textId="77777777" w:rsidR="00567A81" w:rsidRPr="00567A81" w:rsidRDefault="00567A81" w:rsidP="00567A81">
                              <w:r w:rsidRPr="00567A81">
                                <w:t>Government Solutions</w:t>
                              </w:r>
                            </w:p>
                          </w:tc>
                        </w:tr>
                      </w:tbl>
                      <w:p w14:paraId="57E4637C" w14:textId="77777777" w:rsidR="00567A81" w:rsidRPr="00567A81" w:rsidRDefault="00567A81" w:rsidP="00567A81"/>
                    </w:tc>
                  </w:tr>
                  <w:tr w:rsidR="00567A81" w:rsidRPr="00567A81" w14:paraId="04F713B8" w14:textId="77777777">
                    <w:tc>
                      <w:tcPr>
                        <w:tcW w:w="0" w:type="auto"/>
                        <w:hideMark/>
                      </w:tcPr>
                      <w:tbl>
                        <w:tblPr>
                          <w:tblW w:w="0" w:type="auto"/>
                          <w:tblCellMar>
                            <w:left w:w="0" w:type="dxa"/>
                            <w:right w:w="0" w:type="dxa"/>
                          </w:tblCellMar>
                          <w:tblLook w:val="04A0" w:firstRow="1" w:lastRow="0" w:firstColumn="1" w:lastColumn="0" w:noHBand="0" w:noVBand="1"/>
                        </w:tblPr>
                        <w:tblGrid>
                          <w:gridCol w:w="1800"/>
                          <w:gridCol w:w="6"/>
                        </w:tblGrid>
                        <w:tr w:rsidR="00567A81" w:rsidRPr="00567A81" w14:paraId="72F580CF" w14:textId="77777777">
                          <w:tc>
                            <w:tcPr>
                              <w:tcW w:w="0" w:type="auto"/>
                              <w:hideMark/>
                            </w:tcPr>
                            <w:p w14:paraId="1B70917C" w14:textId="77777777" w:rsidR="00567A81" w:rsidRPr="00567A81" w:rsidRDefault="00567A81" w:rsidP="00567A81">
                              <w:r w:rsidRPr="00567A81">
                                <w:t>P: (919) 573</w:t>
                              </w:r>
                              <w:r w:rsidRPr="00567A81">
                                <w:noBreakHyphen/>
                                <w:t>7421</w:t>
                              </w:r>
                            </w:p>
                          </w:tc>
                          <w:tc>
                            <w:tcPr>
                              <w:tcW w:w="0" w:type="auto"/>
                              <w:hideMark/>
                            </w:tcPr>
                            <w:p w14:paraId="488A0BDA" w14:textId="77777777" w:rsidR="00567A81" w:rsidRPr="00567A81" w:rsidRDefault="00567A81" w:rsidP="00567A81"/>
                          </w:tc>
                        </w:tr>
                      </w:tbl>
                      <w:p w14:paraId="4F5B8480" w14:textId="77777777" w:rsidR="00567A81" w:rsidRPr="00567A81" w:rsidRDefault="00567A81" w:rsidP="00567A81"/>
                    </w:tc>
                  </w:tr>
                  <w:tr w:rsidR="00567A81" w:rsidRPr="00567A81" w14:paraId="7FE5CDD9" w14:textId="77777777">
                    <w:tc>
                      <w:tcPr>
                        <w:tcW w:w="0" w:type="auto"/>
                        <w:hideMark/>
                      </w:tcPr>
                      <w:tbl>
                        <w:tblPr>
                          <w:tblW w:w="0" w:type="auto"/>
                          <w:tblCellMar>
                            <w:left w:w="0" w:type="dxa"/>
                            <w:right w:w="0" w:type="dxa"/>
                          </w:tblCellMar>
                          <w:tblLook w:val="04A0" w:firstRow="1" w:lastRow="0" w:firstColumn="1" w:lastColumn="0" w:noHBand="0" w:noVBand="1"/>
                        </w:tblPr>
                        <w:tblGrid>
                          <w:gridCol w:w="3203"/>
                        </w:tblGrid>
                        <w:tr w:rsidR="00567A81" w:rsidRPr="00567A81" w14:paraId="71C6F611" w14:textId="77777777">
                          <w:tc>
                            <w:tcPr>
                              <w:tcW w:w="0" w:type="auto"/>
                              <w:hideMark/>
                            </w:tcPr>
                            <w:p w14:paraId="15BC3EEE" w14:textId="77777777" w:rsidR="00567A81" w:rsidRPr="00567A81" w:rsidRDefault="00567A81" w:rsidP="00567A81">
                              <w:hyperlink r:id="rId5" w:tgtFrame="_blank" w:tooltip="mailto:DFerrell@maynardnexsen.com" w:history="1">
                                <w:r w:rsidRPr="00567A81">
                                  <w:rPr>
                                    <w:rStyle w:val="Hyperlink"/>
                                  </w:rPr>
                                  <w:t>DFerrell@maynardnexsen.com</w:t>
                                </w:r>
                              </w:hyperlink>
                            </w:p>
                          </w:tc>
                        </w:tr>
                      </w:tbl>
                      <w:p w14:paraId="78DAE08F" w14:textId="77777777" w:rsidR="00567A81" w:rsidRPr="00567A81" w:rsidRDefault="00567A81" w:rsidP="00567A81"/>
                    </w:tc>
                  </w:tr>
                </w:tbl>
                <w:p w14:paraId="2E17006F" w14:textId="77777777" w:rsidR="00567A81" w:rsidRPr="00567A81" w:rsidRDefault="00567A81" w:rsidP="00567A81"/>
              </w:tc>
            </w:tr>
            <w:tr w:rsidR="00567A81" w:rsidRPr="00567A81" w14:paraId="5852AA27" w14:textId="77777777">
              <w:tc>
                <w:tcPr>
                  <w:tcW w:w="0" w:type="auto"/>
                  <w:hideMark/>
                </w:tcPr>
                <w:p w14:paraId="7DF5C34F" w14:textId="77777777" w:rsidR="00567A81" w:rsidRPr="00567A81" w:rsidRDefault="00567A81" w:rsidP="00567A81"/>
              </w:tc>
            </w:tr>
            <w:tr w:rsidR="00567A81" w:rsidRPr="00567A81" w14:paraId="7C660049" w14:textId="77777777">
              <w:tc>
                <w:tcPr>
                  <w:tcW w:w="0" w:type="auto"/>
                  <w:tcMar>
                    <w:top w:w="165" w:type="dxa"/>
                    <w:left w:w="0" w:type="dxa"/>
                    <w:bottom w:w="0" w:type="dxa"/>
                    <w:right w:w="0" w:type="dxa"/>
                  </w:tcMar>
                  <w:hideMark/>
                </w:tcPr>
                <w:tbl>
                  <w:tblPr>
                    <w:tblW w:w="0" w:type="auto"/>
                    <w:tblCellMar>
                      <w:left w:w="0" w:type="dxa"/>
                      <w:right w:w="0" w:type="dxa"/>
                    </w:tblCellMar>
                    <w:tblLook w:val="04A0" w:firstRow="1" w:lastRow="0" w:firstColumn="1" w:lastColumn="0" w:noHBand="0" w:noVBand="1"/>
                  </w:tblPr>
                  <w:tblGrid>
                    <w:gridCol w:w="3103"/>
                  </w:tblGrid>
                  <w:tr w:rsidR="00567A81" w:rsidRPr="00567A81" w14:paraId="71BDD394" w14:textId="77777777">
                    <w:tc>
                      <w:tcPr>
                        <w:tcW w:w="0" w:type="auto"/>
                        <w:hideMark/>
                      </w:tcPr>
                      <w:p w14:paraId="76568F21" w14:textId="77777777" w:rsidR="00567A81" w:rsidRPr="00567A81" w:rsidRDefault="00567A81" w:rsidP="00567A81">
                        <w:r w:rsidRPr="00567A81">
                          <w:t>4141 </w:t>
                        </w:r>
                        <w:proofErr w:type="spellStart"/>
                        <w:r w:rsidRPr="00567A81">
                          <w:t>Parklake</w:t>
                        </w:r>
                        <w:proofErr w:type="spellEnd"/>
                        <w:r w:rsidRPr="00567A81">
                          <w:t> Avenue </w:t>
                        </w:r>
                        <w:r w:rsidRPr="00567A81">
                          <w:br/>
                          <w:t>Suite 200</w:t>
                        </w:r>
                      </w:p>
                    </w:tc>
                  </w:tr>
                  <w:tr w:rsidR="00567A81" w:rsidRPr="00567A81" w14:paraId="6AB00DE7" w14:textId="77777777">
                    <w:tc>
                      <w:tcPr>
                        <w:tcW w:w="0" w:type="auto"/>
                        <w:hideMark/>
                      </w:tcPr>
                      <w:tbl>
                        <w:tblPr>
                          <w:tblW w:w="0" w:type="auto"/>
                          <w:tblCellMar>
                            <w:left w:w="0" w:type="dxa"/>
                            <w:right w:w="0" w:type="dxa"/>
                          </w:tblCellMar>
                          <w:tblLook w:val="04A0" w:firstRow="1" w:lastRow="0" w:firstColumn="1" w:lastColumn="0" w:noHBand="0" w:noVBand="1"/>
                        </w:tblPr>
                        <w:tblGrid>
                          <w:gridCol w:w="770"/>
                          <w:gridCol w:w="118"/>
                          <w:gridCol w:w="1524"/>
                          <w:gridCol w:w="49"/>
                          <w:gridCol w:w="642"/>
                        </w:tblGrid>
                        <w:tr w:rsidR="00567A81" w:rsidRPr="00567A81" w14:paraId="3A9FAD1A" w14:textId="77777777">
                          <w:tc>
                            <w:tcPr>
                              <w:tcW w:w="0" w:type="auto"/>
                              <w:hideMark/>
                            </w:tcPr>
                            <w:p w14:paraId="1A6AD8DE" w14:textId="77777777" w:rsidR="00567A81" w:rsidRPr="00567A81" w:rsidRDefault="00567A81" w:rsidP="00567A81">
                              <w:r w:rsidRPr="00567A81">
                                <w:t>Raleigh</w:t>
                              </w:r>
                            </w:p>
                          </w:tc>
                          <w:tc>
                            <w:tcPr>
                              <w:tcW w:w="0" w:type="auto"/>
                              <w:hideMark/>
                            </w:tcPr>
                            <w:p w14:paraId="100E791E" w14:textId="77777777" w:rsidR="00567A81" w:rsidRPr="00567A81" w:rsidRDefault="00567A81" w:rsidP="00567A81">
                              <w:r w:rsidRPr="00567A81">
                                <w:t>, </w:t>
                              </w:r>
                            </w:p>
                          </w:tc>
                          <w:tc>
                            <w:tcPr>
                              <w:tcW w:w="0" w:type="auto"/>
                              <w:hideMark/>
                            </w:tcPr>
                            <w:p w14:paraId="16493DC8" w14:textId="77777777" w:rsidR="00567A81" w:rsidRPr="00567A81" w:rsidRDefault="00567A81" w:rsidP="00567A81">
                              <w:r w:rsidRPr="00567A81">
                                <w:t>North Carolina</w:t>
                              </w:r>
                            </w:p>
                          </w:tc>
                          <w:tc>
                            <w:tcPr>
                              <w:tcW w:w="0" w:type="auto"/>
                              <w:hideMark/>
                            </w:tcPr>
                            <w:p w14:paraId="12D3D8E2" w14:textId="77777777" w:rsidR="00567A81" w:rsidRPr="00567A81" w:rsidRDefault="00567A81" w:rsidP="00567A81">
                              <w:r w:rsidRPr="00567A81">
                                <w:t> </w:t>
                              </w:r>
                            </w:p>
                          </w:tc>
                          <w:tc>
                            <w:tcPr>
                              <w:tcW w:w="0" w:type="auto"/>
                              <w:hideMark/>
                            </w:tcPr>
                            <w:p w14:paraId="6434048E" w14:textId="77777777" w:rsidR="00567A81" w:rsidRPr="00567A81" w:rsidRDefault="00567A81" w:rsidP="00567A81">
                              <w:r w:rsidRPr="00567A81">
                                <w:t>27612</w:t>
                              </w:r>
                            </w:p>
                          </w:tc>
                        </w:tr>
                      </w:tbl>
                      <w:p w14:paraId="1AC09F68" w14:textId="77777777" w:rsidR="00567A81" w:rsidRPr="00567A81" w:rsidRDefault="00567A81" w:rsidP="00567A81"/>
                    </w:tc>
                  </w:tr>
                </w:tbl>
                <w:p w14:paraId="7F124ECD" w14:textId="77777777" w:rsidR="00567A81" w:rsidRPr="00567A81" w:rsidRDefault="00567A81" w:rsidP="00567A81"/>
              </w:tc>
            </w:tr>
            <w:tr w:rsidR="00567A81" w:rsidRPr="00567A81" w14:paraId="7A1240A4" w14:textId="77777777">
              <w:tc>
                <w:tcPr>
                  <w:tcW w:w="0" w:type="auto"/>
                  <w:tcMar>
                    <w:top w:w="195" w:type="dxa"/>
                    <w:left w:w="0" w:type="dxa"/>
                    <w:bottom w:w="0" w:type="dxa"/>
                    <w:right w:w="0" w:type="dxa"/>
                  </w:tcMar>
                  <w:hideMark/>
                </w:tcPr>
                <w:p w14:paraId="7025ED6C" w14:textId="728D7948" w:rsidR="00567A81" w:rsidRPr="00567A81" w:rsidRDefault="00567A81" w:rsidP="00567A81">
                  <w:r w:rsidRPr="00567A81">
                    <w:drawing>
                      <wp:inline distT="0" distB="0" distL="0" distR="0" wp14:anchorId="11994C75" wp14:editId="07160369">
                        <wp:extent cx="2514600" cy="838200"/>
                        <wp:effectExtent l="0" t="0" r="0" b="0"/>
                        <wp:docPr id="18664409" name="Picture 2" descr="Image">
                          <a:hlinkClick xmlns:a="http://schemas.openxmlformats.org/drawingml/2006/main" r:id="rId6" tgtFrame="_blank" tooltip="https://www.maynardnexsen.com/"/>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0" cy="838200"/>
                                </a:xfrm>
                                <a:prstGeom prst="rect">
                                  <a:avLst/>
                                </a:prstGeom>
                                <a:noFill/>
                                <a:ln>
                                  <a:noFill/>
                                </a:ln>
                              </pic:spPr>
                            </pic:pic>
                          </a:graphicData>
                        </a:graphic>
                      </wp:inline>
                    </w:drawing>
                  </w:r>
                </w:p>
              </w:tc>
            </w:tr>
            <w:tr w:rsidR="00567A81" w:rsidRPr="00567A81" w14:paraId="1CA1F821" w14:textId="77777777">
              <w:tc>
                <w:tcPr>
                  <w:tcW w:w="0" w:type="auto"/>
                  <w:tcMar>
                    <w:top w:w="120" w:type="dxa"/>
                    <w:left w:w="0" w:type="dxa"/>
                    <w:bottom w:w="0" w:type="dxa"/>
                    <w:right w:w="0" w:type="dxa"/>
                  </w:tcMar>
                  <w:hideMark/>
                </w:tcPr>
                <w:p w14:paraId="2946CFE3" w14:textId="77777777" w:rsidR="00567A81" w:rsidRPr="00567A81" w:rsidRDefault="00567A81" w:rsidP="00567A81">
                  <w:r w:rsidRPr="00567A81">
                    <w:br/>
                    <w:t> </w:t>
                  </w:r>
                </w:p>
              </w:tc>
            </w:tr>
            <w:tr w:rsidR="00567A81" w:rsidRPr="00567A81" w14:paraId="2AA1BDDB" w14:textId="77777777">
              <w:tc>
                <w:tcPr>
                  <w:tcW w:w="0" w:type="auto"/>
                  <w:vAlign w:val="center"/>
                  <w:hideMark/>
                </w:tcPr>
                <w:p w14:paraId="0CB8DA77" w14:textId="77777777" w:rsidR="00567A81" w:rsidRPr="00567A81" w:rsidRDefault="00567A81" w:rsidP="00567A81">
                  <w:r w:rsidRPr="00567A81">
                    <w:t> </w:t>
                  </w:r>
                </w:p>
              </w:tc>
            </w:tr>
          </w:tbl>
          <w:p w14:paraId="19FD3DFF" w14:textId="77777777" w:rsidR="00567A81" w:rsidRPr="00567A81" w:rsidRDefault="00567A81" w:rsidP="00567A81"/>
        </w:tc>
      </w:tr>
    </w:tbl>
    <w:p w14:paraId="6F0EB37B" w14:textId="77777777" w:rsidR="00567A81" w:rsidRDefault="00567A81"/>
    <w:sectPr w:rsidR="00567A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C43026"/>
    <w:multiLevelType w:val="multilevel"/>
    <w:tmpl w:val="CDB4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856BDF"/>
    <w:multiLevelType w:val="multilevel"/>
    <w:tmpl w:val="56A2D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4859544">
    <w:abstractNumId w:val="1"/>
  </w:num>
  <w:num w:numId="2" w16cid:durableId="310909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A81"/>
    <w:rsid w:val="004F19BD"/>
    <w:rsid w:val="00567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14BDA4"/>
  <w15:chartTrackingRefBased/>
  <w15:docId w15:val="{8BFA0306-371D-804A-AF5B-89DBB01A8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A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A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A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A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A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A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A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A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A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A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A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A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A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A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A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A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A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A81"/>
    <w:rPr>
      <w:rFonts w:eastAsiaTheme="majorEastAsia" w:cstheme="majorBidi"/>
      <w:color w:val="272727" w:themeColor="text1" w:themeTint="D8"/>
    </w:rPr>
  </w:style>
  <w:style w:type="paragraph" w:styleId="Title">
    <w:name w:val="Title"/>
    <w:basedOn w:val="Normal"/>
    <w:next w:val="Normal"/>
    <w:link w:val="TitleChar"/>
    <w:uiPriority w:val="10"/>
    <w:qFormat/>
    <w:rsid w:val="00567A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A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A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A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A81"/>
    <w:pPr>
      <w:spacing w:before="160"/>
      <w:jc w:val="center"/>
    </w:pPr>
    <w:rPr>
      <w:i/>
      <w:iCs/>
      <w:color w:val="404040" w:themeColor="text1" w:themeTint="BF"/>
    </w:rPr>
  </w:style>
  <w:style w:type="character" w:customStyle="1" w:styleId="QuoteChar">
    <w:name w:val="Quote Char"/>
    <w:basedOn w:val="DefaultParagraphFont"/>
    <w:link w:val="Quote"/>
    <w:uiPriority w:val="29"/>
    <w:rsid w:val="00567A81"/>
    <w:rPr>
      <w:i/>
      <w:iCs/>
      <w:color w:val="404040" w:themeColor="text1" w:themeTint="BF"/>
    </w:rPr>
  </w:style>
  <w:style w:type="paragraph" w:styleId="ListParagraph">
    <w:name w:val="List Paragraph"/>
    <w:basedOn w:val="Normal"/>
    <w:uiPriority w:val="34"/>
    <w:qFormat/>
    <w:rsid w:val="00567A81"/>
    <w:pPr>
      <w:ind w:left="720"/>
      <w:contextualSpacing/>
    </w:pPr>
  </w:style>
  <w:style w:type="character" w:styleId="IntenseEmphasis">
    <w:name w:val="Intense Emphasis"/>
    <w:basedOn w:val="DefaultParagraphFont"/>
    <w:uiPriority w:val="21"/>
    <w:qFormat/>
    <w:rsid w:val="00567A81"/>
    <w:rPr>
      <w:i/>
      <w:iCs/>
      <w:color w:val="0F4761" w:themeColor="accent1" w:themeShade="BF"/>
    </w:rPr>
  </w:style>
  <w:style w:type="paragraph" w:styleId="IntenseQuote">
    <w:name w:val="Intense Quote"/>
    <w:basedOn w:val="Normal"/>
    <w:next w:val="Normal"/>
    <w:link w:val="IntenseQuoteChar"/>
    <w:uiPriority w:val="30"/>
    <w:qFormat/>
    <w:rsid w:val="00567A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A81"/>
    <w:rPr>
      <w:i/>
      <w:iCs/>
      <w:color w:val="0F4761" w:themeColor="accent1" w:themeShade="BF"/>
    </w:rPr>
  </w:style>
  <w:style w:type="character" w:styleId="IntenseReference">
    <w:name w:val="Intense Reference"/>
    <w:basedOn w:val="DefaultParagraphFont"/>
    <w:uiPriority w:val="32"/>
    <w:qFormat/>
    <w:rsid w:val="00567A81"/>
    <w:rPr>
      <w:b/>
      <w:bCs/>
      <w:smallCaps/>
      <w:color w:val="0F4761" w:themeColor="accent1" w:themeShade="BF"/>
      <w:spacing w:val="5"/>
    </w:rPr>
  </w:style>
  <w:style w:type="character" w:styleId="Hyperlink">
    <w:name w:val="Hyperlink"/>
    <w:basedOn w:val="DefaultParagraphFont"/>
    <w:uiPriority w:val="99"/>
    <w:unhideWhenUsed/>
    <w:rsid w:val="00567A81"/>
    <w:rPr>
      <w:color w:val="467886" w:themeColor="hyperlink"/>
      <w:u w:val="single"/>
    </w:rPr>
  </w:style>
  <w:style w:type="character" w:styleId="UnresolvedMention">
    <w:name w:val="Unresolved Mention"/>
    <w:basedOn w:val="DefaultParagraphFont"/>
    <w:uiPriority w:val="99"/>
    <w:semiHidden/>
    <w:unhideWhenUsed/>
    <w:rsid w:val="00567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159764">
      <w:bodyDiv w:val="1"/>
      <w:marLeft w:val="0"/>
      <w:marRight w:val="0"/>
      <w:marTop w:val="0"/>
      <w:marBottom w:val="0"/>
      <w:divBdr>
        <w:top w:val="none" w:sz="0" w:space="0" w:color="auto"/>
        <w:left w:val="none" w:sz="0" w:space="0" w:color="auto"/>
        <w:bottom w:val="none" w:sz="0" w:space="0" w:color="auto"/>
        <w:right w:val="none" w:sz="0" w:space="0" w:color="auto"/>
      </w:divBdr>
      <w:divsChild>
        <w:div w:id="182329360">
          <w:marLeft w:val="0"/>
          <w:marRight w:val="0"/>
          <w:marTop w:val="0"/>
          <w:marBottom w:val="0"/>
          <w:divBdr>
            <w:top w:val="none" w:sz="0" w:space="0" w:color="auto"/>
            <w:left w:val="none" w:sz="0" w:space="0" w:color="auto"/>
            <w:bottom w:val="none" w:sz="0" w:space="0" w:color="auto"/>
            <w:right w:val="none" w:sz="0" w:space="0" w:color="auto"/>
          </w:divBdr>
          <w:divsChild>
            <w:div w:id="110199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3535">
      <w:bodyDiv w:val="1"/>
      <w:marLeft w:val="0"/>
      <w:marRight w:val="0"/>
      <w:marTop w:val="0"/>
      <w:marBottom w:val="0"/>
      <w:divBdr>
        <w:top w:val="none" w:sz="0" w:space="0" w:color="auto"/>
        <w:left w:val="none" w:sz="0" w:space="0" w:color="auto"/>
        <w:bottom w:val="none" w:sz="0" w:space="0" w:color="auto"/>
        <w:right w:val="none" w:sz="0" w:space="0" w:color="auto"/>
      </w:divBdr>
      <w:divsChild>
        <w:div w:id="1769619279">
          <w:marLeft w:val="0"/>
          <w:marRight w:val="0"/>
          <w:marTop w:val="0"/>
          <w:marBottom w:val="0"/>
          <w:divBdr>
            <w:top w:val="none" w:sz="0" w:space="0" w:color="auto"/>
            <w:left w:val="none" w:sz="0" w:space="0" w:color="auto"/>
            <w:bottom w:val="none" w:sz="0" w:space="0" w:color="auto"/>
            <w:right w:val="none" w:sz="0" w:space="0" w:color="auto"/>
          </w:divBdr>
          <w:divsChild>
            <w:div w:id="39736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ynardnexsen.com/" TargetMode="External"/><Relationship Id="rId5" Type="http://schemas.openxmlformats.org/officeDocument/2006/relationships/hyperlink" Target="mailto:DFerrell@maynardnexsen.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658</Words>
  <Characters>3757</Characters>
  <Application>Microsoft Office Word</Application>
  <DocSecurity>0</DocSecurity>
  <Lines>31</Lines>
  <Paragraphs>8</Paragraphs>
  <ScaleCrop>false</ScaleCrop>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Craft</dc:creator>
  <cp:keywords/>
  <dc:description/>
  <cp:lastModifiedBy>Gail Craft</cp:lastModifiedBy>
  <cp:revision>1</cp:revision>
  <dcterms:created xsi:type="dcterms:W3CDTF">2024-12-12T12:45:00Z</dcterms:created>
  <dcterms:modified xsi:type="dcterms:W3CDTF">2024-12-12T12:46:00Z</dcterms:modified>
</cp:coreProperties>
</file>